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pStyle w:val="EndnoteText"/>
        <w:jc w:val="center"/>
        <w:spacing w:line="300" w:before="2450" w:after="0" w:lineRule="auto"/>
      </w:pPr>
      <w:r>
        <w:rPr>
          <w:sz w:val="18"/>
          <w:szCs w:val="18"/>
          <w:rFonts w:ascii="Calibri" w:hAnsi="Calibri" w:eastAsia="Calibri" w:cs="Calibri"/>
          <w:color w:val="78909C"/>
          <w:caps/>
          <w:spacing w:val="30"/>
        </w:rPr>
        <w:t>A Cooperative Maritime Governance Framework</w:t>
      </w:r>
    </w:p>
    <w:p>
      <w:pPr>
        <w:pStyle w:val="EndnoteText"/>
        <w:jc w:val="center"/>
        <w:spacing w:line="300" w:before="360" w:after="0" w:lineRule="auto"/>
      </w:pPr>
      <w:r>
        <w:rPr>
          <w:b/>
          <w:sz w:val="56"/>
          <w:szCs w:val="56"/>
          <w:rFonts w:ascii="Calibri" w:hAnsi="Calibri" w:eastAsia="Calibri" w:cs="Calibri"/>
          <w:color w:val="37474F"/>
          <w:spacing w:val="40"/>
        </w:rPr>
        <w:t>THE STRAIT OF HORMUZ</w:t>
      </w:r>
    </w:p>
    <w:p>
      <w:pPr>
        <w:pStyle w:val="EndnoteText"/>
        <w:jc w:val="center"/>
        <w:spacing w:line="300" w:after="0" w:lineRule="auto"/>
      </w:pPr>
      <w:r>
        <w:rPr>
          <w:b/>
          <w:sz w:val="56"/>
          <w:szCs w:val="56"/>
          <w:rFonts w:ascii="Calibri" w:hAnsi="Calibri" w:eastAsia="Calibri" w:cs="Calibri"/>
          <w:color w:val="37474F"/>
          <w:spacing w:val="40"/>
        </w:rPr>
        <w:t>JOINT MANAGEMENT ACCORD</w:t>
      </w:r>
    </w:p>
    <w:p>
      <w:pPr>
        <w:pStyle w:val="EndnoteText"/>
        <w:jc w:val="center"/>
        <w:spacing w:line="300" w:before="180" w:after="500" w:lineRule="auto"/>
      </w:pPr>
      <w:r>
        <w:rPr>
          <w:i/>
          <w:sz w:val="26"/>
          <w:szCs w:val="26"/>
          <w:rFonts w:ascii="Calibri" w:hAnsi="Calibri" w:eastAsia="Calibri" w:cs="Calibri"/>
          <w:color w:val="546E7A"/>
        </w:rPr>
        <w:t>A Graduated Architecture for the Safe, Transparent, and Permanent Reopening of the Strait of Hormuz</w:t>
      </w:r>
    </w:p>
    <w:p>
      <w:pPr>
        <w:pStyle w:val="EndnoteText"/>
        <w:jc w:val="both"/>
        <w:spacing w:line="300" w:after="460" w:lineRule="auto"/>
        <w:ind w:left="2400" w:right="2400"/>
        <w:pBdr>
          <w:bottom w:val="single" w:color="546E7A" w:sz="6"/>
        </w:pBdr>
      </w:pPr>
    </w:p>
    <w:p>
      <w:pPr>
        <w:pStyle w:val="EndnoteText"/>
        <w:jc w:val="center"/>
        <w:spacing w:line="300" w:after="140" w:lineRule="auto"/>
      </w:pPr>
      <w:r>
        <w:rPr>
          <w:sz w:val="24"/>
          <w:szCs w:val="24"/>
          <w:rFonts w:ascii="Calibri" w:hAnsi="Calibri" w:eastAsia="Calibri" w:cs="Calibri"/>
          <w:color w:val="212121"/>
        </w:rPr>
        <w:t xml:space="preserve">Version 1.0  ·  August 2026</w:t>
      </w:r>
    </w:p>
    <w:p>
      <w:pPr>
        <w:pStyle w:val="EndnoteText"/>
        <w:jc w:val="center"/>
        <w:spacing w:line="300" w:after="140" w:lineRule="auto"/>
      </w:pPr>
      <w:r>
        <w:rPr>
          <w:sz w:val="22"/>
          <w:szCs w:val="22"/>
          <w:rFonts w:ascii="Calibri" w:hAnsi="Calibri" w:eastAsia="Calibri" w:cs="Calibri"/>
          <w:color w:val="546E7A"/>
        </w:rPr>
        <w:t>Negotiating Text for Authorized Participants</w:t>
      </w:r>
    </w:p>
    <w:p>
      <w:pPr>
        <w:pStyle w:val="EndnoteText"/>
        <w:jc w:val="center"/>
        <w:spacing w:line="300" w:after="1700" w:lineRule="auto"/>
      </w:pPr>
      <w:r>
        <w:rPr>
          <w:i/>
          <w:sz w:val="20"/>
          <w:szCs w:val="20"/>
          <w:rFonts w:ascii="Calibri" w:hAnsi="Calibri" w:eastAsia="Calibri" w:cs="Calibri"/>
          <w:color w:val="78909C"/>
        </w:rPr>
        <w:t>From a Five-Day Physical Reopening to a Permanent Governance Charter, in One Instrument</w:t>
      </w:r>
    </w:p>
    <w:p>
      <w:pPr>
        <w:pStyle w:val="EndnoteText"/>
        <w:jc w:val="center"/>
        <w:spacing w:line="300" w:after="140" w:lineRule="auto"/>
      </w:pPr>
      <w:r>
        <w:rPr>
          <w:b/>
          <w:sz w:val="22"/>
          <w:szCs w:val="22"/>
          <w:rFonts w:ascii="Calibri" w:hAnsi="Calibri" w:eastAsia="Calibri" w:cs="Calibri"/>
          <w:color w:val="37474F"/>
        </w:rPr>
        <w:t xml:space="preserve">The Islamic Republic of Iran  ·  The Sultanate of Oman</w:t>
      </w:r>
    </w:p>
    <w:p>
      <w:pPr>
        <w:pStyle w:val="EndnoteText"/>
        <w:jc w:val="center"/>
        <w:spacing w:line="300" w:after="120" w:lineRule="auto"/>
      </w:pPr>
      <w:r>
        <w:rPr>
          <w:sz w:val="20"/>
          <w:szCs w:val="20"/>
          <w:rFonts w:ascii="Calibri" w:hAnsi="Calibri" w:eastAsia="Calibri" w:cs="Calibri"/>
          <w:color w:val="546E7A"/>
        </w:rPr>
        <w:t>with the United States as Guarantor and Endorsing Stakeholder</w:t>
      </w:r>
    </w:p>
    <w:p>
      <w:pPr>
        <w:pStyle w:val="EndnoteText"/>
        <w:jc w:val="center"/>
        <w:spacing w:line="300" w:after="120" w:lineRule="auto"/>
      </w:pPr>
      <w:r>
        <w:rPr>
          <w:sz w:val="20"/>
          <w:szCs w:val="20"/>
          <w:rFonts w:ascii="Calibri" w:hAnsi="Calibri" w:eastAsia="Calibri" w:cs="Calibri"/>
          <w:color w:val="546E7A"/>
        </w:rPr>
        <w:t xml:space="preserve">Depositary: Muscat  ·  Joint Coordination Center: Muscat, with Mirror Facility at Bandar Abbas</w:t>
      </w:r>
    </w:p>
    <w:p>
      <w:pPr>
        <w:pStyle w:val="EndnoteText"/>
        <w:jc w:val="center"/>
        <w:spacing w:line="300" w:after="0" w:lineRule="auto"/>
        <w:sectPr>
          <w:headerReference w:type="default" r:id="rId10"/>
          <w:footerReference w:type="default" r:id="rId11"/>
          <w:type w:val="nextPage"/>
          <w:pgSz w:w="12240" w:h="15840"/>
          <w:pgMar w:top="1134" w:right="1134" w:bottom="1134" w:left="1134" w:header="720" w:footer="720"/>
        </w:sectPr>
      </w:pPr>
      <w:r>
        <w:rPr>
          <w:i/>
          <w:sz w:val="18"/>
          <w:szCs w:val="18"/>
          <w:rFonts w:ascii="Calibri" w:hAnsi="Calibri" w:eastAsia="Calibri" w:cs="Calibri"/>
          <w:color w:val="78909C"/>
        </w:rPr>
        <w:t xml:space="preserve">Core Accord in Twenty-Four Articles  ·  Twenty-Two Technical Annexes</w:t>
      </w:r>
    </w:p>
    <w:p>
      <w:pPr>
        <w:pStyle w:val="EndnoteText"/>
        <w:jc w:val="left"/>
        <w:keepNext w:val="1"/>
        <w:spacing w:line="300" w:before="0" w:after="360" w:lineRule="auto"/>
      </w:pPr>
      <w:r>
        <w:rPr>
          <w:rFonts w:ascii="Calibri" w:hAnsi="Calibri" w:eastAsia="Calibri" w:cs="Calibri"/>
          <w:sz w:val="32"/>
          <w:szCs w:val="20"/>
          <w:b/>
          <w:caps/>
          <w:color w:val="37474F"/>
        </w:rPr>
        <w:t>Table of Contents</w:t>
      </w:r>
    </w:p>
    <w:p>
      <w:pPr>
        <w:pStyle w:val="toc1"/>
      </w:pPr>
      <w:r>
        <w:rPr>
          <w:rFonts w:ascii="Calibri" w:hAnsi="Calibri" w:eastAsia="Calibri" w:cs="Calibri"/>
          <w:b/>
          <w:color w:val="000000"/>
          <w:sz w:val="24"/>
          <w:szCs w:val="20"/>
        </w:rPr>
        <w:t>A Note on This Draft</w:t>
        <w:tab/>
        <w:t>7</w:t>
      </w:r>
    </w:p>
    <w:p>
      <w:pPr>
        <w:pStyle w:val="toc1"/>
      </w:pPr>
      <w:r>
        <w:rPr>
          <w:rFonts w:ascii="Calibri" w:hAnsi="Calibri" w:eastAsia="Calibri" w:cs="Calibri"/>
          <w:b/>
          <w:color w:val="000000"/>
          <w:sz w:val="24"/>
          <w:szCs w:val="20"/>
        </w:rPr>
        <w:t>Preamble</w:t>
        <w:tab/>
        <w:t>7</w:t>
      </w:r>
    </w:p>
    <w:p>
      <w:pPr>
        <w:pStyle w:val="toc1"/>
      </w:pPr>
      <w:r>
        <w:rPr>
          <w:rFonts w:ascii="Calibri" w:hAnsi="Calibri" w:eastAsia="Calibri" w:cs="Calibri"/>
          <w:b/>
          <w:color w:val="000000"/>
          <w:sz w:val="24"/>
          <w:szCs w:val="20"/>
        </w:rPr>
        <w:t>How This Accord Works</w:t>
        <w:tab/>
        <w:t>8</w:t>
      </w:r>
    </w:p>
    <w:p>
      <w:pPr>
        <w:pStyle w:val="toc1"/>
      </w:pPr>
      <w:r>
        <w:rPr>
          <w:rFonts w:ascii="Calibri" w:hAnsi="Calibri" w:eastAsia="Calibri" w:cs="Calibri"/>
          <w:b/>
          <w:color w:val="000000"/>
          <w:sz w:val="24"/>
          <w:szCs w:val="20"/>
        </w:rPr>
        <w:t>Part I: The Core Accord</w:t>
        <w:tab/>
        <w:t>10</w:t>
      </w:r>
    </w:p>
    <w:p>
      <w:pPr>
        <w:pStyle w:val="toc1"/>
      </w:pPr>
      <w:r>
        <w:rPr>
          <w:rFonts w:ascii="Calibri" w:hAnsi="Calibri" w:eastAsia="Calibri" w:cs="Calibri"/>
          <w:b/>
          <w:color w:val="000000"/>
          <w:sz w:val="24"/>
          <w:szCs w:val="20"/>
        </w:rPr>
        <w:t>Article 1 Purpose and Scope</w:t>
        <w:tab/>
        <w:t>10</w:t>
      </w:r>
    </w:p>
    <w:p>
      <w:pPr>
        <w:pStyle w:val="toc1"/>
      </w:pPr>
      <w:r>
        <w:rPr>
          <w:rFonts w:ascii="Calibri" w:hAnsi="Calibri" w:eastAsia="Calibri" w:cs="Calibri"/>
          <w:b/>
          <w:color w:val="000000"/>
          <w:sz w:val="24"/>
          <w:szCs w:val="20"/>
        </w:rPr>
        <w:t>Article 2 Governing Principles</w:t>
        <w:tab/>
        <w:t>10</w:t>
      </w:r>
    </w:p>
    <w:p>
      <w:pPr>
        <w:pStyle w:val="toc1"/>
      </w:pPr>
      <w:r>
        <w:rPr>
          <w:rFonts w:ascii="Calibri" w:hAnsi="Calibri" w:eastAsia="Calibri" w:cs="Calibri"/>
          <w:b/>
          <w:color w:val="000000"/>
          <w:sz w:val="24"/>
          <w:szCs w:val="20"/>
        </w:rPr>
        <w:t>Article 3 Definitions</w:t>
        <w:tab/>
        <w:t>11</w:t>
      </w:r>
    </w:p>
    <w:p>
      <w:pPr>
        <w:pStyle w:val="toc1"/>
      </w:pPr>
      <w:r>
        <w:rPr>
          <w:rFonts w:ascii="Calibri" w:hAnsi="Calibri" w:eastAsia="Calibri" w:cs="Calibri"/>
          <w:b/>
          <w:color w:val="000000"/>
          <w:sz w:val="24"/>
          <w:szCs w:val="20"/>
        </w:rPr>
        <w:t>Article 4 The Governance Area</w:t>
        <w:tab/>
        <w:t>11</w:t>
      </w:r>
    </w:p>
    <w:p>
      <w:pPr>
        <w:pStyle w:val="toc1"/>
      </w:pPr>
      <w:r>
        <w:rPr>
          <w:rFonts w:ascii="Calibri" w:hAnsi="Calibri" w:eastAsia="Calibri" w:cs="Calibri"/>
          <w:b/>
          <w:color w:val="000000"/>
          <w:sz w:val="24"/>
          <w:szCs w:val="20"/>
        </w:rPr>
        <w:t>Article 5 The Corridor System</w:t>
        <w:tab/>
        <w:t>11</w:t>
      </w:r>
    </w:p>
    <w:p>
      <w:pPr>
        <w:pStyle w:val="toc1"/>
      </w:pPr>
      <w:r>
        <w:rPr>
          <w:rFonts w:ascii="Calibri" w:hAnsi="Calibri" w:eastAsia="Calibri" w:cs="Calibri"/>
          <w:b/>
          <w:color w:val="000000"/>
          <w:sz w:val="24"/>
          <w:szCs w:val="20"/>
        </w:rPr>
        <w:t>Article 6 Rights of Passage and the Transit Regime</w:t>
        <w:tab/>
        <w:t>12</w:t>
      </w:r>
    </w:p>
    <w:p>
      <w:pPr>
        <w:pStyle w:val="toc1"/>
      </w:pPr>
      <w:r>
        <w:rPr>
          <w:rFonts w:ascii="Calibri" w:hAnsi="Calibri" w:eastAsia="Calibri" w:cs="Calibri"/>
          <w:b/>
          <w:color w:val="000000"/>
          <w:sz w:val="24"/>
          <w:szCs w:val="20"/>
        </w:rPr>
        <w:t>Article 7 Functional Responsibilities of the Parties</w:t>
        <w:tab/>
        <w:t>12</w:t>
      </w:r>
    </w:p>
    <w:p>
      <w:pPr>
        <w:pStyle w:val="toc1"/>
      </w:pPr>
      <w:r>
        <w:rPr>
          <w:rFonts w:ascii="Calibri" w:hAnsi="Calibri" w:eastAsia="Calibri" w:cs="Calibri"/>
          <w:b/>
          <w:color w:val="000000"/>
          <w:sz w:val="24"/>
          <w:szCs w:val="20"/>
        </w:rPr>
        <w:t>Article 8 The Good-Behavior Escalator</w:t>
        <w:tab/>
        <w:t>12</w:t>
      </w:r>
    </w:p>
    <w:p>
      <w:pPr>
        <w:pStyle w:val="toc1"/>
      </w:pPr>
      <w:r>
        <w:rPr>
          <w:rFonts w:ascii="Calibri" w:hAnsi="Calibri" w:eastAsia="Calibri" w:cs="Calibri"/>
          <w:b/>
          <w:color w:val="000000"/>
          <w:sz w:val="24"/>
          <w:szCs w:val="20"/>
        </w:rPr>
        <w:t>Article 9 Security Functions and the Twin-Key Rule</w:t>
        <w:tab/>
        <w:t>13</w:t>
      </w:r>
    </w:p>
    <w:p>
      <w:pPr>
        <w:pStyle w:val="toc1"/>
      </w:pPr>
      <w:r>
        <w:rPr>
          <w:rFonts w:ascii="Calibri" w:hAnsi="Calibri" w:eastAsia="Calibri" w:cs="Calibri"/>
          <w:b/>
          <w:color w:val="000000"/>
          <w:sz w:val="24"/>
          <w:szCs w:val="20"/>
        </w:rPr>
        <w:t>Article 10 The United States Role: Transit, Phase-One Security, and Rebalancing</w:t>
        <w:tab/>
        <w:t>13</w:t>
      </w:r>
    </w:p>
    <w:p>
      <w:pPr>
        <w:pStyle w:val="toc1"/>
      </w:pPr>
      <w:r>
        <w:rPr>
          <w:rFonts w:ascii="Calibri" w:hAnsi="Calibri" w:eastAsia="Calibri" w:cs="Calibri"/>
          <w:b/>
          <w:color w:val="000000"/>
          <w:sz w:val="24"/>
          <w:szCs w:val="20"/>
        </w:rPr>
        <w:t>Article 11 The Nuclear and Strategic Firewall</w:t>
        <w:tab/>
        <w:t>14</w:t>
      </w:r>
    </w:p>
    <w:p>
      <w:pPr>
        <w:pStyle w:val="toc1"/>
      </w:pPr>
      <w:r>
        <w:rPr>
          <w:rFonts w:ascii="Calibri" w:hAnsi="Calibri" w:eastAsia="Calibri" w:cs="Calibri"/>
          <w:b/>
          <w:color w:val="000000"/>
          <w:sz w:val="24"/>
          <w:szCs w:val="20"/>
        </w:rPr>
        <w:t>Article 12 Monitoring, Transparency, and Data</w:t>
        <w:tab/>
        <w:t>14</w:t>
      </w:r>
    </w:p>
    <w:p>
      <w:pPr>
        <w:pStyle w:val="toc1"/>
      </w:pPr>
      <w:r>
        <w:rPr>
          <w:rFonts w:ascii="Calibri" w:hAnsi="Calibri" w:eastAsia="Calibri" w:cs="Calibri"/>
          <w:b/>
          <w:color w:val="000000"/>
          <w:sz w:val="24"/>
          <w:szCs w:val="20"/>
        </w:rPr>
        <w:t>Article 13 Fees and the Zero-Toll Rule</w:t>
        <w:tab/>
        <w:t>15</w:t>
      </w:r>
    </w:p>
    <w:p>
      <w:pPr>
        <w:pStyle w:val="toc1"/>
      </w:pPr>
      <w:r>
        <w:rPr>
          <w:rFonts w:ascii="Calibri" w:hAnsi="Calibri" w:eastAsia="Calibri" w:cs="Calibri"/>
          <w:b/>
          <w:color w:val="000000"/>
          <w:sz w:val="24"/>
          <w:szCs w:val="20"/>
        </w:rPr>
        <w:t>Article 14 The Hormuz Services Fund</w:t>
        <w:tab/>
        <w:t>15</w:t>
      </w:r>
    </w:p>
    <w:p>
      <w:pPr>
        <w:pStyle w:val="toc1"/>
      </w:pPr>
      <w:r>
        <w:rPr>
          <w:rFonts w:ascii="Calibri" w:hAnsi="Calibri" w:eastAsia="Calibri" w:cs="Calibri"/>
          <w:b/>
          <w:color w:val="000000"/>
          <w:sz w:val="24"/>
          <w:szCs w:val="20"/>
        </w:rPr>
        <w:t>Article 15 The Hormuz Reconstruction and Development Facility</w:t>
        <w:tab/>
        <w:t>15</w:t>
      </w:r>
    </w:p>
    <w:p>
      <w:pPr>
        <w:pStyle w:val="toc1"/>
      </w:pPr>
      <w:r>
        <w:rPr>
          <w:rFonts w:ascii="Calibri" w:hAnsi="Calibri" w:eastAsia="Calibri" w:cs="Calibri"/>
          <w:b/>
          <w:color w:val="000000"/>
          <w:sz w:val="24"/>
          <w:szCs w:val="20"/>
        </w:rPr>
        <w:t>Article 16 Verification and Compliance</w:t>
        <w:tab/>
        <w:t>16</w:t>
      </w:r>
    </w:p>
    <w:p>
      <w:pPr>
        <w:pStyle w:val="toc1"/>
      </w:pPr>
      <w:r>
        <w:rPr>
          <w:rFonts w:ascii="Calibri" w:hAnsi="Calibri" w:eastAsia="Calibri" w:cs="Calibri"/>
          <w:b/>
          <w:color w:val="000000"/>
          <w:sz w:val="24"/>
          <w:szCs w:val="20"/>
        </w:rPr>
        <w:t>Article 17 Environmental Protection and Safety</w:t>
        <w:tab/>
        <w:t>16</w:t>
      </w:r>
    </w:p>
    <w:p>
      <w:pPr>
        <w:pStyle w:val="toc1"/>
      </w:pPr>
      <w:r>
        <w:rPr>
          <w:rFonts w:ascii="Calibri" w:hAnsi="Calibri" w:eastAsia="Calibri" w:cs="Calibri"/>
          <w:b/>
          <w:color w:val="000000"/>
          <w:sz w:val="24"/>
          <w:szCs w:val="20"/>
        </w:rPr>
        <w:t>Article 18 The Humanitarian Bridge</w:t>
        <w:tab/>
        <w:t>16</w:t>
      </w:r>
    </w:p>
    <w:p>
      <w:pPr>
        <w:pStyle w:val="toc1"/>
      </w:pPr>
      <w:r>
        <w:rPr>
          <w:rFonts w:ascii="Calibri" w:hAnsi="Calibri" w:eastAsia="Calibri" w:cs="Calibri"/>
          <w:b/>
          <w:color w:val="000000"/>
          <w:sz w:val="24"/>
          <w:szCs w:val="20"/>
        </w:rPr>
        <w:t>Article 19 Governance Institutions</w:t>
        <w:tab/>
        <w:t>17</w:t>
      </w:r>
    </w:p>
    <w:p>
      <w:pPr>
        <w:pStyle w:val="toc1"/>
      </w:pPr>
      <w:r>
        <w:rPr>
          <w:rFonts w:ascii="Calibri" w:hAnsi="Calibri" w:eastAsia="Calibri" w:cs="Calibri"/>
          <w:b/>
          <w:color w:val="000000"/>
          <w:sz w:val="24"/>
          <w:szCs w:val="20"/>
        </w:rPr>
        <w:t>Article 20 Dispute Resolution</w:t>
        <w:tab/>
        <w:t>17</w:t>
      </w:r>
    </w:p>
    <w:p>
      <w:pPr>
        <w:pStyle w:val="toc1"/>
      </w:pPr>
      <w:r>
        <w:rPr>
          <w:rFonts w:ascii="Calibri" w:hAnsi="Calibri" w:eastAsia="Calibri" w:cs="Calibri"/>
          <w:b/>
          <w:color w:val="000000"/>
          <w:sz w:val="24"/>
          <w:szCs w:val="20"/>
        </w:rPr>
        <w:t>Article 21 Participation and Accession</w:t>
        <w:tab/>
        <w:t>17</w:t>
      </w:r>
    </w:p>
    <w:p>
      <w:pPr>
        <w:pStyle w:val="toc1"/>
      </w:pPr>
      <w:r>
        <w:rPr>
          <w:rFonts w:ascii="Calibri" w:hAnsi="Calibri" w:eastAsia="Calibri" w:cs="Calibri"/>
          <w:b/>
          <w:color w:val="000000"/>
          <w:sz w:val="24"/>
          <w:szCs w:val="20"/>
        </w:rPr>
        <w:t>Article 22 The Accelerated Activation Sequence</w:t>
        <w:tab/>
        <w:t>18</w:t>
      </w:r>
    </w:p>
    <w:p>
      <w:pPr>
        <w:pStyle w:val="toc1"/>
      </w:pPr>
      <w:r>
        <w:rPr>
          <w:rFonts w:ascii="Calibri" w:hAnsi="Calibri" w:eastAsia="Calibri" w:cs="Calibri"/>
          <w:b/>
          <w:color w:val="000000"/>
          <w:sz w:val="24"/>
          <w:szCs w:val="20"/>
        </w:rPr>
        <w:t>Article 23 Amendment, Review, and Duration</w:t>
        <w:tab/>
        <w:t>18</w:t>
      </w:r>
    </w:p>
    <w:p>
      <w:pPr>
        <w:pStyle w:val="toc1"/>
      </w:pPr>
      <w:r>
        <w:rPr>
          <w:rFonts w:ascii="Calibri" w:hAnsi="Calibri" w:eastAsia="Calibri" w:cs="Calibri"/>
          <w:b/>
          <w:color w:val="000000"/>
          <w:sz w:val="24"/>
          <w:szCs w:val="20"/>
        </w:rPr>
        <w:t>Article 24 Entry Into Force and Final Clauses</w:t>
        <w:tab/>
        <w:t>18</w:t>
      </w:r>
    </w:p>
    <w:p>
      <w:pPr>
        <w:pStyle w:val="toc1"/>
      </w:pPr>
      <w:r>
        <w:rPr>
          <w:rFonts w:ascii="Calibri" w:hAnsi="Calibri" w:eastAsia="Calibri" w:cs="Calibri"/>
          <w:b/>
          <w:color w:val="000000"/>
          <w:sz w:val="24"/>
          <w:szCs w:val="20"/>
        </w:rPr>
        <w:t>Part II: The Annexes</w:t>
        <w:tab/>
        <w:t>19</w:t>
      </w:r>
    </w:p>
    <w:p>
      <w:pPr>
        <w:pStyle w:val="toc1"/>
      </w:pPr>
      <w:r>
        <w:rPr>
          <w:rFonts w:ascii="Calibri" w:hAnsi="Calibri" w:eastAsia="Calibri" w:cs="Calibri"/>
          <w:b/>
          <w:color w:val="000000"/>
          <w:sz w:val="24"/>
          <w:szCs w:val="20"/>
        </w:rPr>
        <w:t>Annex A Corridor Geometry and Coordinates</w:t>
        <w:tab/>
        <w:t>19</w:t>
      </w:r>
    </w:p>
    <w:p>
      <w:pPr>
        <w:pStyle w:val="toc2"/>
      </w:pPr>
      <w:r>
        <w:rPr>
          <w:rFonts w:ascii="Calibri" w:hAnsi="Calibri" w:eastAsia="Calibri" w:cs="Calibri"/>
          <w:b w:val="0"/>
          <w:color w:val="000000"/>
          <w:sz w:val="24"/>
          <w:szCs w:val="20"/>
        </w:rPr>
        <w:t>A.1 The Governance Area</w:t>
        <w:tab/>
        <w:t>19</w:t>
      </w:r>
    </w:p>
    <w:p>
      <w:pPr>
        <w:pStyle w:val="toc2"/>
      </w:pPr>
      <w:r>
        <w:rPr>
          <w:rFonts w:ascii="Calibri" w:hAnsi="Calibri" w:eastAsia="Calibri" w:cs="Calibri"/>
          <w:b w:val="0"/>
          <w:color w:val="000000"/>
          <w:sz w:val="24"/>
          <w:szCs w:val="20"/>
        </w:rPr>
        <w:t>A.2 Provisional Corridor Waypoints</w:t>
        <w:tab/>
        <w:t>19</w:t>
      </w:r>
    </w:p>
    <w:p>
      <w:pPr>
        <w:pStyle w:val="toc2"/>
      </w:pPr>
      <w:r>
        <w:rPr>
          <w:rFonts w:ascii="Calibri" w:hAnsi="Calibri" w:eastAsia="Calibri" w:cs="Calibri"/>
          <w:b w:val="0"/>
          <w:color w:val="000000"/>
          <w:sz w:val="24"/>
          <w:szCs w:val="20"/>
        </w:rPr>
        <w:t>A.3 Corridor Dimensions and Separation</w:t>
        <w:tab/>
        <w:t>20</w:t>
      </w:r>
    </w:p>
    <w:p>
      <w:pPr>
        <w:pStyle w:val="toc2"/>
      </w:pPr>
      <w:r>
        <w:rPr>
          <w:rFonts w:ascii="Calibri" w:hAnsi="Calibri" w:eastAsia="Calibri" w:cs="Calibri"/>
          <w:b w:val="0"/>
          <w:color w:val="000000"/>
          <w:sz w:val="24"/>
          <w:szCs w:val="20"/>
        </w:rPr>
        <w:t>A.4 Corridor Functions and Exclusions</w:t>
        <w:tab/>
        <w:t>20</w:t>
      </w:r>
    </w:p>
    <w:p>
      <w:pPr>
        <w:pStyle w:val="toc2"/>
      </w:pPr>
      <w:r>
        <w:rPr>
          <w:rFonts w:ascii="Calibri" w:hAnsi="Calibri" w:eastAsia="Calibri" w:cs="Calibri"/>
          <w:b w:val="0"/>
          <w:color w:val="000000"/>
          <w:sz w:val="24"/>
          <w:szCs w:val="20"/>
        </w:rPr>
        <w:t>A.5 Secondary and Emergency Channels</w:t>
        <w:tab/>
        <w:t>21</w:t>
      </w:r>
    </w:p>
    <w:p>
      <w:pPr>
        <w:pStyle w:val="toc2"/>
      </w:pPr>
      <w:r>
        <w:rPr>
          <w:rFonts w:ascii="Calibri" w:hAnsi="Calibri" w:eastAsia="Calibri" w:cs="Calibri"/>
          <w:b w:val="0"/>
          <w:color w:val="000000"/>
          <w:sz w:val="24"/>
          <w:szCs w:val="20"/>
        </w:rPr>
        <w:t>A.6 Sunset of Wartime Routing</w:t>
        <w:tab/>
        <w:t>21</w:t>
      </w:r>
    </w:p>
    <w:p>
      <w:pPr>
        <w:pStyle w:val="toc1"/>
      </w:pPr>
      <w:r>
        <w:rPr>
          <w:rFonts w:ascii="Calibri" w:hAnsi="Calibri" w:eastAsia="Calibri" w:cs="Calibri"/>
          <w:b/>
          <w:color w:val="000000"/>
          <w:sz w:val="24"/>
          <w:szCs w:val="20"/>
        </w:rPr>
        <w:t>Annex B Navigation, Notification, and AIS Procedures</w:t>
        <w:tab/>
        <w:t>21</w:t>
      </w:r>
    </w:p>
    <w:p>
      <w:pPr>
        <w:pStyle w:val="toc2"/>
      </w:pPr>
      <w:r>
        <w:rPr>
          <w:rFonts w:ascii="Calibri" w:hAnsi="Calibri" w:eastAsia="Calibri" w:cs="Calibri"/>
          <w:b w:val="0"/>
          <w:color w:val="000000"/>
          <w:sz w:val="24"/>
          <w:szCs w:val="20"/>
        </w:rPr>
        <w:t>B.1 The Single Filing</w:t>
        <w:tab/>
        <w:t>21</w:t>
      </w:r>
    </w:p>
    <w:p>
      <w:pPr>
        <w:pStyle w:val="toc2"/>
      </w:pPr>
      <w:r>
        <w:rPr>
          <w:rFonts w:ascii="Calibri" w:hAnsi="Calibri" w:eastAsia="Calibri" w:cs="Calibri"/>
          <w:b w:val="0"/>
          <w:color w:val="000000"/>
          <w:sz w:val="24"/>
          <w:szCs w:val="20"/>
        </w:rPr>
        <w:t>B.2 Acknowledgment and the Sixty-Minute Rule</w:t>
        <w:tab/>
        <w:t>21</w:t>
      </w:r>
    </w:p>
    <w:p>
      <w:pPr>
        <w:pStyle w:val="toc2"/>
      </w:pPr>
      <w:r>
        <w:rPr>
          <w:rFonts w:ascii="Calibri" w:hAnsi="Calibri" w:eastAsia="Calibri" w:cs="Calibri"/>
          <w:b w:val="0"/>
          <w:color w:val="000000"/>
          <w:sz w:val="24"/>
          <w:szCs w:val="20"/>
        </w:rPr>
        <w:t>B.3 Vessel Classification</w:t>
        <w:tab/>
        <w:t>22</w:t>
      </w:r>
    </w:p>
    <w:p>
      <w:pPr>
        <w:pStyle w:val="toc2"/>
      </w:pPr>
      <w:r>
        <w:rPr>
          <w:rFonts w:ascii="Calibri" w:hAnsi="Calibri" w:eastAsia="Calibri" w:cs="Calibri"/>
          <w:b w:val="0"/>
          <w:color w:val="000000"/>
          <w:sz w:val="24"/>
          <w:szCs w:val="20"/>
        </w:rPr>
        <w:t>B.4 AIS Discipline</w:t>
        <w:tab/>
        <w:t>22</w:t>
      </w:r>
    </w:p>
    <w:p>
      <w:pPr>
        <w:pStyle w:val="toc2"/>
      </w:pPr>
      <w:r>
        <w:rPr>
          <w:rFonts w:ascii="Calibri" w:hAnsi="Calibri" w:eastAsia="Calibri" w:cs="Calibri"/>
          <w:b w:val="0"/>
          <w:color w:val="000000"/>
          <w:sz w:val="24"/>
          <w:szCs w:val="20"/>
        </w:rPr>
        <w:t>B.5 Incident Reporting</w:t>
        <w:tab/>
        <w:t>22</w:t>
      </w:r>
    </w:p>
    <w:p>
      <w:pPr>
        <w:pStyle w:val="toc2"/>
      </w:pPr>
      <w:r>
        <w:rPr>
          <w:rFonts w:ascii="Calibri" w:hAnsi="Calibri" w:eastAsia="Calibri" w:cs="Calibri"/>
          <w:b w:val="0"/>
          <w:color w:val="000000"/>
          <w:sz w:val="24"/>
          <w:szCs w:val="20"/>
        </w:rPr>
        <w:t>B.6 Weather, Swell, and Hazard Data</w:t>
        <w:tab/>
        <w:t>23</w:t>
      </w:r>
    </w:p>
    <w:p>
      <w:pPr>
        <w:pStyle w:val="toc2"/>
      </w:pPr>
      <w:r>
        <w:rPr>
          <w:rFonts w:ascii="Calibri" w:hAnsi="Calibri" w:eastAsia="Calibri" w:cs="Calibri"/>
          <w:b w:val="0"/>
          <w:color w:val="000000"/>
          <w:sz w:val="24"/>
          <w:szCs w:val="20"/>
        </w:rPr>
        <w:t>B.7 Pilotage and Tug Services</w:t>
        <w:tab/>
        <w:t>23</w:t>
      </w:r>
    </w:p>
    <w:p>
      <w:pPr>
        <w:pStyle w:val="toc2"/>
      </w:pPr>
      <w:r>
        <w:rPr>
          <w:rFonts w:ascii="Calibri" w:hAnsi="Calibri" w:eastAsia="Calibri" w:cs="Calibri"/>
          <w:b w:val="0"/>
          <w:color w:val="000000"/>
          <w:sz w:val="24"/>
          <w:szCs w:val="20"/>
        </w:rPr>
        <w:t>B.8 Worked Example: A Complete Transit, Start to Finish</w:t>
        <w:tab/>
        <w:t>23</w:t>
      </w:r>
    </w:p>
    <w:p>
      <w:pPr>
        <w:pStyle w:val="toc2"/>
      </w:pPr>
      <w:r>
        <w:rPr>
          <w:rFonts w:ascii="Calibri" w:hAnsi="Calibri" w:eastAsia="Calibri" w:cs="Calibri"/>
          <w:b w:val="0"/>
          <w:color w:val="000000"/>
          <w:sz w:val="24"/>
          <w:szCs w:val="20"/>
        </w:rPr>
        <w:t>B.9 Pilot-Phase Adjustment Window</w:t>
        <w:tab/>
        <w:t>24</w:t>
      </w:r>
    </w:p>
    <w:p>
      <w:pPr>
        <w:pStyle w:val="toc1"/>
      </w:pPr>
      <w:r>
        <w:rPr>
          <w:rFonts w:ascii="Calibri" w:hAnsi="Calibri" w:eastAsia="Calibri" w:cs="Calibri"/>
          <w:b/>
          <w:color w:val="000000"/>
          <w:sz w:val="24"/>
          <w:szCs w:val="20"/>
        </w:rPr>
        <w:t>Annex C Security Functions, Deconfliction, and the Twin-Key Rule</w:t>
        <w:tab/>
        <w:t>24</w:t>
      </w:r>
    </w:p>
    <w:p>
      <w:pPr>
        <w:pStyle w:val="toc2"/>
      </w:pPr>
      <w:r>
        <w:rPr>
          <w:rFonts w:ascii="Calibri" w:hAnsi="Calibri" w:eastAsia="Calibri" w:cs="Calibri"/>
          <w:b w:val="0"/>
          <w:color w:val="000000"/>
          <w:sz w:val="24"/>
          <w:szCs w:val="20"/>
        </w:rPr>
        <w:t>C.1 The Absolute Non-Interdiction Protocol</w:t>
        <w:tab/>
        <w:t>24</w:t>
      </w:r>
    </w:p>
    <w:p>
      <w:pPr>
        <w:pStyle w:val="toc2"/>
      </w:pPr>
      <w:r>
        <w:rPr>
          <w:rFonts w:ascii="Calibri" w:hAnsi="Calibri" w:eastAsia="Calibri" w:cs="Calibri"/>
          <w:b w:val="0"/>
          <w:color w:val="000000"/>
          <w:sz w:val="24"/>
          <w:szCs w:val="20"/>
        </w:rPr>
        <w:t>C.2 The Twin-Key Rule</w:t>
        <w:tab/>
        <w:t>25</w:t>
      </w:r>
    </w:p>
    <w:p>
      <w:pPr>
        <w:pStyle w:val="toc2"/>
      </w:pPr>
      <w:r>
        <w:rPr>
          <w:rFonts w:ascii="Calibri" w:hAnsi="Calibri" w:eastAsia="Calibri" w:cs="Calibri"/>
          <w:b w:val="0"/>
          <w:color w:val="000000"/>
          <w:sz w:val="24"/>
          <w:szCs w:val="20"/>
        </w:rPr>
        <w:t>C.3 Standoff Geometry</w:t>
        <w:tab/>
        <w:t>25</w:t>
      </w:r>
    </w:p>
    <w:p>
      <w:pPr>
        <w:pStyle w:val="toc2"/>
      </w:pPr>
      <w:r>
        <w:rPr>
          <w:rFonts w:ascii="Calibri" w:hAnsi="Calibri" w:eastAsia="Calibri" w:cs="Calibri"/>
          <w:b w:val="0"/>
          <w:color w:val="000000"/>
          <w:sz w:val="24"/>
          <w:szCs w:val="20"/>
        </w:rPr>
        <w:t>C.4 The Deconfliction Hotline Network</w:t>
        <w:tab/>
        <w:t>25</w:t>
      </w:r>
    </w:p>
    <w:p>
      <w:pPr>
        <w:pStyle w:val="toc2"/>
      </w:pPr>
      <w:r>
        <w:rPr>
          <w:rFonts w:ascii="Calibri" w:hAnsi="Calibri" w:eastAsia="Calibri" w:cs="Calibri"/>
          <w:b w:val="0"/>
          <w:color w:val="000000"/>
          <w:sz w:val="24"/>
          <w:szCs w:val="20"/>
        </w:rPr>
        <w:t>C.5 The Incident Ladder</w:t>
        <w:tab/>
        <w:t>26</w:t>
      </w:r>
    </w:p>
    <w:p>
      <w:pPr>
        <w:pStyle w:val="toc2"/>
      </w:pPr>
      <w:r>
        <w:rPr>
          <w:rFonts w:ascii="Calibri" w:hAnsi="Calibri" w:eastAsia="Calibri" w:cs="Calibri"/>
          <w:b w:val="0"/>
          <w:color w:val="000000"/>
          <w:sz w:val="24"/>
          <w:szCs w:val="20"/>
        </w:rPr>
        <w:t>C.6 Notification of Naval Exercises</w:t>
        <w:tab/>
        <w:t>26</w:t>
      </w:r>
    </w:p>
    <w:p>
      <w:pPr>
        <w:pStyle w:val="toc2"/>
      </w:pPr>
      <w:r>
        <w:rPr>
          <w:rFonts w:ascii="Calibri" w:hAnsi="Calibri" w:eastAsia="Calibri" w:cs="Calibri"/>
          <w:b w:val="0"/>
          <w:color w:val="000000"/>
          <w:sz w:val="24"/>
          <w:szCs w:val="20"/>
        </w:rPr>
        <w:t>C.7 The Joint Mine Survey and Clearance Group</w:t>
        <w:tab/>
        <w:t>26</w:t>
      </w:r>
    </w:p>
    <w:p>
      <w:pPr>
        <w:pStyle w:val="toc2"/>
      </w:pPr>
      <w:r>
        <w:rPr>
          <w:rFonts w:ascii="Calibri" w:hAnsi="Calibri" w:eastAsia="Calibri" w:cs="Calibri"/>
          <w:b w:val="0"/>
          <w:color w:val="000000"/>
          <w:sz w:val="24"/>
          <w:szCs w:val="20"/>
        </w:rPr>
        <w:t>C.8 False-Flag and Attribution Protocol</w:t>
        <w:tab/>
        <w:t>26</w:t>
      </w:r>
    </w:p>
    <w:p>
      <w:pPr>
        <w:pStyle w:val="toc2"/>
      </w:pPr>
      <w:r>
        <w:rPr>
          <w:rFonts w:ascii="Calibri" w:hAnsi="Calibri" w:eastAsia="Calibri" w:cs="Calibri"/>
          <w:b w:val="0"/>
          <w:color w:val="000000"/>
          <w:sz w:val="24"/>
          <w:szCs w:val="20"/>
        </w:rPr>
        <w:t>C.9 The United States Phase-One Security Protocol</w:t>
        <w:tab/>
        <w:t>27</w:t>
      </w:r>
    </w:p>
    <w:p>
      <w:pPr>
        <w:pStyle w:val="toc2"/>
      </w:pPr>
      <w:r>
        <w:rPr>
          <w:rFonts w:ascii="Calibri" w:hAnsi="Calibri" w:eastAsia="Calibri" w:cs="Calibri"/>
          <w:b w:val="0"/>
          <w:color w:val="000000"/>
          <w:sz w:val="24"/>
          <w:szCs w:val="20"/>
        </w:rPr>
        <w:t>C.10 Escort Rendezvous Procedures</w:t>
        <w:tab/>
        <w:t>27</w:t>
      </w:r>
    </w:p>
    <w:p>
      <w:pPr>
        <w:pStyle w:val="toc2"/>
      </w:pPr>
      <w:r>
        <w:rPr>
          <w:rFonts w:ascii="Calibri" w:hAnsi="Calibri" w:eastAsia="Calibri" w:cs="Calibri"/>
          <w:b w:val="0"/>
          <w:color w:val="000000"/>
          <w:sz w:val="24"/>
          <w:szCs w:val="20"/>
        </w:rPr>
        <w:t>C.11 The Integrated Patrol Rotation</w:t>
        <w:tab/>
        <w:t>27</w:t>
      </w:r>
    </w:p>
    <w:p>
      <w:pPr>
        <w:pStyle w:val="toc2"/>
      </w:pPr>
      <w:r>
        <w:rPr>
          <w:rFonts w:ascii="Calibri" w:hAnsi="Calibri" w:eastAsia="Calibri" w:cs="Calibri"/>
          <w:b w:val="0"/>
          <w:color w:val="000000"/>
          <w:sz w:val="24"/>
          <w:szCs w:val="20"/>
        </w:rPr>
        <w:t>C.12 Worked Example: A Twin-Key Concurrence in Action</w:t>
        <w:tab/>
        <w:t>28</w:t>
      </w:r>
    </w:p>
    <w:p>
      <w:pPr>
        <w:pStyle w:val="toc1"/>
      </w:pPr>
      <w:r>
        <w:rPr>
          <w:rFonts w:ascii="Calibri" w:hAnsi="Calibri" w:eastAsia="Calibri" w:cs="Calibri"/>
          <w:b/>
          <w:color w:val="000000"/>
          <w:sz w:val="24"/>
          <w:szCs w:val="20"/>
        </w:rPr>
        <w:t>Annex D Fees, Auditing, and Sanctions-Compatible Payment Routing</w:t>
        <w:tab/>
        <w:t>28</w:t>
      </w:r>
    </w:p>
    <w:p>
      <w:pPr>
        <w:pStyle w:val="toc2"/>
      </w:pPr>
      <w:r>
        <w:rPr>
          <w:rFonts w:ascii="Calibri" w:hAnsi="Calibri" w:eastAsia="Calibri" w:cs="Calibri"/>
          <w:b w:val="0"/>
          <w:color w:val="000000"/>
          <w:sz w:val="24"/>
          <w:szCs w:val="20"/>
        </w:rPr>
        <w:t>D.1 The Zero-Toll Rule, Restated</w:t>
        <w:tab/>
        <w:t>29</w:t>
      </w:r>
    </w:p>
    <w:p>
      <w:pPr>
        <w:pStyle w:val="toc2"/>
      </w:pPr>
      <w:r>
        <w:rPr>
          <w:rFonts w:ascii="Calibri" w:hAnsi="Calibri" w:eastAsia="Calibri" w:cs="Calibri"/>
          <w:b w:val="0"/>
          <w:color w:val="000000"/>
          <w:sz w:val="24"/>
          <w:szCs w:val="20"/>
        </w:rPr>
        <w:t>D.2 The Closed Service Catalog</w:t>
        <w:tab/>
        <w:t>29</w:t>
      </w:r>
    </w:p>
    <w:p>
      <w:pPr>
        <w:pStyle w:val="toc2"/>
      </w:pPr>
      <w:r>
        <w:rPr>
          <w:rFonts w:ascii="Calibri" w:hAnsi="Calibri" w:eastAsia="Calibri" w:cs="Calibri"/>
          <w:b w:val="0"/>
          <w:color w:val="000000"/>
          <w:sz w:val="24"/>
          <w:szCs w:val="20"/>
        </w:rPr>
        <w:t>D.3 The Tri-Channel Funding Architecture</w:t>
        <w:tab/>
        <w:t>29</w:t>
      </w:r>
    </w:p>
    <w:p>
      <w:pPr>
        <w:pStyle w:val="toc2"/>
      </w:pPr>
      <w:r>
        <w:rPr>
          <w:rFonts w:ascii="Calibri" w:hAnsi="Calibri" w:eastAsia="Calibri" w:cs="Calibri"/>
          <w:b w:val="0"/>
          <w:color w:val="000000"/>
          <w:sz w:val="24"/>
          <w:szCs w:val="20"/>
        </w:rPr>
        <w:t>D.4 The Hormuz Services Fund</w:t>
        <w:tab/>
        <w:t>30</w:t>
      </w:r>
    </w:p>
    <w:p>
      <w:pPr>
        <w:pStyle w:val="toc2"/>
      </w:pPr>
      <w:r>
        <w:rPr>
          <w:rFonts w:ascii="Calibri" w:hAnsi="Calibri" w:eastAsia="Calibri" w:cs="Calibri"/>
          <w:b w:val="0"/>
          <w:color w:val="000000"/>
          <w:sz w:val="24"/>
          <w:szCs w:val="20"/>
        </w:rPr>
        <w:t>D.5 Sanctions-Compatible Payment Routing</w:t>
        <w:tab/>
        <w:t>30</w:t>
      </w:r>
    </w:p>
    <w:p>
      <w:pPr>
        <w:pStyle w:val="toc2"/>
      </w:pPr>
      <w:r>
        <w:rPr>
          <w:rFonts w:ascii="Calibri" w:hAnsi="Calibri" w:eastAsia="Calibri" w:cs="Calibri"/>
          <w:b w:val="0"/>
          <w:color w:val="000000"/>
          <w:sz w:val="24"/>
          <w:szCs w:val="20"/>
        </w:rPr>
        <w:t>D.6 Auditing</w:t>
        <w:tab/>
        <w:t>30</w:t>
      </w:r>
    </w:p>
    <w:p>
      <w:pPr>
        <w:pStyle w:val="toc2"/>
      </w:pPr>
      <w:r>
        <w:rPr>
          <w:rFonts w:ascii="Calibri" w:hAnsi="Calibri" w:eastAsia="Calibri" w:cs="Calibri"/>
          <w:b w:val="0"/>
          <w:color w:val="000000"/>
          <w:sz w:val="24"/>
          <w:szCs w:val="20"/>
        </w:rPr>
        <w:t>D.7 The Heavy-User Cap and Commercial Predictability</w:t>
        <w:tab/>
        <w:t>30</w:t>
      </w:r>
    </w:p>
    <w:p>
      <w:pPr>
        <w:pStyle w:val="toc2"/>
      </w:pPr>
      <w:r>
        <w:rPr>
          <w:rFonts w:ascii="Calibri" w:hAnsi="Calibri" w:eastAsia="Calibri" w:cs="Calibri"/>
          <w:b w:val="0"/>
          <w:color w:val="000000"/>
          <w:sz w:val="24"/>
          <w:szCs w:val="20"/>
        </w:rPr>
        <w:t>D.8 Rejected and Reserved Fee Models</w:t>
        <w:tab/>
        <w:t>31</w:t>
      </w:r>
    </w:p>
    <w:p>
      <w:pPr>
        <w:pStyle w:val="toc2"/>
      </w:pPr>
      <w:r>
        <w:rPr>
          <w:rFonts w:ascii="Calibri" w:hAnsi="Calibri" w:eastAsia="Calibri" w:cs="Calibri"/>
          <w:b w:val="0"/>
          <w:color w:val="000000"/>
          <w:sz w:val="24"/>
          <w:szCs w:val="20"/>
        </w:rPr>
        <w:t>D.9 Worked Example: A Single VLCC Transit</w:t>
        <w:tab/>
        <w:t>31</w:t>
      </w:r>
    </w:p>
    <w:p>
      <w:pPr>
        <w:pStyle w:val="toc2"/>
      </w:pPr>
      <w:r>
        <w:rPr>
          <w:rFonts w:ascii="Calibri" w:hAnsi="Calibri" w:eastAsia="Calibri" w:cs="Calibri"/>
          <w:b w:val="0"/>
          <w:color w:val="000000"/>
          <w:sz w:val="24"/>
          <w:szCs w:val="20"/>
        </w:rPr>
        <w:t>D.10 Worked Example: Heavy-User Cap in Practice</w:t>
        <w:tab/>
        <w:t>32</w:t>
      </w:r>
    </w:p>
    <w:p>
      <w:pPr>
        <w:pStyle w:val="toc1"/>
      </w:pPr>
      <w:r>
        <w:rPr>
          <w:rFonts w:ascii="Calibri" w:hAnsi="Calibri" w:eastAsia="Calibri" w:cs="Calibri"/>
          <w:b/>
          <w:color w:val="000000"/>
          <w:sz w:val="24"/>
          <w:szCs w:val="20"/>
        </w:rPr>
        <w:t>Annex E Governance, Representation, and Dispute Resolution</w:t>
        <w:tab/>
        <w:t>32</w:t>
      </w:r>
    </w:p>
    <w:p>
      <w:pPr>
        <w:pStyle w:val="toc2"/>
      </w:pPr>
      <w:r>
        <w:rPr>
          <w:rFonts w:ascii="Calibri" w:hAnsi="Calibri" w:eastAsia="Calibri" w:cs="Calibri"/>
          <w:b w:val="0"/>
          <w:color w:val="000000"/>
          <w:sz w:val="24"/>
          <w:szCs w:val="20"/>
        </w:rPr>
        <w:t>E.1 The Hormuz Council</w:t>
        <w:tab/>
        <w:t>32</w:t>
      </w:r>
    </w:p>
    <w:p>
      <w:pPr>
        <w:pStyle w:val="toc2"/>
      </w:pPr>
      <w:r>
        <w:rPr>
          <w:rFonts w:ascii="Calibri" w:hAnsi="Calibri" w:eastAsia="Calibri" w:cs="Calibri"/>
          <w:b w:val="0"/>
          <w:color w:val="000000"/>
          <w:sz w:val="24"/>
          <w:szCs w:val="20"/>
        </w:rPr>
        <w:t>E.2 Participation Tiers</w:t>
        <w:tab/>
        <w:t>32</w:t>
      </w:r>
    </w:p>
    <w:p>
      <w:pPr>
        <w:pStyle w:val="toc2"/>
      </w:pPr>
      <w:r>
        <w:rPr>
          <w:rFonts w:ascii="Calibri" w:hAnsi="Calibri" w:eastAsia="Calibri" w:cs="Calibri"/>
          <w:b w:val="0"/>
          <w:color w:val="000000"/>
          <w:sz w:val="24"/>
          <w:szCs w:val="20"/>
        </w:rPr>
        <w:t>E.3 Decision Rules</w:t>
        <w:tab/>
        <w:t>33</w:t>
      </w:r>
    </w:p>
    <w:p>
      <w:pPr>
        <w:pStyle w:val="toc2"/>
      </w:pPr>
      <w:r>
        <w:rPr>
          <w:rFonts w:ascii="Calibri" w:hAnsi="Calibri" w:eastAsia="Calibri" w:cs="Calibri"/>
          <w:b w:val="0"/>
          <w:color w:val="000000"/>
          <w:sz w:val="24"/>
          <w:szCs w:val="20"/>
        </w:rPr>
        <w:t>E.4 The Secretariat</w:t>
        <w:tab/>
        <w:t>33</w:t>
      </w:r>
    </w:p>
    <w:p>
      <w:pPr>
        <w:pStyle w:val="toc2"/>
      </w:pPr>
      <w:r>
        <w:rPr>
          <w:rFonts w:ascii="Calibri" w:hAnsi="Calibri" w:eastAsia="Calibri" w:cs="Calibri"/>
          <w:b w:val="0"/>
          <w:color w:val="000000"/>
          <w:sz w:val="24"/>
          <w:szCs w:val="20"/>
        </w:rPr>
        <w:t>E.5 The Maritime Coordination Center</w:t>
        <w:tab/>
        <w:t>33</w:t>
      </w:r>
    </w:p>
    <w:p>
      <w:pPr>
        <w:pStyle w:val="toc2"/>
      </w:pPr>
      <w:r>
        <w:rPr>
          <w:rFonts w:ascii="Calibri" w:hAnsi="Calibri" w:eastAsia="Calibri" w:cs="Calibri"/>
          <w:b w:val="0"/>
          <w:color w:val="000000"/>
          <w:sz w:val="24"/>
          <w:szCs w:val="20"/>
        </w:rPr>
        <w:t>E.6 Institutional Meeting Cadence</w:t>
        <w:tab/>
        <w:t>33</w:t>
      </w:r>
    </w:p>
    <w:p>
      <w:pPr>
        <w:pStyle w:val="toc2"/>
      </w:pPr>
      <w:r>
        <w:rPr>
          <w:rFonts w:ascii="Calibri" w:hAnsi="Calibri" w:eastAsia="Calibri" w:cs="Calibri"/>
          <w:b w:val="0"/>
          <w:color w:val="000000"/>
          <w:sz w:val="24"/>
          <w:szCs w:val="20"/>
        </w:rPr>
        <w:t>E.7 The Verification and Surveillance Directorate</w:t>
        <w:tab/>
        <w:t>34</w:t>
      </w:r>
    </w:p>
    <w:p>
      <w:pPr>
        <w:pStyle w:val="toc2"/>
      </w:pPr>
      <w:r>
        <w:rPr>
          <w:rFonts w:ascii="Calibri" w:hAnsi="Calibri" w:eastAsia="Calibri" w:cs="Calibri"/>
          <w:b w:val="0"/>
          <w:color w:val="000000"/>
          <w:sz w:val="24"/>
          <w:szCs w:val="20"/>
        </w:rPr>
        <w:t>E.8 Dispute Resolution: The Three-Band System</w:t>
        <w:tab/>
        <w:t>34</w:t>
      </w:r>
    </w:p>
    <w:p>
      <w:pPr>
        <w:pStyle w:val="toc2"/>
      </w:pPr>
      <w:r>
        <w:rPr>
          <w:rFonts w:ascii="Calibri" w:hAnsi="Calibri" w:eastAsia="Calibri" w:cs="Calibri"/>
          <w:b w:val="0"/>
          <w:color w:val="000000"/>
          <w:sz w:val="24"/>
          <w:szCs w:val="20"/>
        </w:rPr>
        <w:t>E.9 The Intermediary Bridge</w:t>
        <w:tab/>
        <w:t>35</w:t>
      </w:r>
    </w:p>
    <w:p>
      <w:pPr>
        <w:pStyle w:val="toc2"/>
      </w:pPr>
      <w:r>
        <w:rPr>
          <w:rFonts w:ascii="Calibri" w:hAnsi="Calibri" w:eastAsia="Calibri" w:cs="Calibri"/>
          <w:b w:val="0"/>
          <w:color w:val="000000"/>
          <w:sz w:val="24"/>
          <w:szCs w:val="20"/>
        </w:rPr>
        <w:t>E.10 Transparency and Public Communication</w:t>
        <w:tab/>
        <w:t>35</w:t>
      </w:r>
    </w:p>
    <w:p>
      <w:pPr>
        <w:pStyle w:val="toc2"/>
      </w:pPr>
      <w:r>
        <w:rPr>
          <w:rFonts w:ascii="Calibri" w:hAnsi="Calibri" w:eastAsia="Calibri" w:cs="Calibri"/>
          <w:b w:val="0"/>
          <w:color w:val="000000"/>
          <w:sz w:val="24"/>
          <w:szCs w:val="20"/>
        </w:rPr>
        <w:t>E.11 Worked Example: A Meso-Band Fee Dispute</w:t>
        <w:tab/>
        <w:t>35</w:t>
      </w:r>
    </w:p>
    <w:p>
      <w:pPr>
        <w:pStyle w:val="toc1"/>
      </w:pPr>
      <w:r>
        <w:rPr>
          <w:rFonts w:ascii="Calibri" w:hAnsi="Calibri" w:eastAsia="Calibri" w:cs="Calibri"/>
          <w:b/>
          <w:color w:val="000000"/>
          <w:sz w:val="24"/>
          <w:szCs w:val="20"/>
        </w:rPr>
        <w:t>Annex F The Cothrom-Hormuz Verification Method</w:t>
        <w:tab/>
        <w:t>35</w:t>
      </w:r>
    </w:p>
    <w:p>
      <w:pPr>
        <w:pStyle w:val="toc2"/>
      </w:pPr>
      <w:r>
        <w:rPr>
          <w:rFonts w:ascii="Calibri" w:hAnsi="Calibri" w:eastAsia="Calibri" w:cs="Calibri"/>
          <w:b w:val="0"/>
          <w:color w:val="000000"/>
          <w:sz w:val="24"/>
          <w:szCs w:val="20"/>
        </w:rPr>
        <w:t>F.1 Operating Principle</w:t>
        <w:tab/>
        <w:t>36</w:t>
      </w:r>
    </w:p>
    <w:p>
      <w:pPr>
        <w:pStyle w:val="toc2"/>
      </w:pPr>
      <w:r>
        <w:rPr>
          <w:rFonts w:ascii="Calibri" w:hAnsi="Calibri" w:eastAsia="Calibri" w:cs="Calibri"/>
          <w:b w:val="0"/>
          <w:color w:val="000000"/>
          <w:sz w:val="24"/>
          <w:szCs w:val="20"/>
        </w:rPr>
        <w:t>F.2 Data Infrastructure</w:t>
        <w:tab/>
        <w:t>36</w:t>
      </w:r>
    </w:p>
    <w:p>
      <w:pPr>
        <w:pStyle w:val="toc2"/>
      </w:pPr>
      <w:r>
        <w:rPr>
          <w:rFonts w:ascii="Calibri" w:hAnsi="Calibri" w:eastAsia="Calibri" w:cs="Calibri"/>
          <w:b w:val="0"/>
          <w:color w:val="000000"/>
          <w:sz w:val="24"/>
          <w:szCs w:val="20"/>
        </w:rPr>
        <w:t>F.3 Alert Severity and the Four-Tier System</w:t>
        <w:tab/>
        <w:t>36</w:t>
      </w:r>
    </w:p>
    <w:p>
      <w:pPr>
        <w:pStyle w:val="toc2"/>
      </w:pPr>
      <w:r>
        <w:rPr>
          <w:rFonts w:ascii="Calibri" w:hAnsi="Calibri" w:eastAsia="Calibri" w:cs="Calibri"/>
          <w:b w:val="0"/>
          <w:color w:val="000000"/>
          <w:sz w:val="24"/>
          <w:szCs w:val="20"/>
        </w:rPr>
        <w:t>F.4 The Verification Panel</w:t>
        <w:tab/>
        <w:t>37</w:t>
      </w:r>
    </w:p>
    <w:p>
      <w:pPr>
        <w:pStyle w:val="toc2"/>
      </w:pPr>
      <w:r>
        <w:rPr>
          <w:rFonts w:ascii="Calibri" w:hAnsi="Calibri" w:eastAsia="Calibri" w:cs="Calibri"/>
          <w:b w:val="0"/>
          <w:color w:val="000000"/>
          <w:sz w:val="24"/>
          <w:szCs w:val="20"/>
        </w:rPr>
        <w:t>F.5 Inconclusive Determinations and Counter-Evidence Review</w:t>
        <w:tab/>
        <w:t>37</w:t>
      </w:r>
    </w:p>
    <w:p>
      <w:pPr>
        <w:pStyle w:val="toc2"/>
      </w:pPr>
      <w:r>
        <w:rPr>
          <w:rFonts w:ascii="Calibri" w:hAnsi="Calibri" w:eastAsia="Calibri" w:cs="Calibri"/>
          <w:b w:val="0"/>
          <w:color w:val="000000"/>
          <w:sz w:val="24"/>
          <w:szCs w:val="20"/>
        </w:rPr>
        <w:t>F.6 Step-Back and Earn-Back</w:t>
        <w:tab/>
        <w:t>37</w:t>
      </w:r>
    </w:p>
    <w:p>
      <w:pPr>
        <w:pStyle w:val="toc2"/>
      </w:pPr>
      <w:r>
        <w:rPr>
          <w:rFonts w:ascii="Calibri" w:hAnsi="Calibri" w:eastAsia="Calibri" w:cs="Calibri"/>
          <w:b w:val="0"/>
          <w:color w:val="000000"/>
          <w:sz w:val="24"/>
          <w:szCs w:val="20"/>
        </w:rPr>
        <w:t>F.7 The Humanitarian Firewall</w:t>
        <w:tab/>
        <w:t>37</w:t>
      </w:r>
    </w:p>
    <w:p>
      <w:pPr>
        <w:pStyle w:val="toc2"/>
      </w:pPr>
      <w:r>
        <w:rPr>
          <w:rFonts w:ascii="Calibri" w:hAnsi="Calibri" w:eastAsia="Calibri" w:cs="Calibri"/>
          <w:b w:val="0"/>
          <w:color w:val="000000"/>
          <w:sz w:val="24"/>
          <w:szCs w:val="20"/>
        </w:rPr>
        <w:t>F.8 Material Breach Protocol</w:t>
        <w:tab/>
        <w:t>37</w:t>
      </w:r>
    </w:p>
    <w:p>
      <w:pPr>
        <w:pStyle w:val="toc2"/>
      </w:pPr>
      <w:r>
        <w:rPr>
          <w:rFonts w:ascii="Calibri" w:hAnsi="Calibri" w:eastAsia="Calibri" w:cs="Calibri"/>
          <w:b w:val="0"/>
          <w:color w:val="000000"/>
          <w:sz w:val="24"/>
          <w:szCs w:val="20"/>
        </w:rPr>
        <w:t>F.9 Human Judgment Above Automation</w:t>
        <w:tab/>
        <w:t>38</w:t>
      </w:r>
    </w:p>
    <w:p>
      <w:pPr>
        <w:pStyle w:val="toc2"/>
      </w:pPr>
      <w:r>
        <w:rPr>
          <w:rFonts w:ascii="Calibri" w:hAnsi="Calibri" w:eastAsia="Calibri" w:cs="Calibri"/>
          <w:b w:val="0"/>
          <w:color w:val="000000"/>
          <w:sz w:val="24"/>
          <w:szCs w:val="20"/>
        </w:rPr>
        <w:t>F.10 Worked Example: An AIS Gap Investigated</w:t>
        <w:tab/>
        <w:t>38</w:t>
      </w:r>
    </w:p>
    <w:p>
      <w:pPr>
        <w:pStyle w:val="toc2"/>
      </w:pPr>
      <w:r>
        <w:rPr>
          <w:rFonts w:ascii="Calibri" w:hAnsi="Calibri" w:eastAsia="Calibri" w:cs="Calibri"/>
          <w:b w:val="0"/>
          <w:color w:val="000000"/>
          <w:sz w:val="24"/>
          <w:szCs w:val="20"/>
        </w:rPr>
        <w:t>F.11 Worked Example: A Contested Tier 2 Claim</w:t>
        <w:tab/>
        <w:t>38</w:t>
      </w:r>
    </w:p>
    <w:p>
      <w:pPr>
        <w:pStyle w:val="toc2"/>
      </w:pPr>
      <w:r>
        <w:rPr>
          <w:rFonts w:ascii="Calibri" w:hAnsi="Calibri" w:eastAsia="Calibri" w:cs="Calibri"/>
          <w:b w:val="0"/>
          <w:color w:val="000000"/>
          <w:sz w:val="24"/>
          <w:szCs w:val="20"/>
        </w:rPr>
        <w:t>F.12 Declassification</w:t>
        <w:tab/>
        <w:t>38</w:t>
      </w:r>
    </w:p>
    <w:p>
      <w:pPr>
        <w:pStyle w:val="toc1"/>
      </w:pPr>
      <w:r>
        <w:rPr>
          <w:rFonts w:ascii="Calibri" w:hAnsi="Calibri" w:eastAsia="Calibri" w:cs="Calibri"/>
          <w:b/>
          <w:color w:val="000000"/>
          <w:sz w:val="24"/>
          <w:szCs w:val="20"/>
        </w:rPr>
        <w:t>Annex G The Good-Behavior Escalator</w:t>
        <w:tab/>
        <w:t>39</w:t>
      </w:r>
    </w:p>
    <w:p>
      <w:pPr>
        <w:pStyle w:val="toc2"/>
      </w:pPr>
      <w:r>
        <w:rPr>
          <w:rFonts w:ascii="Calibri" w:hAnsi="Calibri" w:eastAsia="Calibri" w:cs="Calibri"/>
          <w:b w:val="0"/>
          <w:color w:val="000000"/>
          <w:sz w:val="24"/>
          <w:szCs w:val="20"/>
        </w:rPr>
        <w:t>G.1 Why a Sunrise Clause Rather Than a Sunset Clause</w:t>
        <w:tab/>
        <w:t>39</w:t>
      </w:r>
    </w:p>
    <w:p>
      <w:pPr>
        <w:pStyle w:val="toc2"/>
      </w:pPr>
      <w:r>
        <w:rPr>
          <w:rFonts w:ascii="Calibri" w:hAnsi="Calibri" w:eastAsia="Calibri" w:cs="Calibri"/>
          <w:b w:val="0"/>
          <w:color w:val="000000"/>
          <w:sz w:val="24"/>
          <w:szCs w:val="20"/>
        </w:rPr>
        <w:t>G.2 The Weekly Schedule</w:t>
        <w:tab/>
        <w:t>39</w:t>
      </w:r>
    </w:p>
    <w:p>
      <w:pPr>
        <w:pStyle w:val="toc2"/>
      </w:pPr>
      <w:r>
        <w:rPr>
          <w:rFonts w:ascii="Calibri" w:hAnsi="Calibri" w:eastAsia="Calibri" w:cs="Calibri"/>
          <w:b w:val="0"/>
          <w:color w:val="000000"/>
          <w:sz w:val="24"/>
          <w:szCs w:val="20"/>
        </w:rPr>
        <w:t>G.3 What "Functional Control Weight" Governs</w:t>
        <w:tab/>
        <w:t>39</w:t>
      </w:r>
    </w:p>
    <w:p>
      <w:pPr>
        <w:pStyle w:val="toc2"/>
      </w:pPr>
      <w:r>
        <w:rPr>
          <w:rFonts w:ascii="Calibri" w:hAnsi="Calibri" w:eastAsia="Calibri" w:cs="Calibri"/>
          <w:b w:val="0"/>
          <w:color w:val="000000"/>
          <w:sz w:val="24"/>
          <w:szCs w:val="20"/>
        </w:rPr>
        <w:t>G.4 Definition of a Clean Week</w:t>
        <w:tab/>
        <w:t>40</w:t>
      </w:r>
    </w:p>
    <w:p>
      <w:pPr>
        <w:pStyle w:val="toc2"/>
      </w:pPr>
      <w:r>
        <w:rPr>
          <w:rFonts w:ascii="Calibri" w:hAnsi="Calibri" w:eastAsia="Calibri" w:cs="Calibri"/>
          <w:b w:val="0"/>
          <w:color w:val="000000"/>
          <w:sz w:val="24"/>
          <w:szCs w:val="20"/>
        </w:rPr>
        <w:t>G.5 Pause, Reset, and the Penalty Table</w:t>
        <w:tab/>
        <w:t>40</w:t>
      </w:r>
    </w:p>
    <w:p>
      <w:pPr>
        <w:pStyle w:val="toc2"/>
      </w:pPr>
      <w:r>
        <w:rPr>
          <w:rFonts w:ascii="Calibri" w:hAnsi="Calibri" w:eastAsia="Calibri" w:cs="Calibri"/>
          <w:b w:val="0"/>
          <w:color w:val="000000"/>
          <w:sz w:val="24"/>
          <w:szCs w:val="20"/>
        </w:rPr>
        <w:t>G.6 Good-Behavior Credits</w:t>
        <w:tab/>
        <w:t>40</w:t>
      </w:r>
    </w:p>
    <w:p>
      <w:pPr>
        <w:pStyle w:val="toc2"/>
      </w:pPr>
      <w:r>
        <w:rPr>
          <w:rFonts w:ascii="Calibri" w:hAnsi="Calibri" w:eastAsia="Calibri" w:cs="Calibri"/>
          <w:b w:val="0"/>
          <w:color w:val="000000"/>
          <w:sz w:val="24"/>
          <w:szCs w:val="20"/>
        </w:rPr>
        <w:t>G.7 Verification of Escalator Progress</w:t>
        <w:tab/>
        <w:t>41</w:t>
      </w:r>
    </w:p>
    <w:p>
      <w:pPr>
        <w:pStyle w:val="toc2"/>
      </w:pPr>
      <w:r>
        <w:rPr>
          <w:rFonts w:ascii="Calibri" w:hAnsi="Calibri" w:eastAsia="Calibri" w:cs="Calibri"/>
          <w:b w:val="0"/>
          <w:color w:val="000000"/>
          <w:sz w:val="24"/>
          <w:szCs w:val="20"/>
        </w:rPr>
        <w:t>G.8 Worked Example: An Escalator Run With One Pause</w:t>
        <w:tab/>
        <w:t>41</w:t>
      </w:r>
    </w:p>
    <w:p>
      <w:pPr>
        <w:pStyle w:val="toc2"/>
      </w:pPr>
      <w:r>
        <w:rPr>
          <w:rFonts w:ascii="Calibri" w:hAnsi="Calibri" w:eastAsia="Calibri" w:cs="Calibri"/>
          <w:b w:val="0"/>
          <w:color w:val="000000"/>
          <w:sz w:val="24"/>
          <w:szCs w:val="20"/>
        </w:rPr>
        <w:t>G.9 Relationship to the Five-Day Activation</w:t>
        <w:tab/>
        <w:t>41</w:t>
      </w:r>
    </w:p>
    <w:p>
      <w:pPr>
        <w:pStyle w:val="toc1"/>
      </w:pPr>
      <w:r>
        <w:rPr>
          <w:rFonts w:ascii="Calibri" w:hAnsi="Calibri" w:eastAsia="Calibri" w:cs="Calibri"/>
          <w:b/>
          <w:color w:val="000000"/>
          <w:sz w:val="24"/>
          <w:szCs w:val="20"/>
        </w:rPr>
        <w:t>Annex H Environmental and Safety Protocols</w:t>
        <w:tab/>
        <w:t>42</w:t>
      </w:r>
    </w:p>
    <w:p>
      <w:pPr>
        <w:pStyle w:val="toc2"/>
      </w:pPr>
      <w:r>
        <w:rPr>
          <w:rFonts w:ascii="Calibri" w:hAnsi="Calibri" w:eastAsia="Calibri" w:cs="Calibri"/>
          <w:b w:val="0"/>
          <w:color w:val="000000"/>
          <w:sz w:val="24"/>
          <w:szCs w:val="20"/>
        </w:rPr>
        <w:t>H.1 Environmental Baseline and Continuous Monitoring</w:t>
        <w:tab/>
        <w:t>42</w:t>
      </w:r>
    </w:p>
    <w:p>
      <w:pPr>
        <w:pStyle w:val="toc2"/>
      </w:pPr>
      <w:r>
        <w:rPr>
          <w:rFonts w:ascii="Calibri" w:hAnsi="Calibri" w:eastAsia="Calibri" w:cs="Calibri"/>
          <w:b w:val="0"/>
          <w:color w:val="000000"/>
          <w:sz w:val="24"/>
          <w:szCs w:val="20"/>
        </w:rPr>
        <w:t>H.2 Mine Exclusion</w:t>
        <w:tab/>
        <w:t>42</w:t>
      </w:r>
    </w:p>
    <w:p>
      <w:pPr>
        <w:pStyle w:val="toc2"/>
      </w:pPr>
      <w:r>
        <w:rPr>
          <w:rFonts w:ascii="Calibri" w:hAnsi="Calibri" w:eastAsia="Calibri" w:cs="Calibri"/>
          <w:b w:val="0"/>
          <w:color w:val="000000"/>
          <w:sz w:val="24"/>
          <w:szCs w:val="20"/>
        </w:rPr>
        <w:t>H.3 Spill Response and Search-and-Rescue</w:t>
        <w:tab/>
        <w:t>42</w:t>
      </w:r>
    </w:p>
    <w:p>
      <w:pPr>
        <w:pStyle w:val="toc2"/>
      </w:pPr>
      <w:r>
        <w:rPr>
          <w:rFonts w:ascii="Calibri" w:hAnsi="Calibri" w:eastAsia="Calibri" w:cs="Calibri"/>
          <w:b w:val="0"/>
          <w:color w:val="000000"/>
          <w:sz w:val="24"/>
          <w:szCs w:val="20"/>
        </w:rPr>
        <w:t>H.4 Marine Protected Areas</w:t>
        <w:tab/>
        <w:t>42</w:t>
      </w:r>
    </w:p>
    <w:p>
      <w:pPr>
        <w:pStyle w:val="toc2"/>
      </w:pPr>
      <w:r>
        <w:rPr>
          <w:rFonts w:ascii="Calibri" w:hAnsi="Calibri" w:eastAsia="Calibri" w:cs="Calibri"/>
          <w:b w:val="0"/>
          <w:color w:val="000000"/>
          <w:sz w:val="24"/>
          <w:szCs w:val="20"/>
        </w:rPr>
        <w:t>H.5 The Green Discount</w:t>
        <w:tab/>
        <w:t>42</w:t>
      </w:r>
    </w:p>
    <w:p>
      <w:pPr>
        <w:pStyle w:val="toc2"/>
      </w:pPr>
      <w:r>
        <w:rPr>
          <w:rFonts w:ascii="Calibri" w:hAnsi="Calibri" w:eastAsia="Calibri" w:cs="Calibri"/>
          <w:b w:val="0"/>
          <w:color w:val="000000"/>
          <w:sz w:val="24"/>
          <w:szCs w:val="20"/>
        </w:rPr>
        <w:t>H.6 Safety Compliance Audits</w:t>
        <w:tab/>
        <w:t>43</w:t>
      </w:r>
    </w:p>
    <w:p>
      <w:pPr>
        <w:pStyle w:val="toc2"/>
      </w:pPr>
      <w:r>
        <w:rPr>
          <w:rFonts w:ascii="Calibri" w:hAnsi="Calibri" w:eastAsia="Calibri" w:cs="Calibri"/>
          <w:b w:val="0"/>
          <w:color w:val="000000"/>
          <w:sz w:val="24"/>
          <w:szCs w:val="20"/>
        </w:rPr>
        <w:t>H.7 Worked Example: A Spill-Response Activation</w:t>
        <w:tab/>
        <w:t>43</w:t>
      </w:r>
    </w:p>
    <w:p>
      <w:pPr>
        <w:pStyle w:val="toc1"/>
      </w:pPr>
      <w:r>
        <w:rPr>
          <w:rFonts w:ascii="Calibri" w:hAnsi="Calibri" w:eastAsia="Calibri" w:cs="Calibri"/>
          <w:b/>
          <w:color w:val="000000"/>
          <w:sz w:val="24"/>
          <w:szCs w:val="20"/>
        </w:rPr>
        <w:t>Annex I The Humanitarian Bridge</w:t>
        <w:tab/>
        <w:t>43</w:t>
      </w:r>
    </w:p>
    <w:p>
      <w:pPr>
        <w:pStyle w:val="toc2"/>
      </w:pPr>
      <w:r>
        <w:rPr>
          <w:rFonts w:ascii="Calibri" w:hAnsi="Calibri" w:eastAsia="Calibri" w:cs="Calibri"/>
          <w:b w:val="0"/>
          <w:color w:val="000000"/>
          <w:sz w:val="24"/>
          <w:szCs w:val="20"/>
        </w:rPr>
        <w:t>I.1 Priority Certification</w:t>
        <w:tab/>
        <w:t>43</w:t>
      </w:r>
    </w:p>
    <w:p>
      <w:pPr>
        <w:pStyle w:val="toc2"/>
      </w:pPr>
      <w:r>
        <w:rPr>
          <w:rFonts w:ascii="Calibri" w:hAnsi="Calibri" w:eastAsia="Calibri" w:cs="Calibri"/>
          <w:b w:val="0"/>
          <w:color w:val="000000"/>
          <w:sz w:val="24"/>
          <w:szCs w:val="20"/>
        </w:rPr>
        <w:t>I.2 The Walkthrough Cycle</w:t>
        <w:tab/>
        <w:t>43</w:t>
      </w:r>
    </w:p>
    <w:p>
      <w:pPr>
        <w:pStyle w:val="toc2"/>
      </w:pPr>
      <w:r>
        <w:rPr>
          <w:rFonts w:ascii="Calibri" w:hAnsi="Calibri" w:eastAsia="Calibri" w:cs="Calibri"/>
          <w:b w:val="0"/>
          <w:color w:val="000000"/>
          <w:sz w:val="24"/>
          <w:szCs w:val="20"/>
        </w:rPr>
        <w:t>I.3 The Monitoring Corps</w:t>
        <w:tab/>
        <w:t>43</w:t>
      </w:r>
    </w:p>
    <w:p>
      <w:pPr>
        <w:pStyle w:val="toc2"/>
      </w:pPr>
      <w:r>
        <w:rPr>
          <w:rFonts w:ascii="Calibri" w:hAnsi="Calibri" w:eastAsia="Calibri" w:cs="Calibri"/>
          <w:b w:val="0"/>
          <w:color w:val="000000"/>
          <w:sz w:val="24"/>
          <w:szCs w:val="20"/>
        </w:rPr>
        <w:t>I.4 Absolute Priority</w:t>
        <w:tab/>
        <w:t>44</w:t>
      </w:r>
    </w:p>
    <w:p>
      <w:pPr>
        <w:pStyle w:val="toc1"/>
      </w:pPr>
      <w:r>
        <w:rPr>
          <w:rFonts w:ascii="Calibri" w:hAnsi="Calibri" w:eastAsia="Calibri" w:cs="Calibri"/>
          <w:b/>
          <w:color w:val="000000"/>
          <w:sz w:val="24"/>
          <w:szCs w:val="20"/>
        </w:rPr>
        <w:t>Annex J Master Timeline: The Five-Day Activation and the Graduated Gate Schedule</w:t>
        <w:tab/>
        <w:t>44</w:t>
      </w:r>
    </w:p>
    <w:p>
      <w:pPr>
        <w:pStyle w:val="toc2"/>
      </w:pPr>
      <w:r>
        <w:rPr>
          <w:rFonts w:ascii="Calibri" w:hAnsi="Calibri" w:eastAsia="Calibri" w:cs="Calibri"/>
          <w:b w:val="0"/>
          <w:color w:val="000000"/>
          <w:sz w:val="24"/>
          <w:szCs w:val="20"/>
        </w:rPr>
        <w:t>J.1 The Five-Day Activation, Hour by Hour</w:t>
        <w:tab/>
        <w:t>44</w:t>
      </w:r>
    </w:p>
    <w:p>
      <w:pPr>
        <w:pStyle w:val="toc2"/>
      </w:pPr>
      <w:r>
        <w:rPr>
          <w:rFonts w:ascii="Calibri" w:hAnsi="Calibri" w:eastAsia="Calibri" w:cs="Calibri"/>
          <w:b w:val="0"/>
          <w:color w:val="000000"/>
          <w:sz w:val="24"/>
          <w:szCs w:val="20"/>
        </w:rPr>
        <w:t>J.2 Why Five Days Is Achievable</w:t>
        <w:tab/>
        <w:t>45</w:t>
      </w:r>
    </w:p>
    <w:p>
      <w:pPr>
        <w:pStyle w:val="toc2"/>
      </w:pPr>
      <w:r>
        <w:rPr>
          <w:rFonts w:ascii="Calibri" w:hAnsi="Calibri" w:eastAsia="Calibri" w:cs="Calibri"/>
          <w:b w:val="0"/>
          <w:color w:val="000000"/>
          <w:sz w:val="24"/>
          <w:szCs w:val="20"/>
        </w:rPr>
        <w:t>J.3 The Graduated Gate Schedule, Day 5 Through Day 120</w:t>
        <w:tab/>
        <w:t>45</w:t>
      </w:r>
    </w:p>
    <w:p>
      <w:pPr>
        <w:pStyle w:val="toc2"/>
      </w:pPr>
      <w:r>
        <w:rPr>
          <w:rFonts w:ascii="Calibri" w:hAnsi="Calibri" w:eastAsia="Calibri" w:cs="Calibri"/>
          <w:b w:val="0"/>
          <w:color w:val="000000"/>
          <w:sz w:val="24"/>
          <w:szCs w:val="20"/>
        </w:rPr>
        <w:t>J.4 The Emergency Acceleration Clause</w:t>
        <w:tab/>
        <w:t>46</w:t>
      </w:r>
    </w:p>
    <w:p>
      <w:pPr>
        <w:pStyle w:val="toc2"/>
      </w:pPr>
      <w:r>
        <w:rPr>
          <w:rFonts w:ascii="Calibri" w:hAnsi="Calibri" w:eastAsia="Calibri" w:cs="Calibri"/>
          <w:b w:val="0"/>
          <w:color w:val="000000"/>
          <w:sz w:val="24"/>
          <w:szCs w:val="20"/>
        </w:rPr>
        <w:t>J.5 The Sixty-Day Stability Audit</w:t>
        <w:tab/>
        <w:t>46</w:t>
      </w:r>
    </w:p>
    <w:p>
      <w:pPr>
        <w:pStyle w:val="toc2"/>
      </w:pPr>
      <w:r>
        <w:rPr>
          <w:rFonts w:ascii="Calibri" w:hAnsi="Calibri" w:eastAsia="Calibri" w:cs="Calibri"/>
          <w:b w:val="0"/>
          <w:color w:val="000000"/>
          <w:sz w:val="24"/>
          <w:szCs w:val="20"/>
        </w:rPr>
        <w:t>J.6 The United States Rebalancing Timeline</w:t>
        <w:tab/>
        <w:t>46</w:t>
      </w:r>
    </w:p>
    <w:p>
      <w:pPr>
        <w:pStyle w:val="toc2"/>
      </w:pPr>
      <w:r>
        <w:rPr>
          <w:rFonts w:ascii="Calibri" w:hAnsi="Calibri" w:eastAsia="Calibri" w:cs="Calibri"/>
          <w:b w:val="0"/>
          <w:color w:val="000000"/>
          <w:sz w:val="24"/>
          <w:szCs w:val="20"/>
        </w:rPr>
        <w:t>J.7 Corridor Sequencing Rationale Mapped to the Negotiating Record</w:t>
        <w:tab/>
        <w:t>47</w:t>
      </w:r>
    </w:p>
    <w:p>
      <w:pPr>
        <w:pStyle w:val="toc2"/>
      </w:pPr>
      <w:r>
        <w:rPr>
          <w:rFonts w:ascii="Calibri" w:hAnsi="Calibri" w:eastAsia="Calibri" w:cs="Calibri"/>
          <w:b w:val="0"/>
          <w:color w:val="000000"/>
          <w:sz w:val="24"/>
          <w:szCs w:val="20"/>
        </w:rPr>
        <w:t>J.8 A Quick-Reference Card for Ship Masters</w:t>
        <w:tab/>
        <w:t>47</w:t>
      </w:r>
    </w:p>
    <w:p>
      <w:pPr>
        <w:pStyle w:val="toc2"/>
      </w:pPr>
      <w:r>
        <w:rPr>
          <w:rFonts w:ascii="Calibri" w:hAnsi="Calibri" w:eastAsia="Calibri" w:cs="Calibri"/>
          <w:b w:val="0"/>
          <w:color w:val="000000"/>
          <w:sz w:val="24"/>
          <w:szCs w:val="20"/>
        </w:rPr>
        <w:t>J.9 Concurrent Activation Doctrine</w:t>
        <w:tab/>
        <w:t>48</w:t>
      </w:r>
    </w:p>
    <w:p>
      <w:pPr>
        <w:pStyle w:val="toc1"/>
      </w:pPr>
      <w:r>
        <w:rPr>
          <w:rFonts w:ascii="Calibri" w:hAnsi="Calibri" w:eastAsia="Calibri" w:cs="Calibri"/>
          <w:b/>
          <w:color w:val="000000"/>
          <w:sz w:val="24"/>
          <w:szCs w:val="20"/>
        </w:rPr>
        <w:t>Annex K Red Lines Register</w:t>
        <w:tab/>
        <w:t>48</w:t>
      </w:r>
    </w:p>
    <w:p>
      <w:pPr>
        <w:pStyle w:val="toc2"/>
      </w:pPr>
      <w:r>
        <w:rPr>
          <w:rFonts w:ascii="Calibri" w:hAnsi="Calibri" w:eastAsia="Calibri" w:cs="Calibri"/>
          <w:b w:val="0"/>
          <w:color w:val="000000"/>
          <w:sz w:val="24"/>
          <w:szCs w:val="20"/>
        </w:rPr>
        <w:t>K.1 The Register</w:t>
        <w:tab/>
        <w:t>48</w:t>
      </w:r>
    </w:p>
    <w:p>
      <w:pPr>
        <w:pStyle w:val="toc2"/>
      </w:pPr>
      <w:r>
        <w:rPr>
          <w:rFonts w:ascii="Calibri" w:hAnsi="Calibri" w:eastAsia="Calibri" w:cs="Calibri"/>
          <w:b w:val="0"/>
          <w:color w:val="000000"/>
          <w:sz w:val="24"/>
          <w:szCs w:val="20"/>
        </w:rPr>
        <w:t>K.2 The Perimeter Test</w:t>
        <w:tab/>
        <w:t>50</w:t>
      </w:r>
    </w:p>
    <w:p>
      <w:pPr>
        <w:pStyle w:val="toc2"/>
      </w:pPr>
      <w:r>
        <w:rPr>
          <w:rFonts w:ascii="Calibri" w:hAnsi="Calibri" w:eastAsia="Calibri" w:cs="Calibri"/>
          <w:b w:val="0"/>
          <w:color w:val="000000"/>
          <w:sz w:val="24"/>
          <w:szCs w:val="20"/>
        </w:rPr>
        <w:t>K.3 No Trading of Lines</w:t>
        <w:tab/>
        <w:t>50</w:t>
      </w:r>
    </w:p>
    <w:p>
      <w:pPr>
        <w:pStyle w:val="toc2"/>
      </w:pPr>
      <w:r>
        <w:rPr>
          <w:rFonts w:ascii="Calibri" w:hAnsi="Calibri" w:eastAsia="Calibri" w:cs="Calibri"/>
          <w:b w:val="0"/>
          <w:color w:val="000000"/>
          <w:sz w:val="24"/>
          <w:szCs w:val="20"/>
        </w:rPr>
        <w:t>K.4 Illustrative Perimeter Test Walkthrough</w:t>
        <w:tab/>
        <w:t>50</w:t>
      </w:r>
    </w:p>
    <w:p>
      <w:pPr>
        <w:pStyle w:val="toc2"/>
      </w:pPr>
      <w:r>
        <w:rPr>
          <w:rFonts w:ascii="Calibri" w:hAnsi="Calibri" w:eastAsia="Calibri" w:cs="Calibri"/>
          <w:b w:val="0"/>
          <w:color w:val="000000"/>
          <w:sz w:val="24"/>
          <w:szCs w:val="20"/>
        </w:rPr>
        <w:t>K.5 Illustrative Example: Two Lines in Apparent Tension</w:t>
        <w:tab/>
        <w:t>51</w:t>
      </w:r>
    </w:p>
    <w:p>
      <w:pPr>
        <w:pStyle w:val="toc1"/>
      </w:pPr>
      <w:r>
        <w:rPr>
          <w:rFonts w:ascii="Calibri" w:hAnsi="Calibri" w:eastAsia="Calibri" w:cs="Calibri"/>
          <w:b/>
          <w:color w:val="000000"/>
          <w:sz w:val="24"/>
          <w:szCs w:val="20"/>
        </w:rPr>
        <w:t>Annex L Accession Protocol</w:t>
        <w:tab/>
        <w:t>51</w:t>
      </w:r>
    </w:p>
    <w:p>
      <w:pPr>
        <w:pStyle w:val="toc2"/>
      </w:pPr>
      <w:r>
        <w:rPr>
          <w:rFonts w:ascii="Calibri" w:hAnsi="Calibri" w:eastAsia="Calibri" w:cs="Calibri"/>
          <w:b w:val="0"/>
          <w:color w:val="000000"/>
          <w:sz w:val="24"/>
          <w:szCs w:val="20"/>
        </w:rPr>
        <w:t>L.1 The Layered Participant Structure</w:t>
        <w:tab/>
        <w:t>51</w:t>
      </w:r>
    </w:p>
    <w:p>
      <w:pPr>
        <w:pStyle w:val="toc2"/>
      </w:pPr>
      <w:r>
        <w:rPr>
          <w:rFonts w:ascii="Calibri" w:hAnsi="Calibri" w:eastAsia="Calibri" w:cs="Calibri"/>
          <w:b w:val="0"/>
          <w:color w:val="000000"/>
          <w:sz w:val="24"/>
          <w:szCs w:val="20"/>
        </w:rPr>
        <w:t>L.2 The Accession Sequence</w:t>
        <w:tab/>
        <w:t>52</w:t>
      </w:r>
    </w:p>
    <w:p>
      <w:pPr>
        <w:pStyle w:val="toc2"/>
      </w:pPr>
      <w:r>
        <w:rPr>
          <w:rFonts w:ascii="Calibri" w:hAnsi="Calibri" w:eastAsia="Calibri" w:cs="Calibri"/>
          <w:b w:val="0"/>
          <w:color w:val="000000"/>
          <w:sz w:val="24"/>
          <w:szCs w:val="20"/>
        </w:rPr>
        <w:t>L.3 The Gulf Fast-Track</w:t>
        <w:tab/>
        <w:t>52</w:t>
      </w:r>
    </w:p>
    <w:p>
      <w:pPr>
        <w:pStyle w:val="toc2"/>
      </w:pPr>
      <w:r>
        <w:rPr>
          <w:rFonts w:ascii="Calibri" w:hAnsi="Calibri" w:eastAsia="Calibri" w:cs="Calibri"/>
          <w:b w:val="0"/>
          <w:color w:val="000000"/>
          <w:sz w:val="24"/>
          <w:szCs w:val="20"/>
        </w:rPr>
        <w:t>L.4 The Standard Track</w:t>
        <w:tab/>
        <w:t>52</w:t>
      </w:r>
    </w:p>
    <w:p>
      <w:pPr>
        <w:pStyle w:val="toc2"/>
      </w:pPr>
      <w:r>
        <w:rPr>
          <w:rFonts w:ascii="Calibri" w:hAnsi="Calibri" w:eastAsia="Calibri" w:cs="Calibri"/>
          <w:b w:val="0"/>
          <w:color w:val="000000"/>
          <w:sz w:val="24"/>
          <w:szCs w:val="20"/>
        </w:rPr>
        <w:t>L.5 Non-Discrimination</w:t>
        <w:tab/>
        <w:t>53</w:t>
      </w:r>
    </w:p>
    <w:p>
      <w:pPr>
        <w:pStyle w:val="toc2"/>
      </w:pPr>
      <w:r>
        <w:rPr>
          <w:rFonts w:ascii="Calibri" w:hAnsi="Calibri" w:eastAsia="Calibri" w:cs="Calibri"/>
          <w:b w:val="0"/>
          <w:color w:val="000000"/>
          <w:sz w:val="24"/>
          <w:szCs w:val="20"/>
        </w:rPr>
        <w:t>L.6 Non-State Participant Accession</w:t>
        <w:tab/>
        <w:t>53</w:t>
      </w:r>
    </w:p>
    <w:p>
      <w:pPr>
        <w:pStyle w:val="toc2"/>
      </w:pPr>
      <w:r>
        <w:rPr>
          <w:rFonts w:ascii="Calibri" w:hAnsi="Calibri" w:eastAsia="Calibri" w:cs="Calibri"/>
          <w:b w:val="0"/>
          <w:color w:val="000000"/>
          <w:sz w:val="24"/>
          <w:szCs w:val="20"/>
        </w:rPr>
        <w:t>L.7 Illustrative Accession Checklist</w:t>
        <w:tab/>
        <w:t>53</w:t>
      </w:r>
    </w:p>
    <w:p>
      <w:pPr>
        <w:pStyle w:val="toc1"/>
      </w:pPr>
      <w:r>
        <w:rPr>
          <w:rFonts w:ascii="Calibri" w:hAnsi="Calibri" w:eastAsia="Calibri" w:cs="Calibri"/>
          <w:b/>
          <w:color w:val="000000"/>
          <w:sz w:val="24"/>
          <w:szCs w:val="20"/>
        </w:rPr>
        <w:t>Annex M Definitions</w:t>
        <w:tab/>
        <w:t>53</w:t>
      </w:r>
    </w:p>
    <w:p>
      <w:pPr>
        <w:pStyle w:val="toc1"/>
      </w:pPr>
      <w:r>
        <w:rPr>
          <w:rFonts w:ascii="Calibri" w:hAnsi="Calibri" w:eastAsia="Calibri" w:cs="Calibri"/>
          <w:b/>
          <w:color w:val="000000"/>
          <w:sz w:val="24"/>
          <w:szCs w:val="20"/>
        </w:rPr>
        <w:t>Annex N Hormuz Reconstruction and Development Facility Charter</w:t>
        <w:tab/>
        <w:t>56</w:t>
      </w:r>
    </w:p>
    <w:p>
      <w:pPr>
        <w:pStyle w:val="toc2"/>
      </w:pPr>
      <w:r>
        <w:rPr>
          <w:rFonts w:ascii="Calibri" w:hAnsi="Calibri" w:eastAsia="Calibri" w:cs="Calibri"/>
          <w:b w:val="0"/>
          <w:color w:val="000000"/>
          <w:sz w:val="24"/>
          <w:szCs w:val="20"/>
        </w:rPr>
        <w:t>N.1 Structural Principle: Investment, Not Compensation</w:t>
        <w:tab/>
        <w:t>56</w:t>
      </w:r>
    </w:p>
    <w:p>
      <w:pPr>
        <w:pStyle w:val="toc2"/>
      </w:pPr>
      <w:r>
        <w:rPr>
          <w:rFonts w:ascii="Calibri" w:hAnsi="Calibri" w:eastAsia="Calibri" w:cs="Calibri"/>
          <w:b w:val="0"/>
          <w:color w:val="000000"/>
          <w:sz w:val="24"/>
          <w:szCs w:val="20"/>
        </w:rPr>
        <w:t>N.2 Capitalization Sources</w:t>
        <w:tab/>
        <w:t>56</w:t>
      </w:r>
    </w:p>
    <w:p>
      <w:pPr>
        <w:pStyle w:val="toc2"/>
      </w:pPr>
      <w:r>
        <w:rPr>
          <w:rFonts w:ascii="Calibri" w:hAnsi="Calibri" w:eastAsia="Calibri" w:cs="Calibri"/>
          <w:b w:val="0"/>
          <w:color w:val="000000"/>
          <w:sz w:val="24"/>
          <w:szCs w:val="20"/>
        </w:rPr>
        <w:t>N.3 Governance</w:t>
        <w:tab/>
        <w:t>57</w:t>
      </w:r>
    </w:p>
    <w:p>
      <w:pPr>
        <w:pStyle w:val="toc2"/>
      </w:pPr>
      <w:r>
        <w:rPr>
          <w:rFonts w:ascii="Calibri" w:hAnsi="Calibri" w:eastAsia="Calibri" w:cs="Calibri"/>
          <w:b w:val="0"/>
          <w:color w:val="000000"/>
          <w:sz w:val="24"/>
          <w:szCs w:val="20"/>
        </w:rPr>
        <w:t>N.4 Project Categories</w:t>
        <w:tab/>
        <w:t>57</w:t>
      </w:r>
    </w:p>
    <w:p>
      <w:pPr>
        <w:pStyle w:val="toc2"/>
      </w:pPr>
      <w:r>
        <w:rPr>
          <w:rFonts w:ascii="Calibri" w:hAnsi="Calibri" w:eastAsia="Calibri" w:cs="Calibri"/>
          <w:b w:val="0"/>
          <w:color w:val="000000"/>
          <w:sz w:val="24"/>
          <w:szCs w:val="20"/>
        </w:rPr>
        <w:t>N.5 Disbursement Schedule</w:t>
        <w:tab/>
        <w:t>57</w:t>
      </w:r>
    </w:p>
    <w:p>
      <w:pPr>
        <w:pStyle w:val="toc2"/>
      </w:pPr>
      <w:r>
        <w:rPr>
          <w:rFonts w:ascii="Calibri" w:hAnsi="Calibri" w:eastAsia="Calibri" w:cs="Calibri"/>
          <w:b w:val="0"/>
          <w:color w:val="000000"/>
          <w:sz w:val="24"/>
          <w:szCs w:val="20"/>
        </w:rPr>
        <w:t>N.6 Transparency</w:t>
        <w:tab/>
        <w:t>57</w:t>
      </w:r>
    </w:p>
    <w:p>
      <w:pPr>
        <w:pStyle w:val="toc2"/>
      </w:pPr>
      <w:r>
        <w:rPr>
          <w:rFonts w:ascii="Calibri" w:hAnsi="Calibri" w:eastAsia="Calibri" w:cs="Calibri"/>
          <w:b w:val="0"/>
          <w:color w:val="000000"/>
          <w:sz w:val="24"/>
          <w:szCs w:val="20"/>
        </w:rPr>
        <w:t>N.7 Relationship to Sanctions Relief</w:t>
        <w:tab/>
        <w:t>57</w:t>
      </w:r>
    </w:p>
    <w:p>
      <w:pPr>
        <w:pStyle w:val="toc2"/>
      </w:pPr>
      <w:r>
        <w:rPr>
          <w:rFonts w:ascii="Calibri" w:hAnsi="Calibri" w:eastAsia="Calibri" w:cs="Calibri"/>
          <w:b w:val="0"/>
          <w:color w:val="000000"/>
          <w:sz w:val="24"/>
          <w:szCs w:val="20"/>
        </w:rPr>
        <w:t>N.8 Illustrative First-Year Capitalization Timeline</w:t>
        <w:tab/>
        <w:t>58</w:t>
      </w:r>
    </w:p>
    <w:p>
      <w:pPr>
        <w:pStyle w:val="toc1"/>
      </w:pPr>
      <w:r>
        <w:rPr>
          <w:rFonts w:ascii="Calibri" w:hAnsi="Calibri" w:eastAsia="Calibri" w:cs="Calibri"/>
          <w:b/>
          <w:color w:val="000000"/>
          <w:sz w:val="24"/>
          <w:szCs w:val="20"/>
        </w:rPr>
        <w:t>Annex O Standard Forms</w:t>
        <w:tab/>
        <w:t>58</w:t>
      </w:r>
    </w:p>
    <w:p>
      <w:pPr>
        <w:pStyle w:val="toc2"/>
      </w:pPr>
      <w:r>
        <w:rPr>
          <w:rFonts w:ascii="Calibri" w:hAnsi="Calibri" w:eastAsia="Calibri" w:cs="Calibri"/>
          <w:b w:val="0"/>
          <w:color w:val="000000"/>
          <w:sz w:val="24"/>
          <w:szCs w:val="20"/>
        </w:rPr>
        <w:t>O.1 Form HTP-1: Transit Notification</w:t>
        <w:tab/>
        <w:t>58</w:t>
      </w:r>
    </w:p>
    <w:p>
      <w:pPr>
        <w:pStyle w:val="toc2"/>
      </w:pPr>
      <w:r>
        <w:rPr>
          <w:rFonts w:ascii="Calibri" w:hAnsi="Calibri" w:eastAsia="Calibri" w:cs="Calibri"/>
          <w:b w:val="0"/>
          <w:color w:val="000000"/>
          <w:sz w:val="24"/>
          <w:szCs w:val="20"/>
        </w:rPr>
        <w:t>O.2 Form HTP-2: Incident Report</w:t>
        <w:tab/>
        <w:t>59</w:t>
      </w:r>
    </w:p>
    <w:p>
      <w:pPr>
        <w:pStyle w:val="toc2"/>
      </w:pPr>
      <w:r>
        <w:rPr>
          <w:rFonts w:ascii="Calibri" w:hAnsi="Calibri" w:eastAsia="Calibri" w:cs="Calibri"/>
          <w:b w:val="0"/>
          <w:color w:val="000000"/>
          <w:sz w:val="24"/>
          <w:szCs w:val="20"/>
        </w:rPr>
        <w:t>O.3 Form HTP-3: Humanitarian Priority Certification</w:t>
        <w:tab/>
        <w:t>60</w:t>
      </w:r>
    </w:p>
    <w:p>
      <w:pPr>
        <w:pStyle w:val="toc2"/>
      </w:pPr>
      <w:r>
        <w:rPr>
          <w:rFonts w:ascii="Calibri" w:hAnsi="Calibri" w:eastAsia="Calibri" w:cs="Calibri"/>
          <w:b w:val="0"/>
          <w:color w:val="000000"/>
          <w:sz w:val="24"/>
          <w:szCs w:val="20"/>
        </w:rPr>
        <w:t>O.4 Form HTP-4: Compliance Verification Claim</w:t>
        <w:tab/>
        <w:t>60</w:t>
      </w:r>
    </w:p>
    <w:p>
      <w:pPr>
        <w:pStyle w:val="toc1"/>
      </w:pPr>
      <w:r>
        <w:rPr>
          <w:rFonts w:ascii="Calibri" w:hAnsi="Calibri" w:eastAsia="Calibri" w:cs="Calibri"/>
          <w:b/>
          <w:color w:val="000000"/>
          <w:sz w:val="24"/>
          <w:szCs w:val="20"/>
        </w:rPr>
        <w:t>Annex P The Nuclear and Strategic Issues Firewall Statement</w:t>
        <w:tab/>
        <w:t>60</w:t>
      </w:r>
    </w:p>
    <w:p>
      <w:pPr>
        <w:pStyle w:val="toc2"/>
      </w:pPr>
      <w:r>
        <w:rPr>
          <w:rFonts w:ascii="Calibri" w:hAnsi="Calibri" w:eastAsia="Calibri" w:cs="Calibri"/>
          <w:b w:val="0"/>
          <w:color w:val="000000"/>
          <w:sz w:val="24"/>
          <w:szCs w:val="20"/>
        </w:rPr>
        <w:t>P.1 Scope Exclusion</w:t>
        <w:tab/>
        <w:t>60</w:t>
      </w:r>
    </w:p>
    <w:p>
      <w:pPr>
        <w:pStyle w:val="toc2"/>
      </w:pPr>
      <w:r>
        <w:rPr>
          <w:rFonts w:ascii="Calibri" w:hAnsi="Calibri" w:eastAsia="Calibri" w:cs="Calibri"/>
          <w:b w:val="0"/>
          <w:color w:val="000000"/>
          <w:sz w:val="24"/>
          <w:szCs w:val="20"/>
        </w:rPr>
        <w:t>P.2 The Separate Instrument</w:t>
        <w:tab/>
        <w:t>61</w:t>
      </w:r>
    </w:p>
    <w:p>
      <w:pPr>
        <w:pStyle w:val="toc2"/>
      </w:pPr>
      <w:r>
        <w:rPr>
          <w:rFonts w:ascii="Calibri" w:hAnsi="Calibri" w:eastAsia="Calibri" w:cs="Calibri"/>
          <w:b w:val="0"/>
          <w:color w:val="000000"/>
          <w:sz w:val="24"/>
          <w:szCs w:val="20"/>
        </w:rPr>
        <w:t>P.3 No Cross-Linkage</w:t>
        <w:tab/>
        <w:t>61</w:t>
      </w:r>
    </w:p>
    <w:p>
      <w:pPr>
        <w:pStyle w:val="toc2"/>
      </w:pPr>
      <w:r>
        <w:rPr>
          <w:rFonts w:ascii="Calibri" w:hAnsi="Calibri" w:eastAsia="Calibri" w:cs="Calibri"/>
          <w:b w:val="0"/>
          <w:color w:val="000000"/>
          <w:sz w:val="24"/>
          <w:szCs w:val="20"/>
        </w:rPr>
        <w:t>P.4 Rationale</w:t>
        <w:tab/>
        <w:t>61</w:t>
      </w:r>
    </w:p>
    <w:p>
      <w:pPr>
        <w:pStyle w:val="toc1"/>
      </w:pPr>
      <w:r>
        <w:rPr>
          <w:rFonts w:ascii="Calibri" w:hAnsi="Calibri" w:eastAsia="Calibri" w:cs="Calibri"/>
          <w:b/>
          <w:color w:val="000000"/>
          <w:sz w:val="24"/>
          <w:szCs w:val="20"/>
        </w:rPr>
        <w:t>Annex Q Technical Schedules and Thresholds</w:t>
        <w:tab/>
        <w:t>61</w:t>
      </w:r>
    </w:p>
    <w:p>
      <w:pPr>
        <w:pStyle w:val="toc2"/>
      </w:pPr>
      <w:r>
        <w:rPr>
          <w:rFonts w:ascii="Calibri" w:hAnsi="Calibri" w:eastAsia="Calibri" w:cs="Calibri"/>
          <w:b w:val="0"/>
          <w:color w:val="000000"/>
          <w:sz w:val="24"/>
          <w:szCs w:val="20"/>
        </w:rPr>
        <w:t>Q.1 Data Quality Standards</w:t>
        <w:tab/>
        <w:t>61</w:t>
      </w:r>
    </w:p>
    <w:p>
      <w:pPr>
        <w:pStyle w:val="toc2"/>
      </w:pPr>
      <w:r>
        <w:rPr>
          <w:rFonts w:ascii="Calibri" w:hAnsi="Calibri" w:eastAsia="Calibri" w:cs="Calibri"/>
          <w:b w:val="0"/>
          <w:color w:val="000000"/>
          <w:sz w:val="24"/>
          <w:szCs w:val="20"/>
        </w:rPr>
        <w:t>Q.2 Corridor Safety Parameters</w:t>
        <w:tab/>
        <w:t>62</w:t>
      </w:r>
    </w:p>
    <w:p>
      <w:pPr>
        <w:pStyle w:val="toc2"/>
      </w:pPr>
      <w:r>
        <w:rPr>
          <w:rFonts w:ascii="Calibri" w:hAnsi="Calibri" w:eastAsia="Calibri" w:cs="Calibri"/>
          <w:b w:val="0"/>
          <w:color w:val="000000"/>
          <w:sz w:val="24"/>
          <w:szCs w:val="20"/>
        </w:rPr>
        <w:t>Q.3 Standoff Geometry</w:t>
        <w:tab/>
        <w:t>62</w:t>
      </w:r>
    </w:p>
    <w:p>
      <w:pPr>
        <w:pStyle w:val="toc2"/>
      </w:pPr>
      <w:r>
        <w:rPr>
          <w:rFonts w:ascii="Calibri" w:hAnsi="Calibri" w:eastAsia="Calibri" w:cs="Calibri"/>
          <w:b w:val="0"/>
          <w:color w:val="000000"/>
          <w:sz w:val="24"/>
          <w:szCs w:val="20"/>
        </w:rPr>
        <w:t>Q.4 Environmental and Green Discount Standards</w:t>
        <w:tab/>
        <w:t>63</w:t>
      </w:r>
    </w:p>
    <w:p>
      <w:pPr>
        <w:pStyle w:val="toc2"/>
      </w:pPr>
      <w:r>
        <w:rPr>
          <w:rFonts w:ascii="Calibri" w:hAnsi="Calibri" w:eastAsia="Calibri" w:cs="Calibri"/>
          <w:b w:val="0"/>
          <w:color w:val="000000"/>
          <w:sz w:val="24"/>
          <w:szCs w:val="20"/>
        </w:rPr>
        <w:t>Q.5 Fee and Fund Parameters</w:t>
        <w:tab/>
        <w:t>63</w:t>
      </w:r>
    </w:p>
    <w:p>
      <w:pPr>
        <w:pStyle w:val="toc1"/>
      </w:pPr>
      <w:r>
        <w:rPr>
          <w:rFonts w:ascii="Calibri" w:hAnsi="Calibri" w:eastAsia="Calibri" w:cs="Calibri"/>
          <w:b/>
          <w:color w:val="000000"/>
          <w:sz w:val="24"/>
          <w:szCs w:val="20"/>
        </w:rPr>
        <w:t>Annex R Frequently Raised Objections and Responses</w:t>
        <w:tab/>
        <w:t>63</w:t>
      </w:r>
    </w:p>
    <w:p>
      <w:pPr>
        <w:pStyle w:val="toc2"/>
      </w:pPr>
      <w:r>
        <w:rPr>
          <w:rFonts w:ascii="Calibri" w:hAnsi="Calibri" w:eastAsia="Calibri" w:cs="Calibri"/>
          <w:b w:val="0"/>
          <w:color w:val="000000"/>
          <w:sz w:val="24"/>
          <w:szCs w:val="20"/>
        </w:rPr>
        <w:t>R.1 "This gives Iran control too quickly."</w:t>
        <w:tab/>
        <w:t>63</w:t>
      </w:r>
    </w:p>
    <w:p>
      <w:pPr>
        <w:pStyle w:val="toc2"/>
      </w:pPr>
      <w:r>
        <w:rPr>
          <w:rFonts w:ascii="Calibri" w:hAnsi="Calibri" w:eastAsia="Calibri" w:cs="Calibri"/>
          <w:b w:val="0"/>
          <w:color w:val="000000"/>
          <w:sz w:val="24"/>
          <w:szCs w:val="20"/>
        </w:rPr>
        <w:t>R.2 "What stops Iran from gaming the verification system?"</w:t>
        <w:tab/>
        <w:t>64</w:t>
      </w:r>
    </w:p>
    <w:p>
      <w:pPr>
        <w:pStyle w:val="toc2"/>
      </w:pPr>
      <w:r>
        <w:rPr>
          <w:rFonts w:ascii="Calibri" w:hAnsi="Calibri" w:eastAsia="Calibri" w:cs="Calibri"/>
          <w:b w:val="0"/>
          <w:color w:val="000000"/>
          <w:sz w:val="24"/>
          <w:szCs w:val="20"/>
        </w:rPr>
        <w:t>R.3 "Nothing short of full, permanent United States naval primacy in the Gulf is acceptable."</w:t>
        <w:tab/>
        <w:t>64</w:t>
      </w:r>
    </w:p>
    <w:p>
      <w:pPr>
        <w:pStyle w:val="toc2"/>
      </w:pPr>
      <w:r>
        <w:rPr>
          <w:rFonts w:ascii="Calibri" w:hAnsi="Calibri" w:eastAsia="Calibri" w:cs="Calibri"/>
          <w:b w:val="0"/>
          <w:color w:val="000000"/>
          <w:sz w:val="24"/>
          <w:szCs w:val="20"/>
        </w:rPr>
        <w:t>R.4 "Five days is not enough time to verify anything real."</w:t>
        <w:tab/>
        <w:t>64</w:t>
      </w:r>
    </w:p>
    <w:p>
      <w:pPr>
        <w:pStyle w:val="toc2"/>
      </w:pPr>
      <w:r>
        <w:rPr>
          <w:rFonts w:ascii="Calibri" w:hAnsi="Calibri" w:eastAsia="Calibri" w:cs="Calibri"/>
          <w:b w:val="0"/>
          <w:color w:val="000000"/>
          <w:sz w:val="24"/>
          <w:szCs w:val="20"/>
        </w:rPr>
        <w:t>R.5 "Gulf states get nothing but an observer seat."</w:t>
        <w:tab/>
        <w:t>64</w:t>
      </w:r>
    </w:p>
    <w:p>
      <w:pPr>
        <w:pStyle w:val="toc2"/>
      </w:pPr>
      <w:r>
        <w:rPr>
          <w:rFonts w:ascii="Calibri" w:hAnsi="Calibri" w:eastAsia="Calibri" w:cs="Calibri"/>
          <w:b w:val="0"/>
          <w:color w:val="000000"/>
          <w:sz w:val="24"/>
          <w:szCs w:val="20"/>
        </w:rPr>
        <w:t>R.6 "The fee structure is just a toll with extra steps."</w:t>
        <w:tab/>
        <w:t>64</w:t>
      </w:r>
    </w:p>
    <w:p>
      <w:pPr>
        <w:pStyle w:val="toc2"/>
      </w:pPr>
      <w:r>
        <w:rPr>
          <w:rFonts w:ascii="Calibri" w:hAnsi="Calibri" w:eastAsia="Calibri" w:cs="Calibri"/>
          <w:b w:val="0"/>
          <w:color w:val="000000"/>
          <w:sz w:val="24"/>
          <w:szCs w:val="20"/>
        </w:rPr>
        <w:t>R.7 "Why not just call the reconstruction facility compensation?"</w:t>
        <w:tab/>
        <w:t>65</w:t>
      </w:r>
    </w:p>
    <w:p>
      <w:pPr>
        <w:pStyle w:val="toc2"/>
      </w:pPr>
      <w:r>
        <w:rPr>
          <w:rFonts w:ascii="Calibri" w:hAnsi="Calibri" w:eastAsia="Calibri" w:cs="Calibri"/>
          <w:b w:val="0"/>
          <w:color w:val="000000"/>
          <w:sz w:val="24"/>
          <w:szCs w:val="20"/>
        </w:rPr>
        <w:t>R.8 "This is too complex to actually implement."</w:t>
        <w:tab/>
        <w:t>65</w:t>
      </w:r>
    </w:p>
    <w:p>
      <w:pPr>
        <w:pStyle w:val="toc1"/>
      </w:pPr>
      <w:r>
        <w:rPr>
          <w:rFonts w:ascii="Calibri" w:hAnsi="Calibri" w:eastAsia="Calibri" w:cs="Calibri"/>
          <w:b/>
          <w:color w:val="000000"/>
          <w:sz w:val="24"/>
          <w:szCs w:val="20"/>
        </w:rPr>
        <w:t>Annex S Comparative Precedents in Strait Governance</w:t>
        <w:tab/>
        <w:t>65</w:t>
      </w:r>
    </w:p>
    <w:p>
      <w:pPr>
        <w:pStyle w:val="toc2"/>
      </w:pPr>
      <w:r>
        <w:rPr>
          <w:rFonts w:ascii="Calibri" w:hAnsi="Calibri" w:eastAsia="Calibri" w:cs="Calibri"/>
          <w:b w:val="0"/>
          <w:color w:val="000000"/>
          <w:sz w:val="24"/>
          <w:szCs w:val="20"/>
        </w:rPr>
        <w:t>S.1 The Common Lesson: Phasing Prevents Zero-Sum Conflict</w:t>
        <w:tab/>
        <w:t>66</w:t>
      </w:r>
    </w:p>
    <w:p>
      <w:pPr>
        <w:pStyle w:val="toc2"/>
      </w:pPr>
      <w:r>
        <w:rPr>
          <w:rFonts w:ascii="Calibri" w:hAnsi="Calibri" w:eastAsia="Calibri" w:cs="Calibri"/>
          <w:b w:val="0"/>
          <w:color w:val="000000"/>
          <w:sz w:val="24"/>
          <w:szCs w:val="20"/>
        </w:rPr>
        <w:t>S.2 Why This Accord Departs From Precedent on Speed</w:t>
        <w:tab/>
        <w:t>66</w:t>
      </w:r>
    </w:p>
    <w:p>
      <w:pPr>
        <w:pStyle w:val="toc1"/>
      </w:pPr>
      <w:r>
        <w:rPr>
          <w:rFonts w:ascii="Calibri" w:hAnsi="Calibri" w:eastAsia="Calibri" w:cs="Calibri"/>
          <w:b/>
          <w:color w:val="000000"/>
          <w:sz w:val="24"/>
          <w:szCs w:val="20"/>
        </w:rPr>
        <w:t>Annex T Trilingual Key-Term Glossary</w:t>
        <w:tab/>
        <w:t>66</w:t>
      </w:r>
    </w:p>
    <w:p>
      <w:pPr>
        <w:pStyle w:val="toc1"/>
      </w:pPr>
      <w:r>
        <w:rPr>
          <w:rFonts w:ascii="Calibri" w:hAnsi="Calibri" w:eastAsia="Calibri" w:cs="Calibri"/>
          <w:b/>
          <w:color w:val="000000"/>
          <w:sz w:val="24"/>
          <w:szCs w:val="20"/>
        </w:rPr>
        <w:t>Annex U The Cost of Closure Compared to the Cost of This Accord</w:t>
        <w:tab/>
        <w:t>67</w:t>
      </w:r>
    </w:p>
    <w:p>
      <w:pPr>
        <w:pStyle w:val="toc2"/>
      </w:pPr>
      <w:r>
        <w:rPr>
          <w:rFonts w:ascii="Calibri" w:hAnsi="Calibri" w:eastAsia="Calibri" w:cs="Calibri"/>
          <w:b w:val="0"/>
          <w:color w:val="000000"/>
          <w:sz w:val="24"/>
          <w:szCs w:val="20"/>
        </w:rPr>
        <w:t>U.1 The Cost of Continued Closure</w:t>
        <w:tab/>
        <w:t>68</w:t>
      </w:r>
    </w:p>
    <w:p>
      <w:pPr>
        <w:pStyle w:val="toc2"/>
      </w:pPr>
      <w:r>
        <w:rPr>
          <w:rFonts w:ascii="Calibri" w:hAnsi="Calibri" w:eastAsia="Calibri" w:cs="Calibri"/>
          <w:b w:val="0"/>
          <w:color w:val="000000"/>
          <w:sz w:val="24"/>
          <w:szCs w:val="20"/>
        </w:rPr>
        <w:t>U.2 The Cost of This Accord’s Institutions</w:t>
        <w:tab/>
        <w:t>68</w:t>
      </w:r>
    </w:p>
    <w:p>
      <w:pPr>
        <w:pStyle w:val="toc2"/>
      </w:pPr>
      <w:r>
        <w:rPr>
          <w:rFonts w:ascii="Calibri" w:hAnsi="Calibri" w:eastAsia="Calibri" w:cs="Calibri"/>
          <w:b w:val="0"/>
          <w:color w:val="000000"/>
          <w:sz w:val="24"/>
          <w:szCs w:val="20"/>
        </w:rPr>
        <w:t>U.3 Why Simplicity Is Itself a Cost Control</w:t>
        <w:tab/>
        <w:t>69</w:t>
      </w:r>
    </w:p>
    <w:p>
      <w:pPr>
        <w:pStyle w:val="toc1"/>
      </w:pPr>
      <w:r>
        <w:rPr>
          <w:rFonts w:ascii="Calibri" w:hAnsi="Calibri" w:eastAsia="Calibri" w:cs="Calibri"/>
          <w:b/>
          <w:color w:val="000000"/>
          <w:sz w:val="24"/>
          <w:szCs w:val="20"/>
        </w:rPr>
        <w:t>Annex V Signature Blocks and Participants List</w:t>
        <w:tab/>
        <w:t>69</w:t>
      </w:r>
    </w:p>
    <w:p>
      <w:pPr>
        <w:pStyle w:val="toc2"/>
      </w:pPr>
      <w:r>
        <w:rPr>
          <w:rFonts w:ascii="Calibri" w:hAnsi="Calibri" w:eastAsia="Calibri" w:cs="Calibri"/>
          <w:b w:val="0"/>
          <w:color w:val="000000"/>
          <w:sz w:val="24"/>
          <w:szCs w:val="20"/>
        </w:rPr>
        <w:t>V.1 Founding Parties</w:t>
        <w:tab/>
        <w:t>69</w:t>
      </w:r>
    </w:p>
    <w:p>
      <w:pPr>
        <w:pStyle w:val="toc2"/>
      </w:pPr>
      <w:r>
        <w:rPr>
          <w:rFonts w:ascii="Calibri" w:hAnsi="Calibri" w:eastAsia="Calibri" w:cs="Calibri"/>
          <w:b w:val="0"/>
          <w:color w:val="000000"/>
          <w:sz w:val="24"/>
          <w:szCs w:val="20"/>
        </w:rPr>
        <w:t>V.2 Guarantor Endorsement</w:t>
        <w:tab/>
        <w:t>69</w:t>
      </w:r>
    </w:p>
    <w:p>
      <w:pPr>
        <w:pStyle w:val="toc2"/>
      </w:pPr>
      <w:r>
        <w:rPr>
          <w:rFonts w:ascii="Calibri" w:hAnsi="Calibri" w:eastAsia="Calibri" w:cs="Calibri"/>
          <w:b w:val="0"/>
          <w:color w:val="000000"/>
          <w:sz w:val="24"/>
          <w:szCs w:val="20"/>
        </w:rPr>
        <w:t>V.3 Observer Member Endorsement</w:t>
        <w:tab/>
        <w:t>69</w:t>
      </w:r>
    </w:p>
    <w:p>
      <w:pPr>
        <w:pStyle w:val="toc2"/>
      </w:pPr>
      <w:r>
        <w:rPr>
          <w:rFonts w:ascii="Calibri" w:hAnsi="Calibri" w:eastAsia="Calibri" w:cs="Calibri"/>
          <w:b w:val="0"/>
          <w:color w:val="000000"/>
          <w:sz w:val="24"/>
          <w:szCs w:val="20"/>
        </w:rPr>
        <w:t>V.4 Depositary Certification</w:t>
        <w:tab/>
        <w:t>70</w:t>
      </w:r>
    </w:p>
    <w:p>
      <w:pPr>
        <w:pStyle w:val="toc2"/>
        <w:sectPr>
          <w:headerReference w:type="default" r:id="rId7"/>
          <w:footerReference w:type="default" r:id="rId8"/>
          <w:pgSz w:w="12240" w:h="15840"/>
          <w:pgMar w:top="1440" w:right="1440" w:bottom="1440" w:left="1440" w:header="720" w:footer="720"/>
          <w:pgNumType w:start="1"/>
        </w:sectPr>
      </w:pPr>
      <w:r>
        <w:rPr>
          <w:rFonts w:ascii="Calibri" w:hAnsi="Calibri" w:eastAsia="Calibri" w:cs="Calibri"/>
          <w:b w:val="0"/>
          <w:color w:val="000000"/>
          <w:sz w:val="24"/>
          <w:szCs w:val="20"/>
        </w:rPr>
        <w:t>V.5 Closing Statement</w:t>
        <w:tab/>
        <w:t>70</w:t>
      </w:r>
    </w:p>
    <w:p>
      <w:pPr>
        <w:pStyle w:val="Heading1"/>
        <w:pBdr>
          <w:bottom w:val="single" w:color="A9862F" w:sz="8" w:space="6"/>
        </w:pBdr>
        <w:spacing w:after="240" w:before="480"/>
      </w:pPr>
      <w:r>
        <w:rPr>
          <w:rFonts w:ascii="Calibri" w:cs="Calibri" w:eastAsia="Calibri" w:hAnsi="Calibri"/>
          <w:b/>
          <w:color w:val="1B2A4A"/>
          <w:sz w:val="32"/>
          <w:szCs w:val="32"/>
        </w:rPr>
        <w:t>A Note on This Draft</w:t>
      </w:r>
    </w:p>
    <w:p>
      <w:pPr>
        <w:pStyle w:val="EndnoteText"/>
        <w:spacing w:after="200" w:before="0" w:line="288"/>
        <w:jc w:val="both"/>
      </w:pPr>
      <w:r>
        <w:rPr>
          <w:rFonts w:ascii="Calibri" w:cs="Calibri" w:eastAsia="Calibri" w:hAnsi="Calibri"/>
          <w:b w:val="false"/>
          <w:i w:val="false"/>
          <w:color w:val="1A1A1A"/>
          <w:sz w:val="22"/>
          <w:szCs w:val="22"/>
        </w:rPr>
        <w:t>This instrument is a negotiating text, prepared as a synthesis of the publicly reported state of the Iran-Oman-United States-GCC discussions on Strait of Hormuz governance through August 2026. It draws directly on the corridor architecture, fee-structure debate, and outstanding-issues list that the Iran-Oman working-group process produced through its Muscat sessions, on the demands each Party’s officials placed on the public record, and on the compliance and verification methodology developed for comparable stabilization frameworks elsewhere in the region.</w:t>
      </w:r>
    </w:p>
    <w:p>
      <w:pPr>
        <w:pStyle w:val="EndnoteText"/>
        <w:spacing w:after="200" w:before="0" w:line="288"/>
        <w:jc w:val="both"/>
      </w:pPr>
      <w:r>
        <w:rPr>
          <w:rFonts w:ascii="Calibri" w:cs="Calibri" w:eastAsia="Calibri" w:hAnsi="Calibri"/>
          <w:b w:val="false"/>
          <w:i w:val="false"/>
          <w:color w:val="1A1A1A"/>
          <w:sz w:val="22"/>
          <w:szCs w:val="22"/>
        </w:rPr>
        <w:t>This text is not an official government document, and it carries no signature from any government at the time of its preparation. It exists to give negotiators, advisors, and interested readers a single, complete, internally consistent draft of what a workable governance architecture looks like once every major outstanding issue in the public record receives a specific, operative answer, rather than a general statement of principle.</w:t>
      </w:r>
    </w:p>
    <w:p>
      <w:pPr>
        <w:pStyle w:val="EndnoteText"/>
        <w:spacing w:after="200" w:before="0" w:line="288"/>
        <w:jc w:val="both"/>
      </w:pPr>
      <w:r>
        <w:rPr>
          <w:rFonts w:ascii="Calibri" w:cs="Calibri" w:eastAsia="Calibri" w:hAnsi="Calibri"/>
          <w:b w:val="false"/>
          <w:i w:val="false"/>
          <w:color w:val="1A1A1A"/>
          <w:sz w:val="22"/>
          <w:szCs w:val="22"/>
        </w:rPr>
        <w:t>Three drafting commitments shape every choice in this text. First, the Core Accord in Part I stays short enough that a senior official reads it start to finish in one sitting, while every point of real complexity moves into a named Annex. Second, every provision uses direct, active, present-tense language, stating what a Party or an institution does rather than issuing a hierarchical command directed at it, so that the text reads as a description of a working system rather than a list of orders. Third, every number, deadline, and threshold in this text is a specific, falsifiable claim, not a placeholder, so that a reader tests the architecture’s internal consistency against the timeline and figures it actually states.</w:t>
      </w:r>
    </w:p>
    <w:p>
      <w:pPr>
        <w:pStyle w:val="EndnoteText"/>
        <w:spacing w:after="200" w:before="0" w:line="288"/>
        <w:jc w:val="both"/>
      </w:pPr>
      <w:r>
        <w:rPr>
          <w:rFonts w:ascii="Calibri" w:cs="Calibri" w:eastAsia="Calibri" w:hAnsi="Calibri"/>
          <w:b w:val="false"/>
          <w:i w:val="false"/>
          <w:color w:val="1A1A1A"/>
          <w:sz w:val="22"/>
          <w:szCs w:val="22"/>
        </w:rPr>
        <w:t>A reader comparing this text against the public record notices that it resolves several genuinely contested points in a specific direction, the balance of the fee architecture toward the Tri-Channel model, the security architecture toward the Twin-Key rule, the timeline toward a five-day physical reopening layered under a graduated institutional maturation. These are drafting choices, made to produce one coherent, internally consistent system rather than to present every open option side by side. Annex D Section D.8 records the leading fee-structure alternatives this text considered and did not adopt, and Annex R addresses the objections a reader most likely raises against the choices this text makes throughout.</w:t>
      </w:r>
    </w:p>
    <w:p>
      <w:pPr>
        <w:pStyle w:val="Heading1"/>
        <w:pBdr>
          <w:bottom w:val="single" w:color="A9862F" w:sz="8" w:space="6"/>
        </w:pBdr>
        <w:spacing w:after="240" w:before="480"/>
      </w:pPr>
      <w:r>
        <w:rPr>
          <w:rFonts w:ascii="Calibri" w:cs="Calibri" w:eastAsia="Calibri" w:hAnsi="Calibri"/>
          <w:b/>
          <w:color w:val="1B2A4A"/>
          <w:sz w:val="32"/>
          <w:szCs w:val="32"/>
        </w:rPr>
        <w:t>Preamble</w:t>
      </w:r>
    </w:p>
    <w:p>
      <w:pPr>
        <w:pStyle w:val="EndnoteText"/>
        <w:spacing w:after="200" w:before="0" w:line="288"/>
        <w:jc w:val="both"/>
      </w:pPr>
      <w:r>
        <w:rPr>
          <w:rFonts w:ascii="Calibri" w:cs="Calibri" w:eastAsia="Calibri" w:hAnsi="Calibri"/>
          <w:b w:val="false"/>
          <w:i w:val="false"/>
          <w:color w:val="1A1A1A"/>
          <w:sz w:val="22"/>
          <w:szCs w:val="22"/>
        </w:rPr>
        <w:t>The Islamic Republic of Iran, the Sultanate of Oman, and the other Parties and Participants identified in Annex L to this Accord, referred to collectively as "the Parties" and individually as "a Party",</w:t>
      </w:r>
    </w:p>
    <w:p>
      <w:pPr>
        <w:pStyle w:val="EndnoteText"/>
        <w:spacing w:after="200" w:before="0" w:line="288"/>
        <w:jc w:val="both"/>
      </w:pPr>
      <w:r>
        <w:rPr>
          <w:rFonts w:ascii="Calibri" w:cs="Calibri" w:eastAsia="Calibri" w:hAnsi="Calibri"/>
          <w:b w:val="false"/>
          <w:i w:val="false"/>
          <w:color w:val="1A1A1A"/>
          <w:sz w:val="22"/>
          <w:szCs w:val="22"/>
        </w:rPr>
        <w:t>Recognizing that the Strait of Hormuz carries a fifth of the world’s seaborne oil and a substantial share of the world’s liquefied natural gas, and that its closure since 28 February 2026 imposes sustained harm on the economies, energy security, and civilian populations of the littoral states, the wider region, and the global trading system,</w:t>
      </w:r>
    </w:p>
    <w:p>
      <w:pPr>
        <w:pStyle w:val="EndnoteText"/>
        <w:spacing w:after="200" w:before="0" w:line="288"/>
        <w:jc w:val="both"/>
      </w:pPr>
      <w:r>
        <w:rPr>
          <w:rFonts w:ascii="Calibri" w:cs="Calibri" w:eastAsia="Calibri" w:hAnsi="Calibri"/>
          <w:b w:val="false"/>
          <w:i w:val="false"/>
          <w:color w:val="1A1A1A"/>
          <w:sz w:val="22"/>
          <w:szCs w:val="22"/>
        </w:rPr>
        <w:t>Affirming the customary international law regime of transit passage through straits used for international navigation, as reflected in the United Nations Convention on the Law of the Sea, and affirming that this regime binds all States regardless of individual ratification status,</w:t>
      </w:r>
    </w:p>
    <w:p>
      <w:pPr>
        <w:pStyle w:val="EndnoteText"/>
        <w:spacing w:after="200" w:before="0" w:line="288"/>
        <w:jc w:val="both"/>
      </w:pPr>
      <w:r>
        <w:rPr>
          <w:rFonts w:ascii="Calibri" w:cs="Calibri" w:eastAsia="Calibri" w:hAnsi="Calibri"/>
          <w:b w:val="false"/>
          <w:i w:val="false"/>
          <w:color w:val="1A1A1A"/>
          <w:sz w:val="22"/>
          <w:szCs w:val="22"/>
        </w:rPr>
        <w:t>Noting the extensive technical convergence already achieved between Iran and Oman on corridor geometry, entry and exit points, and joint monitoring architecture during the Muscat working-group process of June through August 2026, and building directly on that convergence rather than reopening it,</w:t>
      </w:r>
    </w:p>
    <w:p>
      <w:pPr>
        <w:pStyle w:val="EndnoteText"/>
        <w:spacing w:after="200" w:before="0" w:line="288"/>
        <w:jc w:val="both"/>
      </w:pPr>
      <w:r>
        <w:rPr>
          <w:rFonts w:ascii="Calibri" w:cs="Calibri" w:eastAsia="Calibri" w:hAnsi="Calibri"/>
          <w:b w:val="false"/>
          <w:i w:val="false"/>
          <w:color w:val="1A1A1A"/>
          <w:sz w:val="22"/>
          <w:szCs w:val="22"/>
        </w:rPr>
        <w:t>Observing that four components remain outstanding at the date of this Accord: a settled security authority, a settled fee and revenue architecture, a settled reopening and activation mechanism, and settled multilateral acceptance, and structuring this Accord specifically to resolve those four components in a form that each Party’s domestic and international constituencies recognize as safe to sign,</w:t>
      </w:r>
    </w:p>
    <w:p>
      <w:pPr>
        <w:pStyle w:val="EndnoteText"/>
        <w:spacing w:after="200" w:before="0" w:line="288"/>
        <w:jc w:val="both"/>
      </w:pPr>
      <w:r>
        <w:rPr>
          <w:rFonts w:ascii="Calibri" w:cs="Calibri" w:eastAsia="Calibri" w:hAnsi="Calibri"/>
          <w:b w:val="false"/>
          <w:i w:val="false"/>
          <w:color w:val="1A1A1A"/>
          <w:sz w:val="22"/>
          <w:szCs w:val="22"/>
        </w:rPr>
        <w:t>Recording that this Accord treats governance of the Strait as a cooperative function among the coastal states and the wider international community, not as a cession of sovereignty by any Party, and that nothing in this Accord prejudices any Party’s position on sovereignty, territorial waters, or maritime boundaries,</w:t>
      </w:r>
    </w:p>
    <w:p>
      <w:pPr>
        <w:pStyle w:val="EndnoteText"/>
        <w:spacing w:after="200" w:before="0" w:line="288"/>
        <w:jc w:val="both"/>
      </w:pPr>
      <w:r>
        <w:rPr>
          <w:rFonts w:ascii="Calibri" w:cs="Calibri" w:eastAsia="Calibri" w:hAnsi="Calibri"/>
          <w:b w:val="false"/>
          <w:i w:val="false"/>
          <w:color w:val="1A1A1A"/>
          <w:sz w:val="22"/>
          <w:szCs w:val="22"/>
        </w:rPr>
        <w:t>Determining that a graduated architecture, beginning with an accelerated physical reopening and maturing over defined subsequent intervals into a permanent governance system, serves the interests of every Party better than either an instantaneous full transfer of authority or an indefinitely prolonged wartime posture,</w:t>
      </w:r>
    </w:p>
    <w:p>
      <w:pPr>
        <w:pStyle w:val="EndnoteText"/>
        <w:spacing w:after="200" w:before="0" w:line="288"/>
        <w:jc w:val="both"/>
      </w:pPr>
      <w:r>
        <w:rPr>
          <w:rFonts w:ascii="Calibri" w:cs="Calibri" w:eastAsia="Calibri" w:hAnsi="Calibri"/>
          <w:b w:val="false"/>
          <w:i w:val="false"/>
          <w:color w:val="1A1A1A"/>
          <w:sz w:val="22"/>
          <w:szCs w:val="22"/>
        </w:rPr>
        <w:t>Establishing an absolute Zero-Toll Rule that excludes any sovereign toll, levy, or condition on the act of passage itself, while creating lawful, audited, and sanctions-compatible channels through which the coastal states recover the genuine cost of navigation, safety, and environmental services,</w:t>
      </w:r>
    </w:p>
    <w:p>
      <w:pPr>
        <w:pStyle w:val="EndnoteText"/>
        <w:spacing w:after="200" w:before="0" w:line="288"/>
        <w:jc w:val="both"/>
      </w:pPr>
      <w:r>
        <w:rPr>
          <w:rFonts w:ascii="Calibri" w:cs="Calibri" w:eastAsia="Calibri" w:hAnsi="Calibri"/>
          <w:b w:val="false"/>
          <w:i w:val="false"/>
          <w:color w:val="1A1A1A"/>
          <w:sz w:val="22"/>
          <w:szCs w:val="22"/>
        </w:rPr>
        <w:t>Separating this Accord’s maritime governance architecture completely from the disposition of Iran’s nuclear program, which the Parties address exclusively through the distinct instruments identified in Article 11 and Annex P, so that neither track holds the other hostage,</w:t>
      </w:r>
    </w:p>
    <w:p>
      <w:pPr>
        <w:pStyle w:val="EndnoteText"/>
        <w:spacing w:after="200" w:before="0" w:line="288"/>
        <w:jc w:val="both"/>
      </w:pPr>
      <w:r>
        <w:rPr>
          <w:rFonts w:ascii="Calibri" w:cs="Calibri" w:eastAsia="Calibri" w:hAnsi="Calibri"/>
          <w:b w:val="false"/>
          <w:i w:val="false"/>
          <w:color w:val="1A1A1A"/>
          <w:sz w:val="22"/>
          <w:szCs w:val="22"/>
        </w:rPr>
        <w:t>Have agreed as follows:</w:t>
      </w:r>
    </w:p>
    <w:p>
      <w:pPr>
        <w:pStyle w:val="Heading1"/>
        <w:pBdr>
          <w:bottom w:val="single" w:color="A9862F" w:sz="8" w:space="6"/>
        </w:pBdr>
        <w:spacing w:after="240" w:before="480"/>
      </w:pPr>
      <w:r>
        <w:rPr>
          <w:rFonts w:ascii="Calibri" w:cs="Calibri" w:eastAsia="Calibri" w:hAnsi="Calibri"/>
          <w:b/>
          <w:color w:val="1B2A4A"/>
          <w:sz w:val="32"/>
          <w:szCs w:val="32"/>
        </w:rPr>
        <w:t>How This Accord Works</w:t>
      </w:r>
    </w:p>
    <w:p>
      <w:pPr>
        <w:pStyle w:val="EndnoteText"/>
        <w:spacing w:after="200" w:before="0" w:line="288"/>
        <w:jc w:val="both"/>
      </w:pPr>
      <w:r>
        <w:rPr>
          <w:rFonts w:ascii="Calibri" w:cs="Calibri" w:eastAsia="Calibri" w:hAnsi="Calibri"/>
          <w:b w:val="false"/>
          <w:i w:val="false"/>
          <w:color w:val="1A1A1A"/>
          <w:sz w:val="22"/>
          <w:szCs w:val="22"/>
        </w:rPr>
        <w:t>This section orients a first-time reader before the operative text begins. It carries no legal force of its own and repeats nothing that Part I or Part II state with binding effect.</w:t>
      </w:r>
    </w:p>
    <w:p>
      <w:pPr>
        <w:pStyle w:val="EndnoteText"/>
        <w:spacing w:after="200" w:before="0" w:line="288"/>
        <w:jc w:val="both"/>
      </w:pPr>
      <w:r>
        <w:rPr>
          <w:rFonts w:ascii="Calibri" w:cs="Calibri" w:eastAsia="Calibri" w:hAnsi="Calibri"/>
          <w:b w:val="false"/>
          <w:i w:val="false"/>
          <w:color w:val="1A1A1A"/>
          <w:sz w:val="22"/>
          <w:szCs w:val="22"/>
        </w:rPr>
        <w:t>This Accord separates two layers that earlier proposals often merged, to the detriment of both: a fast, simple physical reopening of the Strait, and a slower, carefully verified maturation of the institutions that govern it permanently. The Strait carries full commercial traffic again within five days of signature. The deeper architecture, security weighting, fee auditing, dispute institutions, and the United States security rebalancing, matures over the following weeks and months on a fixed, transparent, and self-executing schedule that no single Party controls unilaterally.</w:t>
      </w:r>
    </w:p>
    <w:p>
      <w:pPr>
        <w:pStyle w:val="EndnoteText"/>
        <w:spacing w:after="200" w:before="0" w:line="288"/>
        <w:jc w:val="both"/>
      </w:pPr>
      <w:r>
        <w:rPr>
          <w:rFonts w:ascii="Calibri" w:cs="Calibri" w:eastAsia="Calibri" w:hAnsi="Calibri"/>
          <w:b w:val="false"/>
          <w:i w:val="false"/>
          <w:color w:val="1A1A1A"/>
          <w:sz w:val="22"/>
          <w:szCs w:val="22"/>
        </w:rPr>
        <w:t>The table below summarizes the whole architecture in one view. Every row points to the Article and Annex that governs it in binding detail.</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900"/>
        <w:gridCol w:w="4900"/>
        <w:gridCol w:w="2550"/>
      </w:tblGrid>
      <w:tr>
        <w:trPr>
          <w:tblHeader w:val="1"/>
        </w:trPr>
        <w:tc>
          <w:tcPr>
            <w:tcW w:type="dxa" w:w="1900"/>
            <w:shd w:fill="1B2A4A" w:color="auto" w:val="clear"/>
            <w:tcMar>
              <w:top w:type="dxa" w:w="80"/>
              <w:left w:type="dxa" w:w="100"/>
              <w:bottom w:type="dxa" w:w="80"/>
              <w:right w:type="dxa" w:w="100"/>
            </w:tcMar>
            <w:vAlign w:val="center"/>
          </w:tcPr>
          <w:p>
            <w:pPr>
              <w:pStyle w:val="EndnoteText"/>
              <w:spacing w:after="60" w:before="60" w:line="260"/>
              <w:jc w:val="left"/>
            </w:pPr>
            <w:r>
              <w:rPr>
                <w:rFonts w:ascii="Calibri" w:cs="Calibri" w:eastAsia="Calibri" w:hAnsi="Calibri"/>
                <w:b/>
                <w:color w:val="FFFFFF"/>
                <w:sz w:val="20"/>
                <w:szCs w:val="20"/>
              </w:rPr>
              <w:t>Element</w:t>
            </w:r>
          </w:p>
        </w:tc>
        <w:tc>
          <w:tcPr>
            <w:tcW w:type="dxa" w:w="4900"/>
            <w:shd w:fill="1B2A4A" w:color="auto" w:val="clear"/>
            <w:tcMar>
              <w:top w:type="dxa" w:w="80"/>
              <w:left w:type="dxa" w:w="100"/>
              <w:bottom w:type="dxa" w:w="80"/>
              <w:right w:type="dxa" w:w="100"/>
            </w:tcMar>
            <w:vAlign w:val="center"/>
          </w:tcPr>
          <w:p>
            <w:pPr>
              <w:pStyle w:val="EndnoteText"/>
              <w:spacing w:after="60" w:before="60" w:line="260"/>
              <w:jc w:val="left"/>
            </w:pPr>
            <w:r>
              <w:rPr>
                <w:rFonts w:ascii="Calibri" w:cs="Calibri" w:eastAsia="Calibri" w:hAnsi="Calibri"/>
                <w:b/>
                <w:color w:val="FFFFFF"/>
                <w:sz w:val="20"/>
                <w:szCs w:val="20"/>
              </w:rPr>
              <w:t>Core Content</w:t>
            </w:r>
          </w:p>
        </w:tc>
        <w:tc>
          <w:tcPr>
            <w:tcW w:type="dxa" w:w="2550"/>
            <w:shd w:fill="1B2A4A" w:color="auto" w:val="clear"/>
            <w:tcMar>
              <w:top w:type="dxa" w:w="80"/>
              <w:left w:type="dxa" w:w="100"/>
              <w:bottom w:type="dxa" w:w="80"/>
              <w:right w:type="dxa" w:w="100"/>
            </w:tcMar>
            <w:vAlign w:val="center"/>
          </w:tcPr>
          <w:p>
            <w:pPr>
              <w:pStyle w:val="EndnoteText"/>
              <w:spacing w:after="60" w:before="60" w:line="260"/>
              <w:jc w:val="left"/>
            </w:pPr>
            <w:r>
              <w:rPr>
                <w:rFonts w:ascii="Calibri" w:cs="Calibri" w:eastAsia="Calibri" w:hAnsi="Calibri"/>
                <w:b/>
                <w:color w:val="FFFFFF"/>
                <w:sz w:val="20"/>
                <w:szCs w:val="20"/>
              </w:rPr>
              <w:t>Governing Text</w:t>
            </w:r>
          </w:p>
        </w:tc>
      </w:tr>
      <w:tr>
        <w:tc>
          <w:tcPr>
            <w:tcW w:type="dxa" w:w="1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Corridors</w:t>
            </w:r>
          </w:p>
        </w:tc>
        <w:tc>
          <w:tcPr>
            <w:tcW w:type="dxa" w:w="4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Three lanes: Inbound (Iran), Outbound (Oman), Buffer (joint), plus emergency overflow channels</w:t>
            </w:r>
          </w:p>
        </w:tc>
        <w:tc>
          <w:tcPr>
            <w:tcW w:type="dxa" w:w="255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5, Annex A</w:t>
            </w:r>
          </w:p>
        </w:tc>
      </w:tr>
      <w:tr>
        <w:tc>
          <w:tcPr>
            <w:tcW w:type="dxa" w:w="1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Transit Regime</w:t>
            </w:r>
          </w:p>
        </w:tc>
        <w:tc>
          <w:tcPr>
            <w:tcW w:type="dxa" w:w="4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File-and-acknowledge notification, no permission, no interdiction</w:t>
            </w:r>
          </w:p>
        </w:tc>
        <w:tc>
          <w:tcPr>
            <w:tcW w:type="dxa" w:w="255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6, Annex B</w:t>
            </w:r>
          </w:p>
        </w:tc>
      </w:tr>
      <w:tr>
        <w:tc>
          <w:tcPr>
            <w:tcW w:type="dxa" w:w="1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Security</w:t>
            </w:r>
          </w:p>
        </w:tc>
        <w:tc>
          <w:tcPr>
            <w:tcW w:type="dxa" w:w="4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Twin-Key concurrence, standoff geometry, hotline, Incident Ladder</w:t>
            </w:r>
          </w:p>
        </w:tc>
        <w:tc>
          <w:tcPr>
            <w:tcW w:type="dxa" w:w="255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9, Annex C</w:t>
            </w:r>
          </w:p>
        </w:tc>
      </w:tr>
      <w:tr>
        <w:tc>
          <w:tcPr>
            <w:tcW w:type="dxa" w:w="1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United States Role</w:t>
            </w:r>
          </w:p>
        </w:tc>
        <w:tc>
          <w:tcPr>
            <w:tcW w:type="dxa" w:w="4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Full transit rights, Phase-One escort, graduated rebalancing over 36 months</w:t>
            </w:r>
          </w:p>
        </w:tc>
        <w:tc>
          <w:tcPr>
            <w:tcW w:type="dxa" w:w="255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10, Annex C.9-C.11</w:t>
            </w:r>
          </w:p>
        </w:tc>
      </w:tr>
      <w:tr>
        <w:tc>
          <w:tcPr>
            <w:tcW w:type="dxa" w:w="1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Nuclear File</w:t>
            </w:r>
          </w:p>
        </w:tc>
        <w:tc>
          <w:tcPr>
            <w:tcW w:type="dxa" w:w="4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Fully firewalled, addressed on a separate instrument and timeline</w:t>
            </w:r>
          </w:p>
        </w:tc>
        <w:tc>
          <w:tcPr>
            <w:tcW w:type="dxa" w:w="255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11, Annex P</w:t>
            </w:r>
          </w:p>
        </w:tc>
      </w:tr>
      <w:tr>
        <w:tc>
          <w:tcPr>
            <w:tcW w:type="dxa" w:w="1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Fees</w:t>
            </w:r>
          </w:p>
        </w:tc>
        <w:tc>
          <w:tcPr>
            <w:tcW w:type="dxa" w:w="4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Zero-Toll Rule, closed service catalog, Tri-Channel funding</w:t>
            </w:r>
          </w:p>
        </w:tc>
        <w:tc>
          <w:tcPr>
            <w:tcW w:type="dxa" w:w="255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13, Annex D</w:t>
            </w:r>
          </w:p>
        </w:tc>
      </w:tr>
      <w:tr>
        <w:tc>
          <w:tcPr>
            <w:tcW w:type="dxa" w:w="1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Escalator</w:t>
            </w:r>
          </w:p>
        </w:tc>
        <w:tc>
          <w:tcPr>
            <w:tcW w:type="dxa" w:w="4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Iran’s functional weight grows 33% to 100% over seven clean weeks, 60% permanent floor</w:t>
            </w:r>
          </w:p>
        </w:tc>
        <w:tc>
          <w:tcPr>
            <w:tcW w:type="dxa" w:w="255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8, Annex G</w:t>
            </w:r>
          </w:p>
        </w:tc>
      </w:tr>
      <w:tr>
        <w:tc>
          <w:tcPr>
            <w:tcW w:type="dxa" w:w="1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Verification</w:t>
            </w:r>
          </w:p>
        </w:tc>
        <w:tc>
          <w:tcPr>
            <w:tcW w:type="dxa" w:w="4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Cothrom-Hormuz Method, four-tier compliance, human-anchored panel, earn-back</w:t>
            </w:r>
          </w:p>
        </w:tc>
        <w:tc>
          <w:tcPr>
            <w:tcW w:type="dxa" w:w="255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16, Annex F</w:t>
            </w:r>
          </w:p>
        </w:tc>
      </w:tr>
      <w:tr>
        <w:tc>
          <w:tcPr>
            <w:tcW w:type="dxa" w:w="1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Economic Carrot</w:t>
            </w:r>
          </w:p>
        </w:tc>
        <w:tc>
          <w:tcPr>
            <w:tcW w:type="dxa" w:w="4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Reconstruction and Development Facility, investment-for-transit, no US Treasury payment</w:t>
            </w:r>
          </w:p>
        </w:tc>
        <w:tc>
          <w:tcPr>
            <w:tcW w:type="dxa" w:w="255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15, Annex N</w:t>
            </w:r>
          </w:p>
        </w:tc>
      </w:tr>
      <w:tr>
        <w:tc>
          <w:tcPr>
            <w:tcW w:type="dxa" w:w="1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Institutions</w:t>
            </w:r>
          </w:p>
        </w:tc>
        <w:tc>
          <w:tcPr>
            <w:tcW w:type="dxa" w:w="4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Council, Secretariat, Maritime Coordination Center, Tribunal, Ombudsman</w:t>
            </w:r>
          </w:p>
        </w:tc>
        <w:tc>
          <w:tcPr>
            <w:tcW w:type="dxa" w:w="255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19, Annex E</w:t>
            </w:r>
          </w:p>
        </w:tc>
      </w:tr>
      <w:tr>
        <w:tc>
          <w:tcPr>
            <w:tcW w:type="dxa" w:w="1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Red Lines</w:t>
            </w:r>
          </w:p>
        </w:tc>
        <w:tc>
          <w:tcPr>
            <w:tcW w:type="dxa" w:w="4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34 protected interests, Perimeter Test, no trading of lines</w:t>
            </w:r>
          </w:p>
        </w:tc>
        <w:tc>
          <w:tcPr>
            <w:tcW w:type="dxa" w:w="255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Annex K</w:t>
            </w:r>
          </w:p>
        </w:tc>
      </w:tr>
      <w:tr>
        <w:tc>
          <w:tcPr>
            <w:tcW w:type="dxa" w:w="1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Opening</w:t>
            </w:r>
          </w:p>
        </w:tc>
        <w:tc>
          <w:tcPr>
            <w:tcW w:type="dxa" w:w="4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Five-day physical reopening, eight concurrent tracks, eight-gate schedule to Day 120</w:t>
            </w:r>
          </w:p>
        </w:tc>
        <w:tc>
          <w:tcPr>
            <w:tcW w:type="dxa" w:w="255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22, Annex J</w:t>
            </w:r>
          </w:p>
        </w:tc>
      </w:tr>
      <w:tr>
        <w:tc>
          <w:tcPr>
            <w:tcW w:type="dxa" w:w="1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Humanitarian</w:t>
            </w:r>
          </w:p>
        </w:tc>
        <w:tc>
          <w:tcPr>
            <w:tcW w:type="dxa" w:w="4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Absolute firewall for food, medicine, and relief cargo</w:t>
            </w:r>
          </w:p>
        </w:tc>
        <w:tc>
          <w:tcPr>
            <w:tcW w:type="dxa" w:w="255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18, Annex I</w:t>
            </w:r>
          </w:p>
        </w:tc>
      </w:tr>
      <w:tr>
        <w:tc>
          <w:tcPr>
            <w:tcW w:type="dxa" w:w="1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Accession</w:t>
            </w:r>
          </w:p>
        </w:tc>
        <w:tc>
          <w:tcPr>
            <w:tcW w:type="dxa" w:w="490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Open, non-discriminatory, Gulf Fast-Track and Standard Track</w:t>
            </w:r>
          </w:p>
        </w:tc>
        <w:tc>
          <w:tcPr>
            <w:tcW w:type="dxa" w:w="2550"/>
            <w:shd w:fill="F5F3EE"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21, Annex L</w:t>
            </w:r>
          </w:p>
        </w:tc>
      </w:tr>
      <w:tr>
        <w:tc>
          <w:tcPr>
            <w:tcW w:type="dxa" w:w="1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Duration</w:t>
            </w:r>
          </w:p>
        </w:tc>
        <w:tc>
          <w:tcPr>
            <w:tcW w:type="dxa" w:w="490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No sunset, five-year review, fifteen-year automatic renewal</w:t>
            </w:r>
          </w:p>
        </w:tc>
        <w:tc>
          <w:tcPr>
            <w:tcW w:type="dxa" w:w="2550"/>
            <w:shd w:fill="FFFFFF" w:color="auto" w:val="clear"/>
            <w:tcMar>
              <w:top w:type="dxa" w:w="70"/>
              <w:left w:type="dxa" w:w="100"/>
              <w:bottom w:type="dxa" w:w="70"/>
              <w:right w:type="dxa" w:w="100"/>
            </w:tcMar>
            <w:vAlign w:val="center"/>
          </w:tcPr>
          <w:p>
            <w:pPr>
              <w:pStyle w:val="EndnoteText"/>
              <w:spacing w:after="60" w:before="60" w:line="260"/>
              <w:jc w:val="left"/>
            </w:pPr>
            <w:r>
              <w:rPr>
                <w:rFonts w:ascii="Calibri" w:cs="Calibri" w:eastAsia="Calibri" w:hAnsi="Calibri"/>
                <w:b w:val="false"/>
                <w:color w:val="1A1A1A"/>
                <w:sz w:val="20"/>
                <w:szCs w:val="20"/>
              </w:rPr>
              <w:t>Article 23</w:t>
            </w:r>
          </w:p>
        </w:tc>
      </w:tr>
    </w:tbl>
    <w:p>
      <w:pPr>
        <w:pStyle w:val="EndnoteText"/>
        <w:spacing w:after="200" w:before="0" w:line="288"/>
        <w:jc w:val="both"/>
      </w:pPr>
      <w:r>
        <w:rPr>
          <w:rFonts w:ascii="Calibri" w:cs="Calibri" w:eastAsia="Calibri" w:hAnsi="Calibri"/>
          <w:b w:val="false"/>
          <w:i w:val="false"/>
          <w:color w:val="1A1A1A"/>
          <w:sz w:val="22"/>
          <w:szCs w:val="22"/>
        </w:rPr>
        <w:t>Three design commitments run through every Article and every Annex, and a reader checking this Accord for internal consistency tests every provision against these three commitments:</w:t>
      </w:r>
    </w:p>
    <w:p>
      <w:pPr>
        <w:pStyle w:val="ListParagraph"/>
        <w:numPr>
          <w:ilvl w:val="0"/>
          <w:numId w:val="1"/>
        </w:numPr>
        <w:spacing w:after="120" w:line="276"/>
      </w:pPr>
      <w:r>
        <w:rPr>
          <w:rFonts w:ascii="Calibri" w:cs="Calibri" w:eastAsia="Calibri" w:hAnsi="Calibri"/>
          <w:b/>
          <w:i w:val="false"/>
          <w:color w:val="1A1A1A"/>
          <w:sz w:val="22"/>
          <w:szCs w:val="22"/>
        </w:rPr>
        <w:t xml:space="preserve">Simplicity. </w:t>
      </w:r>
      <w:r>
        <w:rPr>
          <w:rFonts w:ascii="Calibri" w:cs="Calibri" w:eastAsia="Calibri" w:hAnsi="Calibri"/>
          <w:b w:val="false"/>
          <w:i w:val="false"/>
          <w:color w:val="1A1A1A"/>
          <w:sz w:val="22"/>
          <w:szCs w:val="22"/>
        </w:rPr>
        <w:t>A ship’s master, a port authority, and a junior desk officer at the Secretariat operate this system without specialized legal training. Where a choice exists between a more elegant mechanism and a simpler one, this Accord takes the simpler one.</w:t>
      </w:r>
    </w:p>
    <w:p>
      <w:pPr>
        <w:pStyle w:val="ListParagraph"/>
        <w:numPr>
          <w:ilvl w:val="0"/>
          <w:numId w:val="1"/>
        </w:numPr>
        <w:spacing w:after="120" w:line="276"/>
      </w:pPr>
      <w:r>
        <w:rPr>
          <w:rFonts w:ascii="Calibri" w:cs="Calibri" w:eastAsia="Calibri" w:hAnsi="Calibri"/>
          <w:b/>
          <w:i w:val="false"/>
          <w:color w:val="1A1A1A"/>
          <w:sz w:val="22"/>
          <w:szCs w:val="22"/>
        </w:rPr>
        <w:t xml:space="preserve">Cost-effectiveness. </w:t>
      </w:r>
      <w:r>
        <w:rPr>
          <w:rFonts w:ascii="Calibri" w:cs="Calibri" w:eastAsia="Calibri" w:hAnsi="Calibri"/>
          <w:b w:val="false"/>
          <w:i w:val="false"/>
          <w:color w:val="1A1A1A"/>
          <w:sz w:val="22"/>
          <w:szCs w:val="22"/>
        </w:rPr>
        <w:t>Every institution this Accord creates carries a specific, published funding source under Annex D or Annex N. This Accord excludes any institution or procedure that generates cost without a matching, transparent funding line.</w:t>
      </w:r>
    </w:p>
    <w:p>
      <w:pPr>
        <w:pStyle w:val="ListParagraph"/>
        <w:numPr>
          <w:ilvl w:val="0"/>
          <w:numId w:val="1"/>
        </w:numPr>
        <w:spacing w:after="120" w:line="276"/>
      </w:pPr>
      <w:r>
        <w:rPr>
          <w:rFonts w:ascii="Calibri" w:cs="Calibri" w:eastAsia="Calibri" w:hAnsi="Calibri"/>
          <w:b/>
          <w:i w:val="false"/>
          <w:color w:val="1A1A1A"/>
          <w:sz w:val="22"/>
          <w:szCs w:val="22"/>
        </w:rPr>
        <w:t xml:space="preserve">Synchronization. </w:t>
      </w:r>
      <w:r>
        <w:rPr>
          <w:rFonts w:ascii="Calibri" w:cs="Calibri" w:eastAsia="Calibri" w:hAnsi="Calibri"/>
          <w:b w:val="false"/>
          <w:i w:val="false"/>
          <w:color w:val="1A1A1A"/>
          <w:sz w:val="22"/>
          <w:szCs w:val="22"/>
        </w:rPr>
        <w:t>Wherever two Parties’ interests connect, this Accord ties their corresponding actions to the same gate, the same certification, or the same automatic trigger, so that no Party ever has to move first and wait, unverified, for a counterpart’s reciprocal action.</w:t>
      </w:r>
    </w:p>
    <w:p>
      <w:pPr>
        <w:pStyle w:val="Heading1"/>
        <w:pBdr>
          <w:bottom w:val="single" w:color="A9862F" w:sz="8" w:space="6"/>
        </w:pBdr>
        <w:spacing w:after="240" w:before="480"/>
      </w:pPr>
      <w:r>
        <w:rPr>
          <w:rFonts w:ascii="Calibri" w:cs="Calibri" w:eastAsia="Calibri" w:hAnsi="Calibri"/>
          <w:b/>
          <w:color w:val="1B2A4A"/>
          <w:sz w:val="32"/>
          <w:szCs w:val="32"/>
        </w:rPr>
        <w:t>Part I: The Core Accord</w:t>
      </w:r>
    </w:p>
    <w:p>
      <w:pPr>
        <w:pStyle w:val="EndnoteText"/>
        <w:spacing w:after="200" w:before="0" w:line="288"/>
        <w:jc w:val="both"/>
      </w:pPr>
      <w:r>
        <w:rPr>
          <w:rFonts w:ascii="Calibri" w:cs="Calibri" w:eastAsia="Calibri" w:hAnsi="Calibri"/>
          <w:b w:val="false"/>
          <w:i w:val="false"/>
          <w:color w:val="1A1A1A"/>
          <w:sz w:val="22"/>
          <w:szCs w:val="22"/>
        </w:rPr>
        <w:t>This Part contains twenty-four Articles. Each Article states a principle or a structural rule in short, plain language. The operative detail, the technical procedures, and the schedules that make each Article workable sit in the Annexes referenced within it. This design keeps the Core Accord short and signable while the Annexes carry the complexity, and it allows the Hormuz Council to update an Annex without reopening this Part.</w:t>
      </w:r>
    </w:p>
    <w:p>
      <w:pPr>
        <w:pStyle w:val="Heading1"/>
        <w:pBdr>
          <w:bottom w:val="single" w:color="A9862F" w:sz="8" w:space="6"/>
        </w:pBdr>
        <w:spacing w:after="240" w:before="480"/>
      </w:pPr>
      <w:r>
        <w:rPr>
          <w:rFonts w:ascii="Calibri" w:cs="Calibri" w:eastAsia="Calibri" w:hAnsi="Calibri"/>
          <w:b/>
          <w:color w:val="A9862F"/>
          <w:sz w:val="22"/>
          <w:szCs w:val="22"/>
        </w:rPr>
        <w:t>Article 1</w:t>
      </w:r>
      <w:r>
        <w:rPr>
          <w:rFonts w:ascii="Calibri" w:cs="Calibri" w:eastAsia="Calibri" w:hAnsi="Calibri"/>
          <w:b/>
          <w:color w:val="1B2A4A"/>
          <w:sz w:val="30"/>
          <w:szCs w:val="30"/>
        </w:rPr>
        <w:br/>
        <w:t xml:space="preserve">  Purpose and Scope</w:t>
      </w:r>
    </w:p>
    <w:p>
      <w:pPr>
        <w:pStyle w:val="EndnoteText"/>
        <w:spacing w:after="200" w:before="0" w:line="288"/>
        <w:jc w:val="both"/>
      </w:pPr>
      <w:r>
        <w:rPr>
          <w:rFonts w:ascii="Calibri" w:cs="Calibri" w:eastAsia="Calibri" w:hAnsi="Calibri"/>
          <w:b w:val="false"/>
          <w:i w:val="false"/>
          <w:color w:val="1A1A1A"/>
          <w:sz w:val="22"/>
          <w:szCs w:val="22"/>
        </w:rPr>
        <w:t>This Accord establishes the Hormuz Navigation Authority (the "Authority" or "HNA") and the Hormuz Council (the "Council") to govern safe, transparent, and internationally lawful navigation through the Strait of Hormuz and the adjoining waters defined in Annex A as the Governance Area.</w:t>
      </w:r>
    </w:p>
    <w:p>
      <w:pPr>
        <w:pStyle w:val="EndnoteText"/>
        <w:spacing w:after="200" w:before="0" w:line="288"/>
        <w:jc w:val="both"/>
      </w:pPr>
      <w:r>
        <w:rPr>
          <w:rFonts w:ascii="Calibri" w:cs="Calibri" w:eastAsia="Calibri" w:hAnsi="Calibri"/>
          <w:b w:val="false"/>
          <w:i w:val="false"/>
          <w:color w:val="1A1A1A"/>
          <w:sz w:val="22"/>
          <w:szCs w:val="22"/>
        </w:rPr>
        <w:t>This Accord governs four subjects only: navigation and traffic management, safety and environmental protection, the financial architecture that funds those functions, and the security and deconfliction rules that keep the Governance Area free of interdiction and incident. This Accord excludes from its scope any authority over cargo content, sanctions policy, military alliance obligations, or the nuclear and missile programs addressed under Article 11.</w:t>
      </w:r>
    </w:p>
    <w:p>
      <w:pPr>
        <w:pStyle w:val="EndnoteText"/>
        <w:spacing w:after="200" w:before="0" w:line="288"/>
        <w:jc w:val="both"/>
      </w:pPr>
      <w:r>
        <w:rPr>
          <w:rFonts w:ascii="Calibri" w:cs="Calibri" w:eastAsia="Calibri" w:hAnsi="Calibri"/>
          <w:b w:val="false"/>
          <w:i w:val="false"/>
          <w:color w:val="1A1A1A"/>
          <w:sz w:val="22"/>
          <w:szCs w:val="22"/>
        </w:rPr>
        <w:t>This Accord operates as a single, integrated system. The Core Accord and every Annex form one instrument. A reference in this Part to an Annex incorporates that Annex’s content as an operative part of this Accord.</w:t>
      </w:r>
    </w:p>
    <w:p>
      <w:pPr>
        <w:pStyle w:val="Heading1"/>
        <w:pBdr>
          <w:bottom w:val="single" w:color="A9862F" w:sz="8" w:space="6"/>
        </w:pBdr>
        <w:spacing w:after="240" w:before="480"/>
      </w:pPr>
      <w:r>
        <w:rPr>
          <w:rFonts w:ascii="Calibri" w:cs="Calibri" w:eastAsia="Calibri" w:hAnsi="Calibri"/>
          <w:b/>
          <w:color w:val="A9862F"/>
          <w:sz w:val="22"/>
          <w:szCs w:val="22"/>
        </w:rPr>
        <w:t>Article 2</w:t>
      </w:r>
      <w:r>
        <w:rPr>
          <w:rFonts w:ascii="Calibri" w:cs="Calibri" w:eastAsia="Calibri" w:hAnsi="Calibri"/>
          <w:b/>
          <w:color w:val="1B2A4A"/>
          <w:sz w:val="30"/>
          <w:szCs w:val="30"/>
        </w:rPr>
        <w:br/>
        <w:t xml:space="preserve">  Governing Principles</w:t>
      </w:r>
    </w:p>
    <w:p>
      <w:pPr>
        <w:pStyle w:val="EndnoteText"/>
        <w:spacing w:after="200" w:before="0" w:line="288"/>
        <w:jc w:val="both"/>
      </w:pPr>
      <w:r>
        <w:rPr>
          <w:rFonts w:ascii="Calibri" w:cs="Calibri" w:eastAsia="Calibri" w:hAnsi="Calibri"/>
          <w:b w:val="false"/>
          <w:i w:val="false"/>
          <w:color w:val="1A1A1A"/>
          <w:sz w:val="22"/>
          <w:szCs w:val="22"/>
        </w:rPr>
        <w:t>Five principles anchor every provision of this Accord, and Annex K registers them alongside the full set of protected interests that this Accord does not trade away:</w:t>
      </w:r>
    </w:p>
    <w:p>
      <w:pPr>
        <w:pStyle w:val="ListParagraph"/>
        <w:numPr>
          <w:ilvl w:val="0"/>
          <w:numId w:val="1"/>
        </w:numPr>
        <w:spacing w:after="120" w:line="276"/>
      </w:pPr>
      <w:r>
        <w:rPr>
          <w:rFonts w:ascii="Calibri" w:cs="Calibri" w:eastAsia="Calibri" w:hAnsi="Calibri"/>
          <w:color w:val="1A1A1A"/>
          <w:sz w:val="22"/>
          <w:szCs w:val="22"/>
        </w:rPr>
        <w:t>The Strait stays open. Passage does not close for political reasons once this Accord activates.</w:t>
      </w:r>
    </w:p>
    <w:p>
      <w:pPr>
        <w:pStyle w:val="ListParagraph"/>
        <w:numPr>
          <w:ilvl w:val="0"/>
          <w:numId w:val="1"/>
        </w:numPr>
        <w:spacing w:after="120" w:line="276"/>
      </w:pPr>
      <w:r>
        <w:rPr>
          <w:rFonts w:ascii="Calibri" w:cs="Calibri" w:eastAsia="Calibri" w:hAnsi="Calibri"/>
          <w:color w:val="1A1A1A"/>
          <w:sz w:val="22"/>
          <w:szCs w:val="22"/>
        </w:rPr>
        <w:t>Passage is free. The Zero-Toll Rule in Article 13 excludes any charge on the act of transit itself, under any label.</w:t>
      </w:r>
    </w:p>
    <w:p>
      <w:pPr>
        <w:pStyle w:val="ListParagraph"/>
        <w:numPr>
          <w:ilvl w:val="0"/>
          <w:numId w:val="1"/>
        </w:numPr>
        <w:spacing w:after="120" w:line="276"/>
      </w:pPr>
      <w:r>
        <w:rPr>
          <w:rFonts w:ascii="Calibri" w:cs="Calibri" w:eastAsia="Calibri" w:hAnsi="Calibri"/>
          <w:color w:val="1A1A1A"/>
          <w:sz w:val="22"/>
          <w:szCs w:val="22"/>
        </w:rPr>
        <w:t>Governance is shared. No single Party holds unilateral control of the corridor system, the security architecture, or the financial architecture.</w:t>
      </w:r>
    </w:p>
    <w:p>
      <w:pPr>
        <w:pStyle w:val="ListParagraph"/>
        <w:numPr>
          <w:ilvl w:val="0"/>
          <w:numId w:val="1"/>
        </w:numPr>
        <w:spacing w:after="120" w:line="276"/>
      </w:pPr>
      <w:r>
        <w:rPr>
          <w:rFonts w:ascii="Calibri" w:cs="Calibri" w:eastAsia="Calibri" w:hAnsi="Calibri"/>
          <w:color w:val="1A1A1A"/>
          <w:sz w:val="22"/>
          <w:szCs w:val="22"/>
        </w:rPr>
        <w:t>Verification runs on evidence, not on trust. The Cothrom-Hormuz Method in Article 16 and Annex F generates auditable, reciprocal proof of compliance for every Party.</w:t>
      </w:r>
    </w:p>
    <w:p>
      <w:pPr>
        <w:pStyle w:val="ListParagraph"/>
        <w:numPr>
          <w:ilvl w:val="0"/>
          <w:numId w:val="1"/>
        </w:numPr>
        <w:spacing w:after="120" w:line="276"/>
      </w:pPr>
      <w:r>
        <w:rPr>
          <w:rFonts w:ascii="Calibri" w:cs="Calibri" w:eastAsia="Calibri" w:hAnsi="Calibri"/>
          <w:color w:val="1A1A1A"/>
          <w:sz w:val="22"/>
          <w:szCs w:val="22"/>
        </w:rPr>
        <w:t>This Accord carries no sunset. It continues in force indefinitely, subject only to the amendment, review, and withdrawal provisions of Article 23.</w:t>
      </w:r>
    </w:p>
    <w:p>
      <w:pPr>
        <w:pStyle w:val="Heading1"/>
        <w:pBdr>
          <w:bottom w:val="single" w:color="A9862F" w:sz="8" w:space="6"/>
        </w:pBdr>
        <w:spacing w:after="240" w:before="480"/>
      </w:pPr>
      <w:r>
        <w:rPr>
          <w:rFonts w:ascii="Calibri" w:cs="Calibri" w:eastAsia="Calibri" w:hAnsi="Calibri"/>
          <w:b/>
          <w:color w:val="A9862F"/>
          <w:sz w:val="22"/>
          <w:szCs w:val="22"/>
        </w:rPr>
        <w:t>Article 3</w:t>
      </w:r>
      <w:r>
        <w:rPr>
          <w:rFonts w:ascii="Calibri" w:cs="Calibri" w:eastAsia="Calibri" w:hAnsi="Calibri"/>
          <w:b/>
          <w:color w:val="1B2A4A"/>
          <w:sz w:val="30"/>
          <w:szCs w:val="30"/>
        </w:rPr>
        <w:br/>
        <w:t xml:space="preserve">  Definitions</w:t>
      </w:r>
    </w:p>
    <w:p>
      <w:pPr>
        <w:pStyle w:val="EndnoteText"/>
        <w:spacing w:after="200" w:before="0" w:line="288"/>
        <w:jc w:val="both"/>
      </w:pPr>
      <w:r>
        <w:rPr>
          <w:rFonts w:ascii="Calibri" w:cs="Calibri" w:eastAsia="Calibri" w:hAnsi="Calibri"/>
          <w:b w:val="false"/>
          <w:i w:val="false"/>
          <w:color w:val="1A1A1A"/>
          <w:sz w:val="22"/>
          <w:szCs w:val="22"/>
        </w:rPr>
        <w:t>Annex M defines every operational and technical term this Accord uses, including "corridor", "service charge", "notification", "deconfliction event", "Tier", "escalator week", and "Governance Area". Annex M controls the meaning of a defined term wherever that term appears in this Accord, capitalized, in any Article or Annex.</w:t>
      </w:r>
    </w:p>
    <w:p>
      <w:pPr>
        <w:pStyle w:val="Heading1"/>
        <w:pBdr>
          <w:bottom w:val="single" w:color="A9862F" w:sz="8" w:space="6"/>
        </w:pBdr>
        <w:spacing w:after="240" w:before="480"/>
      </w:pPr>
      <w:r>
        <w:rPr>
          <w:rFonts w:ascii="Calibri" w:cs="Calibri" w:eastAsia="Calibri" w:hAnsi="Calibri"/>
          <w:b/>
          <w:color w:val="A9862F"/>
          <w:sz w:val="22"/>
          <w:szCs w:val="22"/>
        </w:rPr>
        <w:t>Article 4</w:t>
      </w:r>
      <w:r>
        <w:rPr>
          <w:rFonts w:ascii="Calibri" w:cs="Calibri" w:eastAsia="Calibri" w:hAnsi="Calibri"/>
          <w:b/>
          <w:color w:val="1B2A4A"/>
          <w:sz w:val="30"/>
          <w:szCs w:val="30"/>
        </w:rPr>
        <w:br/>
        <w:t xml:space="preserve">  The Governance Area</w:t>
      </w:r>
    </w:p>
    <w:p>
      <w:pPr>
        <w:pStyle w:val="EndnoteText"/>
        <w:spacing w:after="200" w:before="0" w:line="288"/>
        <w:jc w:val="both"/>
      </w:pPr>
      <w:r>
        <w:rPr>
          <w:rFonts w:ascii="Calibri" w:cs="Calibri" w:eastAsia="Calibri" w:hAnsi="Calibri"/>
          <w:b w:val="false"/>
          <w:i w:val="false"/>
          <w:color w:val="1A1A1A"/>
          <w:sz w:val="22"/>
          <w:szCs w:val="22"/>
        </w:rPr>
        <w:t>The Governance Area comprises the waters of the Strait of Hormuz and the immediately adjoining approaches in the Persian Gulf and the Gulf of Oman, bounded by the coordinates Annex A publishes. Annex A states expressly that these coordinates serve navigation and safety functions only, and that the Governance Area’s boundaries carry no implication for any Party’s territorial sea, exclusive economic zone, or continental shelf claims.</w:t>
      </w:r>
    </w:p>
    <w:p>
      <w:pPr>
        <w:pStyle w:val="EndnoteText"/>
        <w:spacing w:after="200" w:before="0" w:line="288"/>
        <w:jc w:val="both"/>
      </w:pPr>
      <w:r>
        <w:rPr>
          <w:rFonts w:ascii="Calibri" w:cs="Calibri" w:eastAsia="Calibri" w:hAnsi="Calibri"/>
          <w:b w:val="false"/>
          <w:i w:val="false"/>
          <w:color w:val="1A1A1A"/>
          <w:sz w:val="22"/>
          <w:szCs w:val="22"/>
        </w:rPr>
        <w:t>The Hormuz Council updates the Governance Area’s technical boundaries and the corridor coordinates within it through Annex A, by the amendment procedure Annex A sets out, without reopening this Part.</w:t>
      </w:r>
    </w:p>
    <w:p>
      <w:pPr>
        <w:pStyle w:val="Heading1"/>
        <w:pBdr>
          <w:bottom w:val="single" w:color="A9862F" w:sz="8" w:space="6"/>
        </w:pBdr>
        <w:spacing w:after="240" w:before="480"/>
      </w:pPr>
      <w:r>
        <w:rPr>
          <w:rFonts w:ascii="Calibri" w:cs="Calibri" w:eastAsia="Calibri" w:hAnsi="Calibri"/>
          <w:b/>
          <w:color w:val="A9862F"/>
          <w:sz w:val="22"/>
          <w:szCs w:val="22"/>
        </w:rPr>
        <w:t>Article 5</w:t>
      </w:r>
      <w:r>
        <w:rPr>
          <w:rFonts w:ascii="Calibri" w:cs="Calibri" w:eastAsia="Calibri" w:hAnsi="Calibri"/>
          <w:b/>
          <w:color w:val="1B2A4A"/>
          <w:sz w:val="30"/>
          <w:szCs w:val="30"/>
        </w:rPr>
        <w:br/>
        <w:t xml:space="preserve">  The Corridor System</w:t>
      </w:r>
    </w:p>
    <w:p>
      <w:pPr>
        <w:pStyle w:val="EndnoteText"/>
        <w:spacing w:after="200" w:before="0" w:line="288"/>
        <w:jc w:val="both"/>
      </w:pPr>
      <w:r>
        <w:rPr>
          <w:rFonts w:ascii="Calibri" w:cs="Calibri" w:eastAsia="Calibri" w:hAnsi="Calibri"/>
          <w:b w:val="false"/>
          <w:i w:val="false"/>
          <w:color w:val="1A1A1A"/>
          <w:sz w:val="22"/>
          <w:szCs w:val="22"/>
        </w:rPr>
        <w:t>The Governance Area operates under a three-corridor system, matching the architecture Iran and Oman developed through their 2026 working-group process:</w:t>
      </w:r>
    </w:p>
    <w:p>
      <w:pPr>
        <w:pStyle w:val="ListParagraph"/>
        <w:numPr>
          <w:ilvl w:val="0"/>
          <w:numId w:val="1"/>
        </w:numPr>
        <w:spacing w:after="120" w:line="276"/>
      </w:pPr>
      <w:r>
        <w:rPr>
          <w:rFonts w:ascii="Calibri" w:cs="Calibri" w:eastAsia="Calibri" w:hAnsi="Calibri"/>
          <w:b/>
          <w:i w:val="false"/>
          <w:color w:val="1A1A1A"/>
          <w:sz w:val="22"/>
          <w:szCs w:val="22"/>
        </w:rPr>
        <w:t xml:space="preserve">The Inbound Corridor, </w:t>
      </w:r>
      <w:r>
        <w:rPr>
          <w:rFonts w:ascii="Calibri" w:cs="Calibri" w:eastAsia="Calibri" w:hAnsi="Calibri"/>
          <w:b w:val="false"/>
          <w:i w:val="false"/>
          <w:color w:val="1A1A1A"/>
          <w:sz w:val="22"/>
          <w:szCs w:val="22"/>
        </w:rPr>
        <w:t>routed through the waters north of Larak Island, carries eastbound and Gulf-entering commercial traffic. Iran performs the corridor’s traffic-management and safety functions, under Article 7 and Annex C.</w:t>
      </w:r>
    </w:p>
    <w:p>
      <w:pPr>
        <w:pStyle w:val="ListParagraph"/>
        <w:numPr>
          <w:ilvl w:val="0"/>
          <w:numId w:val="1"/>
        </w:numPr>
        <w:spacing w:after="120" w:line="276"/>
      </w:pPr>
      <w:r>
        <w:rPr>
          <w:rFonts w:ascii="Calibri" w:cs="Calibri" w:eastAsia="Calibri" w:hAnsi="Calibri"/>
          <w:b/>
          <w:i w:val="false"/>
          <w:color w:val="1A1A1A"/>
          <w:sz w:val="22"/>
          <w:szCs w:val="22"/>
        </w:rPr>
        <w:t xml:space="preserve">The Outbound Corridor, </w:t>
      </w:r>
      <w:r>
        <w:rPr>
          <w:rFonts w:ascii="Calibri" w:cs="Calibri" w:eastAsia="Calibri" w:hAnsi="Calibri"/>
          <w:b w:val="false"/>
          <w:i w:val="false"/>
          <w:color w:val="1A1A1A"/>
          <w:sz w:val="22"/>
          <w:szCs w:val="22"/>
        </w:rPr>
        <w:t>routed through the waters south of the Musandam Peninsula and the historic IMO-registered traffic-separation scheme, carries westbound and Gulf-exiting commercial traffic. Oman performs the corridor’s traffic-management and safety functions, under Article 7 and Annex C.</w:t>
      </w:r>
    </w:p>
    <w:p>
      <w:pPr>
        <w:pStyle w:val="ListParagraph"/>
        <w:numPr>
          <w:ilvl w:val="0"/>
          <w:numId w:val="1"/>
        </w:numPr>
        <w:spacing w:after="120" w:line="276"/>
      </w:pPr>
      <w:r>
        <w:rPr>
          <w:rFonts w:ascii="Calibri" w:cs="Calibri" w:eastAsia="Calibri" w:hAnsi="Calibri"/>
          <w:b/>
          <w:i w:val="false"/>
          <w:color w:val="1A1A1A"/>
          <w:sz w:val="22"/>
          <w:szCs w:val="22"/>
        </w:rPr>
        <w:t xml:space="preserve">The Buffer Corridor, </w:t>
      </w:r>
      <w:r>
        <w:rPr>
          <w:rFonts w:ascii="Calibri" w:cs="Calibri" w:eastAsia="Calibri" w:hAnsi="Calibri"/>
          <w:b w:val="false"/>
          <w:i w:val="false"/>
          <w:color w:val="1A1A1A"/>
          <w:sz w:val="22"/>
          <w:szCs w:val="22"/>
        </w:rPr>
        <w:t>a central two-way lane separating the Inbound and Outbound Corridors, handles emergency diversion, search-and-rescue routing, and military deconfliction. Iran and Oman jointly administer the Buffer Corridor, with the Authority’s Verification and Surveillance Directorate providing shared monitoring.</w:t>
      </w:r>
    </w:p>
    <w:p>
      <w:pPr>
        <w:pStyle w:val="EndnoteText"/>
        <w:spacing w:after="200" w:before="0" w:line="288"/>
        <w:jc w:val="both"/>
      </w:pPr>
      <w:r>
        <w:rPr>
          <w:rFonts w:ascii="Calibri" w:cs="Calibri" w:eastAsia="Calibri" w:hAnsi="Calibri"/>
          <w:b w:val="false"/>
          <w:i w:val="false"/>
          <w:color w:val="1A1A1A"/>
          <w:sz w:val="22"/>
          <w:szCs w:val="22"/>
        </w:rPr>
        <w:t>Annex A publishes the provisional coordinates of all three corridors on the schedule Article 22 and Annex J set out, and registers the final coordinates with the International Maritime Organization upon Gate Three of the activation sequence.</w:t>
      </w:r>
    </w:p>
    <w:p>
      <w:pPr>
        <w:pStyle w:val="Heading1"/>
        <w:pBdr>
          <w:bottom w:val="single" w:color="A9862F" w:sz="8" w:space="6"/>
        </w:pBdr>
        <w:spacing w:after="240" w:before="480"/>
      </w:pPr>
      <w:r>
        <w:rPr>
          <w:rFonts w:ascii="Calibri" w:cs="Calibri" w:eastAsia="Calibri" w:hAnsi="Calibri"/>
          <w:b/>
          <w:color w:val="A9862F"/>
          <w:sz w:val="22"/>
          <w:szCs w:val="22"/>
        </w:rPr>
        <w:t>Article 6</w:t>
      </w:r>
      <w:r>
        <w:rPr>
          <w:rFonts w:ascii="Calibri" w:cs="Calibri" w:eastAsia="Calibri" w:hAnsi="Calibri"/>
          <w:b/>
          <w:color w:val="1B2A4A"/>
          <w:sz w:val="30"/>
          <w:szCs w:val="30"/>
        </w:rPr>
        <w:br/>
        <w:t xml:space="preserve">  Rights of Passage and the Transit Regime</w:t>
      </w:r>
    </w:p>
    <w:p>
      <w:pPr>
        <w:pStyle w:val="EndnoteText"/>
        <w:spacing w:after="200" w:before="0" w:line="288"/>
        <w:jc w:val="both"/>
      </w:pPr>
      <w:r>
        <w:rPr>
          <w:rFonts w:ascii="Calibri" w:cs="Calibri" w:eastAsia="Calibri" w:hAnsi="Calibri"/>
          <w:b w:val="false"/>
          <w:i w:val="false"/>
          <w:color w:val="1A1A1A"/>
          <w:sz w:val="22"/>
          <w:szCs w:val="22"/>
        </w:rPr>
        <w:t>Every commercial vessel of every flag enjoys freedom of navigation through the Governance Area, consistent with the customary transit-passage regime. This Accord’s architecture excludes any distinction in treatment based on the flag, ownership, or origin of a commercial vessel, and excludes any distinction based on the nationality or affiliation of a state vessel exercising a lawful right of transit passage under Article 10.</w:t>
      </w:r>
    </w:p>
    <w:p>
      <w:pPr>
        <w:pStyle w:val="EndnoteText"/>
        <w:spacing w:after="200" w:before="0" w:line="288"/>
        <w:jc w:val="both"/>
      </w:pPr>
      <w:r>
        <w:rPr>
          <w:rFonts w:ascii="Calibri" w:cs="Calibri" w:eastAsia="Calibri" w:hAnsi="Calibri"/>
          <w:b w:val="false"/>
          <w:i w:val="false"/>
          <w:color w:val="1A1A1A"/>
          <w:sz w:val="22"/>
          <w:szCs w:val="22"/>
        </w:rPr>
        <w:t>The transit regime operates on notification, not permission. Annex B sets out a single filing of eight to twelve data fields per transit. Sixty minutes of silence from the Authority after a complete filing constitutes acknowledgment and clears the vessel to proceed. The regime excludes any condition, delay, boarding, or denial of passage tied to that filing beyond the sixty-minute acknowledgment window, except under the narrow exceptions Annex C’s Absolute Non-Interdiction Protocol defines.</w:t>
      </w:r>
    </w:p>
    <w:p>
      <w:pPr>
        <w:spacing w:after="200" w:before="0" w:line="288"/>
        <w:jc w:val="both"/>
      </w:pPr>
      <w:r>
        <w:rPr>
          <w:rFonts w:ascii="Calibri" w:cs="Calibri" w:eastAsia="Calibri" w:hAnsi="Calibri"/>
          <w:b w:val="false"/>
          <w:bCs w:val="false"/>
          <w:i w:val="false"/>
          <w:iCs w:val="false"/>
          <w:color w:val="1A1A1A"/>
          <w:sz w:val="22"/>
          <w:szCs w:val="22"/>
        </w:rPr>
        <w:t xml:space="preserve">Annex B classifies vessels into commercial, passenger, humanitarian, small-craft, and state categories, and applies differentiated technical handling by class. This Accord’s architecture excludes differentiation by flag within any class.</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7</w:t>
      </w:r>
      <w:r>
        <w:rPr>
          <w:rFonts w:ascii="Calibri" w:cs="Calibri" w:eastAsia="Calibri" w:hAnsi="Calibri"/>
          <w:b/>
          <w:bCs/>
          <w:color w:val="1B2A4A"/>
          <w:sz w:val="30"/>
          <w:szCs w:val="30"/>
        </w:rPr>
        <w:br/>
        <w:t xml:space="preserve">  Functional Responsibilities of the Parties</w:t>
      </w:r>
    </w:p>
    <w:p>
      <w:pPr>
        <w:spacing w:after="200" w:before="0" w:line="288"/>
        <w:jc w:val="both"/>
      </w:pPr>
      <w:r>
        <w:rPr>
          <w:rFonts w:ascii="Calibri" w:cs="Calibri" w:eastAsia="Calibri" w:hAnsi="Calibri"/>
          <w:b w:val="false"/>
          <w:bCs w:val="false"/>
          <w:i w:val="false"/>
          <w:iCs w:val="false"/>
          <w:color w:val="1A1A1A"/>
          <w:sz w:val="22"/>
          <w:szCs w:val="22"/>
        </w:rPr>
        <w:t xml:space="preserve">Iran performs Inbound Corridor safety, navigation, and environmental-monitoring functions, and Oman performs the equivalent functions for the Outbound Corridor, each under the operational procedures Annex C defines. The Authority frames both roles as functional assignments within a shared system, not as a grant of sovereign control over the corridor or the waters beneath it.</w:t>
      </w:r>
    </w:p>
    <w:p>
      <w:pPr>
        <w:spacing w:after="200" w:before="0" w:line="288"/>
        <w:jc w:val="both"/>
      </w:pPr>
      <w:r>
        <w:rPr>
          <w:rFonts w:ascii="Calibri" w:cs="Calibri" w:eastAsia="Calibri" w:hAnsi="Calibri"/>
          <w:b w:val="false"/>
          <w:bCs w:val="false"/>
          <w:i w:val="false"/>
          <w:iCs w:val="false"/>
          <w:color w:val="1A1A1A"/>
          <w:sz w:val="22"/>
          <w:szCs w:val="22"/>
        </w:rPr>
        <w:t xml:space="preserve">Every function that touches interdiction, boarding, or the use of force operates exclusively under the Twin-Key Rule of Article 9 and Annex C, regardless of which Party performs the surrounding navigation function.</w:t>
      </w:r>
    </w:p>
    <w:p>
      <w:pPr>
        <w:spacing w:after="200" w:before="0" w:line="288"/>
        <w:jc w:val="both"/>
      </w:pPr>
      <w:r>
        <w:rPr>
          <w:rFonts w:ascii="Calibri" w:cs="Calibri" w:eastAsia="Calibri" w:hAnsi="Calibri"/>
          <w:b w:val="false"/>
          <w:bCs w:val="false"/>
          <w:i w:val="false"/>
          <w:iCs w:val="false"/>
          <w:color w:val="1A1A1A"/>
          <w:sz w:val="22"/>
          <w:szCs w:val="22"/>
        </w:rPr>
        <w:t xml:space="preserve">Annex C’s Article 25.11 equivalent, the Good-Behavior Escalator at Article 8, governs how Iran’s functional weight within the Inbound Corridor and the Buffer Corridor grows over time, as distinct from the fixed baseline functions this Article assigns from signature.</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8</w:t>
      </w:r>
      <w:r>
        <w:rPr>
          <w:rFonts w:ascii="Calibri" w:cs="Calibri" w:eastAsia="Calibri" w:hAnsi="Calibri"/>
          <w:b/>
          <w:bCs/>
          <w:color w:val="1B2A4A"/>
          <w:sz w:val="30"/>
          <w:szCs w:val="30"/>
        </w:rPr>
        <w:br/>
        <w:t xml:space="preserve">  The Good-Behavior Escalator</w:t>
      </w:r>
    </w:p>
    <w:p>
      <w:pPr>
        <w:spacing w:after="200" w:before="0" w:line="288"/>
        <w:jc w:val="both"/>
      </w:pPr>
      <w:r>
        <w:rPr>
          <w:rFonts w:ascii="Calibri" w:cs="Calibri" w:eastAsia="Calibri" w:hAnsi="Calibri"/>
          <w:b w:val="false"/>
          <w:bCs w:val="false"/>
          <w:i w:val="false"/>
          <w:iCs w:val="false"/>
          <w:color w:val="1A1A1A"/>
          <w:sz w:val="22"/>
          <w:szCs w:val="22"/>
        </w:rPr>
        <w:t xml:space="preserve">This Accord replaces a static, one-time allocation of authority with a graduated, verified, and reversible growth mechanism. Iran holds an initial functional-control weight of thirty-three percent of the combined Inbound and Buffer Corridor system from the moment of signature. Each verified week free of a Tier 2 or Tier 3 compliance event, certified under the Cothrom-Hormuz Method of Annex F, increases that weight by ten percentage points, up to a ceiling of one hundred percent at week seven.</w:t>
      </w:r>
    </w:p>
    <w:p>
      <w:pPr>
        <w:spacing w:after="200" w:before="0" w:line="288"/>
        <w:jc w:val="both"/>
      </w:pPr>
      <w:r>
        <w:rPr>
          <w:rFonts w:ascii="Calibri" w:cs="Calibri" w:eastAsia="Calibri" w:hAnsi="Calibri"/>
          <w:b w:val="false"/>
          <w:bCs w:val="false"/>
          <w:i w:val="false"/>
          <w:iCs w:val="false"/>
          <w:color w:val="1A1A1A"/>
          <w:sz w:val="22"/>
          <w:szCs w:val="22"/>
        </w:rPr>
        <w:t xml:space="preserve">A verified Tier 2 event pauses the escalator for seven days without reducing the weight already earned. A verified Tier 3 event resets the weight to the prior milestone. A verified hostile attack on a commercial or coastal target resets the weight to the thirty-three percent baseline, and triggers an emergency Council session under Article 19.</w:t>
      </w:r>
    </w:p>
    <w:p>
      <w:pPr>
        <w:spacing w:after="200" w:before="0" w:line="288"/>
        <w:jc w:val="both"/>
      </w:pPr>
      <w:r>
        <w:rPr>
          <w:rFonts w:ascii="Calibri" w:cs="Calibri" w:eastAsia="Calibri" w:hAnsi="Calibri"/>
          <w:b w:val="false"/>
          <w:bCs w:val="false"/>
          <w:i w:val="false"/>
          <w:iCs w:val="false"/>
          <w:color w:val="1A1A1A"/>
          <w:sz w:val="22"/>
          <w:szCs w:val="22"/>
        </w:rPr>
        <w:t xml:space="preserve">Once the weight reaches one hundred percent, a permanent floor of sixty percent applies from that point forward. No subsequent event reduces Iran’s functional-control weight below that floor. The Twin-Key Rule of Article 9 continues to govern every consequential action at every weight level, including at one hundred percent, so growth under this Article changes Iran’s functional weight without changing the requirement for joint concurrence on interdiction, boarding, or force.</w:t>
      </w:r>
    </w:p>
    <w:p>
      <w:pPr>
        <w:spacing w:after="200" w:before="0" w:line="288"/>
        <w:jc w:val="both"/>
      </w:pPr>
      <w:r>
        <w:rPr>
          <w:rFonts w:ascii="Calibri" w:cs="Calibri" w:eastAsia="Calibri" w:hAnsi="Calibri"/>
          <w:b w:val="false"/>
          <w:bCs w:val="false"/>
          <w:i w:val="false"/>
          <w:iCs w:val="false"/>
          <w:color w:val="1A1A1A"/>
          <w:sz w:val="22"/>
          <w:szCs w:val="22"/>
        </w:rPr>
        <w:t xml:space="preserve">Annex G sets out the full weekly schedule, the definition of a clean week, the verification procedure, and the "Good-Behavior Credit" banking mechanism that lets Iran offset a future pause with credits earned from a prior run of clean weeks.</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9</w:t>
      </w:r>
      <w:r>
        <w:rPr>
          <w:rFonts w:ascii="Calibri" w:cs="Calibri" w:eastAsia="Calibri" w:hAnsi="Calibri"/>
          <w:b/>
          <w:bCs/>
          <w:color w:val="1B2A4A"/>
          <w:sz w:val="30"/>
          <w:szCs w:val="30"/>
        </w:rPr>
        <w:br/>
        <w:t xml:space="preserve">  Security Functions and the Twin-Key Rule</w:t>
      </w:r>
    </w:p>
    <w:p>
      <w:pPr>
        <w:spacing w:after="200" w:before="0" w:line="288"/>
        <w:jc w:val="both"/>
      </w:pPr>
      <w:r>
        <w:rPr>
          <w:rFonts w:ascii="Calibri" w:cs="Calibri" w:eastAsia="Calibri" w:hAnsi="Calibri"/>
          <w:b w:val="false"/>
          <w:bCs w:val="false"/>
          <w:i w:val="false"/>
          <w:iCs w:val="false"/>
          <w:color w:val="1A1A1A"/>
          <w:sz w:val="22"/>
          <w:szCs w:val="22"/>
        </w:rPr>
        <w:t xml:space="preserve">This Accord’s architecture excludes unilateral interdiction, boarding, diversion, seizure, or inspection of a commercial vessel in the Governance Area by any Party, acting alone, under any justification other than the narrow exceptions of Annex C’s Absolute Non-Interdiction Protocol, which cover distress, rescue, and verified pollution response.</w:t>
      </w:r>
    </w:p>
    <w:p>
      <w:pPr>
        <w:spacing w:after="200" w:before="0" w:line="288"/>
        <w:jc w:val="both"/>
      </w:pPr>
      <w:r>
        <w:rPr>
          <w:rFonts w:ascii="Calibri" w:cs="Calibri" w:eastAsia="Calibri" w:hAnsi="Calibri"/>
          <w:b w:val="false"/>
          <w:bCs w:val="false"/>
          <w:i w:val="false"/>
          <w:iCs w:val="false"/>
          <w:color w:val="1A1A1A"/>
          <w:sz w:val="22"/>
          <w:szCs w:val="22"/>
        </w:rPr>
        <w:t xml:space="preserve">Every consequential security action operates under a Twin-Key concurrence rule. Inbound Corridor incidents activate on Iran-Oman concurrence. Outbound Corridor incidents activate on Oman-Iran concurrence. Buffer Corridor and mine-risk or military-deconfliction incidents activate on concurrence between Iran, Oman, and a rotating neutral observer designated under Annex E. Silence from a concurring Party for more than four hours after a properly logged request constitutes non-objection and completes the concurrence for time-critical safety actions only, never for interdiction or boarding.</w:t>
      </w:r>
    </w:p>
    <w:p>
      <w:pPr>
        <w:spacing w:after="200" w:before="0" w:line="288"/>
        <w:jc w:val="both"/>
      </w:pPr>
      <w:r>
        <w:rPr>
          <w:rFonts w:ascii="Calibri" w:cs="Calibri" w:eastAsia="Calibri" w:hAnsi="Calibri"/>
          <w:b w:val="false"/>
          <w:bCs w:val="false"/>
          <w:i w:val="false"/>
          <w:iCs w:val="false"/>
          <w:color w:val="1A1A1A"/>
          <w:sz w:val="22"/>
          <w:szCs w:val="22"/>
        </w:rPr>
        <w:t xml:space="preserve">Annex C sets out standoff-geometry rules governing minimum distances between military vessels of different nations and between military and commercial traffic, a multi-node deconfliction hotline with a fifteen-minute answer standard, a five-level Incident Ladder running from bridge-to-bridge resolution to Council-level emergency session, and a joint, internationally supervised mine-survey and clearance group operating under the coordination the United Nations Mine Action Service provides.</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10</w:t>
      </w:r>
      <w:r>
        <w:rPr>
          <w:rFonts w:ascii="Calibri" w:cs="Calibri" w:eastAsia="Calibri" w:hAnsi="Calibri"/>
          <w:b/>
          <w:bCs/>
          <w:color w:val="1B2A4A"/>
          <w:sz w:val="30"/>
          <w:szCs w:val="30"/>
        </w:rPr>
        <w:br/>
        <w:t xml:space="preserve">  The United States Role: Transit, Phase-One Security, and Rebalancing</w:t>
      </w:r>
    </w:p>
    <w:p>
      <w:pPr>
        <w:spacing w:after="200" w:before="0" w:line="288"/>
        <w:jc w:val="both"/>
      </w:pPr>
      <w:r>
        <w:rPr>
          <w:rFonts w:ascii="Calibri" w:cs="Calibri" w:eastAsia="Calibri" w:hAnsi="Calibri"/>
          <w:b w:val="false"/>
          <w:bCs w:val="false"/>
          <w:i w:val="false"/>
          <w:iCs w:val="false"/>
          <w:color w:val="1A1A1A"/>
          <w:sz w:val="22"/>
          <w:szCs w:val="22"/>
        </w:rPr>
        <w:t xml:space="preserve">The United States holds full transit rights through the Governance Area on the same terms as every other state, from the moment this Accord activates. This Article supersedes any wartime unilateral restriction on the passage of a particular flag, and this Accord’s architecture excludes any prohibition on the transit of a United States or allied-flag vessel, whether commercial or state-flagged, exercising a lawful right of passage.</w:t>
      </w:r>
    </w:p>
    <w:p>
      <w:pPr>
        <w:spacing w:after="200" w:before="0" w:line="288"/>
        <w:jc w:val="both"/>
      </w:pPr>
      <w:r>
        <w:rPr>
          <w:rFonts w:ascii="Calibri" w:cs="Calibri" w:eastAsia="Calibri" w:hAnsi="Calibri"/>
          <w:b w:val="false"/>
          <w:bCs w:val="false"/>
          <w:i w:val="false"/>
          <w:iCs w:val="false"/>
          <w:color w:val="1A1A1A"/>
          <w:sz w:val="22"/>
          <w:szCs w:val="22"/>
        </w:rPr>
        <w:t xml:space="preserve">The United States holds the status of Guarantor and Endorsing Stakeholder under Annex E, a role that carries verification, monitoring, and deconfliction functions and excludes command authority over the Authority, the corridors, or any other Party’s forces. During Phase One of the activation sequence, defined in Annex J as Days 0 through 30, United States naval forces perform escort and overwatch functions in the Buffer Corridor and at Governance Area approaches, operating under the multilateral authorization of the Council rather than a unilateral national mandate, and coordinating through the Maritime Coordination Center Annex E establishes.</w:t>
      </w:r>
    </w:p>
    <w:p>
      <w:pPr>
        <w:spacing w:after="200" w:before="0" w:line="288"/>
        <w:jc w:val="both"/>
      </w:pPr>
      <w:r>
        <w:rPr>
          <w:rFonts w:ascii="Calibri" w:cs="Calibri" w:eastAsia="Calibri" w:hAnsi="Calibri"/>
          <w:b w:val="false"/>
          <w:bCs w:val="false"/>
          <w:i w:val="false"/>
          <w:iCs w:val="false"/>
          <w:color w:val="1A1A1A"/>
          <w:sz w:val="22"/>
          <w:szCs w:val="22"/>
        </w:rPr>
        <w:t xml:space="preserve">From Phase Two forward, the Integrated Patrol Rotation Annex C describes progressively assumes the maritime-security functions Phase One assigns to United States forces, on the three-stage sequence Annex J sets out across months one through thirty-six. This Accord frames the transition as regional maturation and strategic success for every Party, not as a withdrawal under pressure, and the transition proceeds on the objective gate metrics of Annex J rather than on a political calendar. A change of government in any Party’s capital does not reopen a stage the gate metrics already certify as complete.</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11</w:t>
      </w:r>
      <w:r>
        <w:rPr>
          <w:rFonts w:ascii="Calibri" w:cs="Calibri" w:eastAsia="Calibri" w:hAnsi="Calibri"/>
          <w:b/>
          <w:bCs/>
          <w:color w:val="1B2A4A"/>
          <w:sz w:val="30"/>
          <w:szCs w:val="30"/>
        </w:rPr>
        <w:br/>
        <w:t xml:space="preserve">  The Nuclear and Strategic Firewall</w:t>
      </w:r>
    </w:p>
    <w:p>
      <w:pPr>
        <w:spacing w:after="200" w:before="0" w:line="288"/>
        <w:jc w:val="both"/>
      </w:pPr>
      <w:r>
        <w:rPr>
          <w:rFonts w:ascii="Calibri" w:cs="Calibri" w:eastAsia="Calibri" w:hAnsi="Calibri"/>
          <w:b w:val="false"/>
          <w:bCs w:val="false"/>
          <w:i w:val="false"/>
          <w:iCs w:val="false"/>
          <w:color w:val="1A1A1A"/>
          <w:sz w:val="22"/>
          <w:szCs w:val="22"/>
        </w:rPr>
        <w:t xml:space="preserve">This Accord addresses maritime governance exclusively. This Accord’s architecture excludes any linkage between the activation, operation, or continuation of the corridor system and the disposition of Iran’s nuclear program, ballistic-missile program, or any other strategic-weapons file. Annex P states this firewall in full and identifies the separate instrument or instruments through which the Parties address those files on their own timeline, with their own verification architecture, and with their own participants.</w:t>
      </w:r>
    </w:p>
    <w:p>
      <w:pPr>
        <w:spacing w:after="200" w:before="0" w:line="288"/>
        <w:jc w:val="both"/>
      </w:pPr>
      <w:r>
        <w:rPr>
          <w:rFonts w:ascii="Calibri" w:cs="Calibri" w:eastAsia="Calibri" w:hAnsi="Calibri"/>
          <w:b w:val="false"/>
          <w:bCs w:val="false"/>
          <w:i w:val="false"/>
          <w:iCs w:val="false"/>
          <w:color w:val="1A1A1A"/>
          <w:sz w:val="22"/>
          <w:szCs w:val="22"/>
        </w:rPr>
        <w:t xml:space="preserve">A dispute, a delay, or a breach on the nuclear or strategic track carries no automatic effect on this Accord’s corridor operations, fee architecture, or security functions, and a dispute, a delay, or a breach under this Accord carries no automatic effect on the nuclear or strategic track. Annex P’s firewall clause operates as a Red Line under Annex K, immune to trading against any other provision of this Accord.</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12</w:t>
      </w:r>
      <w:r>
        <w:rPr>
          <w:rFonts w:ascii="Calibri" w:cs="Calibri" w:eastAsia="Calibri" w:hAnsi="Calibri"/>
          <w:b/>
          <w:bCs/>
          <w:color w:val="1B2A4A"/>
          <w:sz w:val="30"/>
          <w:szCs w:val="30"/>
        </w:rPr>
        <w:br/>
        <w:t xml:space="preserve">  Monitoring, Transparency, and Data</w:t>
      </w:r>
    </w:p>
    <w:p>
      <w:pPr>
        <w:spacing w:after="200" w:before="0" w:line="288"/>
        <w:jc w:val="both"/>
      </w:pPr>
      <w:r>
        <w:rPr>
          <w:rFonts w:ascii="Calibri" w:cs="Calibri" w:eastAsia="Calibri" w:hAnsi="Calibri"/>
          <w:b w:val="false"/>
          <w:bCs w:val="false"/>
          <w:i w:val="false"/>
          <w:iCs w:val="false"/>
          <w:color w:val="1A1A1A"/>
          <w:sz w:val="22"/>
          <w:szCs w:val="22"/>
        </w:rPr>
        <w:t xml:space="preserve">The Authority operates a fused radar and AIS picture, hosted at the Joint Coordination Center in Muscat with a mirror facility at Bandar Abbas, drawing on Iranian and Omani sensor feeds together with the Third-Party Telemetry Tie-Breaker Annex F establishes for conflicting data. Annex B sets the access rules, incident-reporting protocols, and pilot-phase transparency requirements that govern this feed.</w:t>
      </w:r>
    </w:p>
    <w:p>
      <w:pPr>
        <w:spacing w:after="200" w:before="0" w:line="288"/>
        <w:jc w:val="both"/>
      </w:pPr>
      <w:r>
        <w:rPr>
          <w:rFonts w:ascii="Calibri" w:cs="Calibri" w:eastAsia="Calibri" w:hAnsi="Calibri"/>
          <w:b w:val="false"/>
          <w:bCs w:val="false"/>
          <w:i w:val="false"/>
          <w:iCs w:val="false"/>
          <w:color w:val="1A1A1A"/>
          <w:sz w:val="22"/>
          <w:szCs w:val="22"/>
        </w:rPr>
        <w:t xml:space="preserve">The Authority logs every incident in the Shared Digital Registry within the timeframe Annex F sets, and publishes non-classified metrics on the public Hormuz Transparency Portal in real time. GCC, EU, and United States observers hold monitoring access to the fused picture from the date each observer’s status activates under Annex E.</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13</w:t>
      </w:r>
      <w:r>
        <w:rPr>
          <w:rFonts w:ascii="Calibri" w:cs="Calibri" w:eastAsia="Calibri" w:hAnsi="Calibri"/>
          <w:b/>
          <w:bCs/>
          <w:color w:val="1B2A4A"/>
          <w:sz w:val="30"/>
          <w:szCs w:val="30"/>
        </w:rPr>
        <w:br/>
        <w:t xml:space="preserve">  Fees and the Zero-Toll Rule</w:t>
      </w:r>
    </w:p>
    <w:p>
      <w:pPr>
        <w:spacing w:after="200" w:before="0" w:line="288"/>
        <w:jc w:val="both"/>
      </w:pPr>
      <w:r>
        <w:rPr>
          <w:rFonts w:ascii="Calibri" w:cs="Calibri" w:eastAsia="Calibri" w:hAnsi="Calibri"/>
          <w:b w:val="false"/>
          <w:bCs w:val="false"/>
          <w:i w:val="false"/>
          <w:iCs w:val="false"/>
          <w:color w:val="1A1A1A"/>
          <w:sz w:val="22"/>
          <w:szCs w:val="22"/>
        </w:rPr>
        <w:t xml:space="preserve">The Zero-Toll Rule excludes any charge, levy, or payment of any kind, under any label, that functions as a condition or a price of passage through the Governance Area. This Rule binds every Party, every institution this Accord creates, and every future amendment. Annex D’s Anti-Circumvention Test classifies any payment that functions as a price of transit as a prohibited toll, regardless of the name attached to it, and an automatic strike attaches to a Party or institution that imposes one.</w:t>
      </w:r>
    </w:p>
    <w:p>
      <w:pPr>
        <w:spacing w:after="200" w:before="0" w:line="288"/>
        <w:jc w:val="both"/>
      </w:pPr>
      <w:r>
        <w:rPr>
          <w:rFonts w:ascii="Calibri" w:cs="Calibri" w:eastAsia="Calibri" w:hAnsi="Calibri"/>
          <w:b w:val="false"/>
          <w:bCs w:val="false"/>
          <w:i w:val="false"/>
          <w:iCs w:val="false"/>
          <w:color w:val="1A1A1A"/>
          <w:sz w:val="22"/>
          <w:szCs w:val="22"/>
        </w:rPr>
        <w:t xml:space="preserve">A vessel that requests and receives a specific, published, and audited service, such as pilotage, environmental monitoring, or search-and-rescue readiness, reimburses the Authority for that service at the published rate Annex D sets. This reimbursement operates as payment for a genuine service, distinct in law and in structure from a toll on passage, consistent with the transit-passage regime’s permitted-charges doctrine.</w:t>
      </w:r>
    </w:p>
    <w:p>
      <w:pPr>
        <w:spacing w:after="200" w:before="0" w:line="288"/>
        <w:jc w:val="both"/>
      </w:pPr>
      <w:r>
        <w:rPr>
          <w:rFonts w:ascii="Calibri" w:cs="Calibri" w:eastAsia="Calibri" w:hAnsi="Calibri"/>
          <w:b w:val="false"/>
          <w:bCs w:val="false"/>
          <w:i w:val="false"/>
          <w:iCs w:val="false"/>
          <w:color w:val="1A1A1A"/>
          <w:sz w:val="22"/>
          <w:szCs w:val="22"/>
        </w:rPr>
        <w:t xml:space="preserve">Annex D lists the closed and published catalog of reimbursable services and establishes the Hormuz Services Fund, the sanctions-compatible payment architecture, and the audit regime that make this Article operational.</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14</w:t>
      </w:r>
      <w:r>
        <w:rPr>
          <w:rFonts w:ascii="Calibri" w:cs="Calibri" w:eastAsia="Calibri" w:hAnsi="Calibri"/>
          <w:b/>
          <w:bCs/>
          <w:color w:val="1B2A4A"/>
          <w:sz w:val="30"/>
          <w:szCs w:val="30"/>
        </w:rPr>
        <w:br/>
        <w:t xml:space="preserve">  The Hormuz Services Fund</w:t>
      </w:r>
    </w:p>
    <w:p>
      <w:pPr>
        <w:spacing w:after="200" w:before="0" w:line="288"/>
        <w:jc w:val="both"/>
      </w:pPr>
      <w:r>
        <w:rPr>
          <w:rFonts w:ascii="Calibri" w:cs="Calibri" w:eastAsia="Calibri" w:hAnsi="Calibri"/>
          <w:b w:val="false"/>
          <w:bCs w:val="false"/>
          <w:i w:val="false"/>
          <w:iCs w:val="false"/>
          <w:color w:val="1A1A1A"/>
          <w:sz w:val="22"/>
          <w:szCs w:val="22"/>
        </w:rPr>
        <w:t xml:space="preserve">The Hormuz Services Fund operates as a neutral escrow facility, administered under Swiss jurisdiction, that receives service reimbursements from the funding channels Annex D defines and disburses them against verified service delivery to the coastal states and the Authority’s operating budget.</w:t>
      </w:r>
    </w:p>
    <w:p>
      <w:pPr>
        <w:spacing w:after="200" w:before="0" w:line="288"/>
        <w:jc w:val="both"/>
      </w:pPr>
      <w:r>
        <w:rPr>
          <w:rFonts w:ascii="Calibri" w:cs="Calibri" w:eastAsia="Calibri" w:hAnsi="Calibri"/>
          <w:b w:val="false"/>
          <w:bCs w:val="false"/>
          <w:i w:val="false"/>
          <w:iCs w:val="false"/>
          <w:color w:val="1A1A1A"/>
          <w:sz w:val="22"/>
          <w:szCs w:val="22"/>
        </w:rPr>
        <w:t xml:space="preserve">The Fund’s three channels distribute the funding burden away from any single source: an Insurance Channel, in which participating vessels’ war-risk and hull premiums route a service component into the Fund; a Port and Commercial Channel, in which participating ports and energy exporters contribute a throughput-based service fee; and a Sovereign Channel, in which member states and institutional partners fund infrastructure and capacity-building directly. Annex D sets the allocation formula and the quarterly accounting and annual audit cycle that keep the Fund transparent to every contributor.</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15</w:t>
      </w:r>
      <w:r>
        <w:rPr>
          <w:rFonts w:ascii="Calibri" w:cs="Calibri" w:eastAsia="Calibri" w:hAnsi="Calibri"/>
          <w:b/>
          <w:bCs/>
          <w:color w:val="1B2A4A"/>
          <w:sz w:val="30"/>
          <w:szCs w:val="30"/>
        </w:rPr>
        <w:br/>
        <w:t xml:space="preserve">  The Hormuz Reconstruction and Development Facility</w:t>
      </w:r>
    </w:p>
    <w:p>
      <w:pPr>
        <w:spacing w:after="200" w:before="0" w:line="288"/>
        <w:jc w:val="both"/>
      </w:pPr>
      <w:r>
        <w:rPr>
          <w:rFonts w:ascii="Calibri" w:cs="Calibri" w:eastAsia="Calibri" w:hAnsi="Calibri"/>
          <w:b w:val="false"/>
          <w:bCs w:val="false"/>
          <w:i w:val="false"/>
          <w:iCs w:val="false"/>
          <w:color w:val="1A1A1A"/>
          <w:sz w:val="22"/>
          <w:szCs w:val="22"/>
        </w:rPr>
        <w:t xml:space="preserve">The Hormuz Reconstruction and Development Facility operates as a distinct instrument from the Services Fund, dedicated to coastal infrastructure, environmental remediation, and economic development along the Governance Area’s Iranian and Omani coastlines. Annex N sets the Facility’s charter, its capitalization sources, and its governance.</w:t>
      </w:r>
    </w:p>
    <w:p>
      <w:pPr>
        <w:spacing w:after="200" w:before="0" w:line="288"/>
        <w:jc w:val="both"/>
      </w:pPr>
      <w:r>
        <w:rPr>
          <w:rFonts w:ascii="Calibri" w:cs="Calibri" w:eastAsia="Calibri" w:hAnsi="Calibri"/>
          <w:b w:val="false"/>
          <w:bCs w:val="false"/>
          <w:i w:val="false"/>
          <w:iCs w:val="false"/>
          <w:color w:val="1A1A1A"/>
          <w:sz w:val="22"/>
          <w:szCs w:val="22"/>
        </w:rPr>
        <w:t xml:space="preserve">The Facility draws its capital from Gulf and international sovereign investment, private commercial investment, multilateral development institutions, and the reconstruction mechanisms already under discussion in the wider Islamabad-track process, structured as an investment-for-transit arrangement rather than as state-to-state compensation. This structure gives Iran a substantial, verifiable economic benefit tied to sustained corridor performance, while excluding any direct payment obligation from the United States Treasury, consistent with the Red Line each side holds under Annex K.</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16</w:t>
      </w:r>
      <w:r>
        <w:rPr>
          <w:rFonts w:ascii="Calibri" w:cs="Calibri" w:eastAsia="Calibri" w:hAnsi="Calibri"/>
          <w:b/>
          <w:bCs/>
          <w:color w:val="1B2A4A"/>
          <w:sz w:val="30"/>
          <w:szCs w:val="30"/>
        </w:rPr>
        <w:br/>
        <w:t xml:space="preserve">  Verification and Compliance</w:t>
      </w:r>
    </w:p>
    <w:p>
      <w:pPr>
        <w:spacing w:after="200" w:before="0" w:line="288"/>
        <w:jc w:val="both"/>
      </w:pPr>
      <w:r>
        <w:rPr>
          <w:rFonts w:ascii="Calibri" w:cs="Calibri" w:eastAsia="Calibri" w:hAnsi="Calibri"/>
          <w:b w:val="false"/>
          <w:bCs w:val="false"/>
          <w:i w:val="false"/>
          <w:iCs w:val="false"/>
          <w:color w:val="1A1A1A"/>
          <w:sz w:val="22"/>
          <w:szCs w:val="22"/>
        </w:rPr>
        <w:t xml:space="preserve">This Accord adopts the Cothrom-Hormuz Verification Method, adapted from the Cothrom Verification Method for maritime application, as its exclusive compliance architecture. The Method replaces automatic collapse on breach with a graduated, reversible, proportionate response, so that a minor technical drift produces a minor consequence and sustained good performance restores full standing automatically.</w:t>
      </w:r>
    </w:p>
    <w:p>
      <w:pPr>
        <w:spacing w:after="200" w:before="0" w:line="288"/>
        <w:jc w:val="both"/>
      </w:pPr>
      <w:r>
        <w:rPr>
          <w:rFonts w:ascii="Calibri" w:cs="Calibri" w:eastAsia="Calibri" w:hAnsi="Calibri"/>
          <w:b w:val="false"/>
          <w:bCs w:val="false"/>
          <w:i w:val="false"/>
          <w:iCs w:val="false"/>
          <w:color w:val="1A1A1A"/>
          <w:sz w:val="22"/>
          <w:szCs w:val="22"/>
        </w:rPr>
        <w:t xml:space="preserve">Annex F sets the four-tier classification of events, from Tier 0 Advisory through Tier 3 Architectural Breach, the human-anchored verification panel that reviews contested claims, the earn-back pathway that every Party retains regardless of history, and the humanitarian firewall that exempts food, medicine, and relief flows from every tier of consequence.</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17</w:t>
      </w:r>
      <w:r>
        <w:rPr>
          <w:rFonts w:ascii="Calibri" w:cs="Calibri" w:eastAsia="Calibri" w:hAnsi="Calibri"/>
          <w:b/>
          <w:bCs/>
          <w:color w:val="1B2A4A"/>
          <w:sz w:val="30"/>
          <w:szCs w:val="30"/>
        </w:rPr>
        <w:br/>
        <w:t xml:space="preserve">  Environmental Protection and Safety</w:t>
      </w:r>
    </w:p>
    <w:p>
      <w:pPr>
        <w:spacing w:after="200" w:before="0" w:line="288"/>
        <w:jc w:val="both"/>
      </w:pPr>
      <w:r>
        <w:rPr>
          <w:rFonts w:ascii="Calibri" w:cs="Calibri" w:eastAsia="Calibri" w:hAnsi="Calibri"/>
          <w:b w:val="false"/>
          <w:bCs w:val="false"/>
          <w:i w:val="false"/>
          <w:iCs w:val="false"/>
          <w:color w:val="1A1A1A"/>
          <w:sz w:val="22"/>
          <w:szCs w:val="22"/>
        </w:rPr>
        <w:t xml:space="preserve">The Authority maintains a standing pollution watch, a joint spill-response roster, and continuous environmental-baseline monitoring across all three corridors, under the protocols Annex H sets. This Accord’s architecture treats mines as categorically excluded from the Governance Area, and the joint Survey and Clearance Group operating under Annex H’s coordination with the United Nations Mine Action Service certifies each corridor segment clear before that segment opens to traffic under Article 22.</w:t>
      </w:r>
    </w:p>
    <w:p>
      <w:pPr>
        <w:spacing w:after="200" w:before="0" w:line="288"/>
        <w:jc w:val="both"/>
      </w:pPr>
      <w:r>
        <w:rPr>
          <w:rFonts w:ascii="Calibri" w:cs="Calibri" w:eastAsia="Calibri" w:hAnsi="Calibri"/>
          <w:b w:val="false"/>
          <w:bCs w:val="false"/>
          <w:i w:val="false"/>
          <w:iCs w:val="false"/>
          <w:color w:val="1A1A1A"/>
          <w:sz w:val="22"/>
          <w:szCs w:val="22"/>
        </w:rPr>
        <w:t xml:space="preserve">Annex H establishes a Green Discount that reduces the Insurance Channel contribution for vessels meeting defined emissions and safety standards, converting environmental compliance into a direct commercial incentive rather than a separate regulatory burden.</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18</w:t>
      </w:r>
      <w:r>
        <w:rPr>
          <w:rFonts w:ascii="Calibri" w:cs="Calibri" w:eastAsia="Calibri" w:hAnsi="Calibri"/>
          <w:b/>
          <w:bCs/>
          <w:color w:val="1B2A4A"/>
          <w:sz w:val="30"/>
          <w:szCs w:val="30"/>
        </w:rPr>
        <w:br/>
        <w:t xml:space="preserve">  The Humanitarian Bridge</w:t>
      </w:r>
    </w:p>
    <w:p>
      <w:pPr>
        <w:spacing w:after="200" w:before="0" w:line="288"/>
        <w:jc w:val="both"/>
      </w:pPr>
      <w:r>
        <w:rPr>
          <w:rFonts w:ascii="Calibri" w:cs="Calibri" w:eastAsia="Calibri" w:hAnsi="Calibri"/>
          <w:b w:val="false"/>
          <w:bCs w:val="false"/>
          <w:i w:val="false"/>
          <w:iCs w:val="false"/>
          <w:color w:val="1A1A1A"/>
          <w:sz w:val="22"/>
          <w:szCs w:val="22"/>
        </w:rPr>
        <w:t xml:space="preserve">Food, medicine, and relief cargo move through the Governance Area first, always, and under every condition, including during an active Tier 3 event, a security incident, or a dispute on any other track. The Humanitarian Bridge prevails over every other provision of this Accord, and this Accord’s architecture excludes any tier consequence, sanctions measure, or dispute outcome that touches a humanitarian flow.</w:t>
      </w:r>
    </w:p>
    <w:p>
      <w:pPr>
        <w:spacing w:after="200" w:before="0" w:line="288"/>
        <w:jc w:val="both"/>
      </w:pPr>
      <w:r>
        <w:rPr>
          <w:rFonts w:ascii="Calibri" w:cs="Calibri" w:eastAsia="Calibri" w:hAnsi="Calibri"/>
          <w:b w:val="false"/>
          <w:bCs w:val="false"/>
          <w:i w:val="false"/>
          <w:iCs w:val="false"/>
          <w:color w:val="1A1A1A"/>
          <w:sz w:val="22"/>
          <w:szCs w:val="22"/>
        </w:rPr>
        <w:t xml:space="preserve">Annex I sets the priority-certification procedure, targeting a one-hour certification window for a qualifying humanitarian shipment, and establishes the monitoring corps that verifies delivery and reports to the Authority’s Ombudsman.</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19</w:t>
      </w:r>
      <w:r>
        <w:rPr>
          <w:rFonts w:ascii="Calibri" w:cs="Calibri" w:eastAsia="Calibri" w:hAnsi="Calibri"/>
          <w:b/>
          <w:bCs/>
          <w:color w:val="1B2A4A"/>
          <w:sz w:val="30"/>
          <w:szCs w:val="30"/>
        </w:rPr>
        <w:br/>
        <w:t xml:space="preserve">  Governance Institutions</w:t>
      </w:r>
    </w:p>
    <w:p>
      <w:pPr>
        <w:spacing w:after="200" w:before="0" w:line="288"/>
        <w:jc w:val="both"/>
      </w:pPr>
      <w:r>
        <w:rPr>
          <w:rFonts w:ascii="Calibri" w:cs="Calibri" w:eastAsia="Calibri" w:hAnsi="Calibri"/>
          <w:b w:val="false"/>
          <w:bCs w:val="false"/>
          <w:i w:val="false"/>
          <w:iCs w:val="false"/>
          <w:color w:val="1A1A1A"/>
          <w:sz w:val="22"/>
          <w:szCs w:val="22"/>
        </w:rPr>
        <w:t xml:space="preserve">The Hormuz Council serves as the Accord’s political governing body, composed of Iran and Oman as Founding Parties holding Twin-Key authority, GCC and Iraq as Observer Members, the United States as Guarantor and Endorsing Stakeholder without vote or command, and the International Maritime Organization, the International Hydrographic Organization, and the United Nations Mine Action Service as Technical Participants.</w:t>
      </w:r>
    </w:p>
    <w:p>
      <w:pPr>
        <w:spacing w:after="200" w:before="0" w:line="288"/>
        <w:jc w:val="both"/>
      </w:pPr>
      <w:r>
        <w:rPr>
          <w:rFonts w:ascii="Calibri" w:cs="Calibri" w:eastAsia="Calibri" w:hAnsi="Calibri"/>
          <w:b w:val="false"/>
          <w:bCs w:val="false"/>
          <w:i w:val="false"/>
          <w:iCs w:val="false"/>
          <w:color w:val="1A1A1A"/>
          <w:sz w:val="22"/>
          <w:szCs w:val="22"/>
        </w:rPr>
        <w:t xml:space="preserve">The Council operates on consensus-minus-one for routine decisions and a two-thirds supermajority for critical decisions, with silence from a Party for the notice period Annex E sets constituting non-objection rather than a pocket veto. The Secretariat, seated in Muscat with a mirror facility in Bandar Abbas, runs daily operational coordination. The Maritime Coordination Center runs the fused monitoring picture and the security deconfliction functions. Annex E sets the full institutional architecture, including the Verification and Surveillance Directorate, the Regional Tribunal, and the Ombudsman office.</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20</w:t>
      </w:r>
      <w:r>
        <w:rPr>
          <w:rFonts w:ascii="Calibri" w:cs="Calibri" w:eastAsia="Calibri" w:hAnsi="Calibri"/>
          <w:b/>
          <w:bCs/>
          <w:color w:val="1B2A4A"/>
          <w:sz w:val="30"/>
          <w:szCs w:val="30"/>
        </w:rPr>
        <w:br/>
        <w:t xml:space="preserve">  Dispute Resolution</w:t>
      </w:r>
    </w:p>
    <w:p>
      <w:pPr>
        <w:spacing w:after="200" w:before="0" w:line="288"/>
        <w:jc w:val="both"/>
      </w:pPr>
      <w:r>
        <w:rPr>
          <w:rFonts w:ascii="Calibri" w:cs="Calibri" w:eastAsia="Calibri" w:hAnsi="Calibri"/>
          <w:b w:val="false"/>
          <w:bCs w:val="false"/>
          <w:i w:val="false"/>
          <w:iCs w:val="false"/>
          <w:color w:val="1A1A1A"/>
          <w:sz w:val="22"/>
          <w:szCs w:val="22"/>
        </w:rPr>
        <w:t xml:space="preserve">Annex E establishes a three-band dispute-resolution system scaled to the stakes involved: a Micro band resolving routine operational disputes within fourteen days through the Secretariat, a Meso band resolving corridor-management or fee disputes within forty-five days through the Regional Tribunal, and a Macro band resolving structural or treaty-interpretation disputes within one hundred twenty days through a five-judge panel serving staggered ten-year terms.</w:t>
      </w:r>
    </w:p>
    <w:p>
      <w:pPr>
        <w:spacing w:after="200" w:before="0" w:line="288"/>
        <w:jc w:val="both"/>
      </w:pPr>
      <w:r>
        <w:rPr>
          <w:rFonts w:ascii="Calibri" w:cs="Calibri" w:eastAsia="Calibri" w:hAnsi="Calibri"/>
          <w:b w:val="false"/>
          <w:bCs w:val="false"/>
          <w:i w:val="false"/>
          <w:iCs w:val="false"/>
          <w:color w:val="1A1A1A"/>
          <w:sz w:val="22"/>
          <w:szCs w:val="22"/>
        </w:rPr>
        <w:t xml:space="preserve">Every dispute-resolution mechanism under this Accord operates on a strictly non-kinetic basis, and this Accord’s architecture excludes the use or threat of force as a tool of dispute resolution under any circumstance.</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21</w:t>
      </w:r>
      <w:r>
        <w:rPr>
          <w:rFonts w:ascii="Calibri" w:cs="Calibri" w:eastAsia="Calibri" w:hAnsi="Calibri"/>
          <w:b/>
          <w:bCs/>
          <w:color w:val="1B2A4A"/>
          <w:sz w:val="30"/>
          <w:szCs w:val="30"/>
        </w:rPr>
        <w:br/>
        <w:t xml:space="preserve">  Participation and Accession</w:t>
      </w:r>
    </w:p>
    <w:p>
      <w:pPr>
        <w:spacing w:after="200" w:before="0" w:line="288"/>
        <w:jc w:val="both"/>
      </w:pPr>
      <w:r>
        <w:rPr>
          <w:rFonts w:ascii="Calibri" w:cs="Calibri" w:eastAsia="Calibri" w:hAnsi="Calibri"/>
          <w:b w:val="false"/>
          <w:bCs w:val="false"/>
          <w:i w:val="false"/>
          <w:iCs w:val="false"/>
          <w:color w:val="1A1A1A"/>
          <w:sz w:val="22"/>
          <w:szCs w:val="22"/>
        </w:rPr>
        <w:t xml:space="preserve">This Accord recognizes five participation tiers: Founding Parties, Associate Parties, Observer Members, Technical Participants, and Guarantors, each carrying the rights and obligations Annex E details. Annex L opens accession to every Gulf and regional state on a non-discriminatory basis, with a Gulf Fast-Track granting provisional participation immediately and full status within twelve months, and a Standard Track granting full status after a twelve-month provisional period.</w:t>
      </w:r>
    </w:p>
    <w:p>
      <w:pPr>
        <w:spacing w:after="200" w:before="0" w:line="288"/>
        <w:jc w:val="both"/>
      </w:pPr>
      <w:r>
        <w:rPr>
          <w:rFonts w:ascii="Calibri" w:cs="Calibri" w:eastAsia="Calibri" w:hAnsi="Calibri"/>
          <w:b w:val="false"/>
          <w:bCs w:val="false"/>
          <w:i w:val="false"/>
          <w:iCs w:val="false"/>
          <w:color w:val="1A1A1A"/>
          <w:sz w:val="22"/>
          <w:szCs w:val="22"/>
        </w:rPr>
        <w:t xml:space="preserve">A commercial or technical actor, including shipping companies, energy companies, maritime insurers, and port authorities, holds Non-State Participant status under Annex E, carrying operational compliance obligations without treaty-signature status.</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22</w:t>
      </w:r>
      <w:r>
        <w:rPr>
          <w:rFonts w:ascii="Calibri" w:cs="Calibri" w:eastAsia="Calibri" w:hAnsi="Calibri"/>
          <w:b/>
          <w:bCs/>
          <w:color w:val="1B2A4A"/>
          <w:sz w:val="30"/>
          <w:szCs w:val="30"/>
        </w:rPr>
        <w:br/>
        <w:t xml:space="preserve">  The Accelerated Activation Sequence</w:t>
      </w:r>
    </w:p>
    <w:p>
      <w:pPr>
        <w:spacing w:after="200" w:before="0" w:line="288"/>
        <w:jc w:val="both"/>
      </w:pPr>
      <w:r>
        <w:rPr>
          <w:rFonts w:ascii="Calibri" w:cs="Calibri" w:eastAsia="Calibri" w:hAnsi="Calibri"/>
          <w:b w:val="false"/>
          <w:bCs w:val="false"/>
          <w:i w:val="false"/>
          <w:iCs w:val="false"/>
          <w:color w:val="1A1A1A"/>
          <w:sz w:val="22"/>
          <w:szCs w:val="22"/>
        </w:rPr>
        <w:t xml:space="preserve">This Accord activates on an accelerated timeline. Complete physical reopening of the Governance Area, across all three corridors, to full commercial traffic occurs by Day 5 from signature, on the schedule Annex J sets in full. This timeline compresses the standard ninety-to-one-hundred-twenty-day reopening sequence into five days precisely because the underlying corridor geometry, the technical mapping, and the safety protocols already carry near-complete convergence between Iran and Oman from the 2026 working-group process, leaving only the security, fee, and multilateral-acceptance components this Accord resolves directly.</w:t>
      </w:r>
    </w:p>
    <w:p>
      <w:pPr>
        <w:spacing w:after="200" w:before="0" w:line="288"/>
        <w:jc w:val="both"/>
      </w:pPr>
      <w:r>
        <w:rPr>
          <w:rFonts w:ascii="Calibri" w:cs="Calibri" w:eastAsia="Calibri" w:hAnsi="Calibri"/>
          <w:b w:val="false"/>
          <w:bCs w:val="false"/>
          <w:i w:val="false"/>
          <w:iCs w:val="false"/>
          <w:color w:val="1A1A1A"/>
          <w:sz w:val="22"/>
          <w:szCs w:val="22"/>
        </w:rPr>
        <w:t xml:space="preserve">The five-day physical reopening operates as a distinct layer from the institutional maturation that continues afterward. The Good-Behavior Escalator of Article 8, the Hormuz Services Fund’s full audit cycle, the Regional Tribunal’s staffing, and the United States rebalancing sequence of Article 10 mature over the graduated weeks and months Annex J’s Gate Schedule sets, running from Day 5 through Day 120 and beyond. This structure delivers the indivisible, synchronized event every Party needs, an open Strait within days, without forcing the deeper institutional architecture to mature at an unsafe pace.</w:t>
      </w:r>
    </w:p>
    <w:p>
      <w:pPr>
        <w:spacing w:after="200" w:before="0" w:line="288"/>
        <w:jc w:val="both"/>
      </w:pPr>
      <w:r>
        <w:rPr>
          <w:rFonts w:ascii="Calibri" w:cs="Calibri" w:eastAsia="Calibri" w:hAnsi="Calibri"/>
          <w:b w:val="false"/>
          <w:bCs w:val="false"/>
          <w:i w:val="false"/>
          <w:iCs w:val="false"/>
          <w:color w:val="1A1A1A"/>
          <w:sz w:val="22"/>
          <w:szCs w:val="22"/>
        </w:rPr>
        <w:t xml:space="preserve">Annex J sets the complete Gate Schedule, the eight concurrent activation tracks, and the Emergency Acceleration Clause that compresses the schedule further, by fifty percent, upon joint Iran-Oman certification that a given gate’s metrics clear early.</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23</w:t>
      </w:r>
      <w:r>
        <w:rPr>
          <w:rFonts w:ascii="Calibri" w:cs="Calibri" w:eastAsia="Calibri" w:hAnsi="Calibri"/>
          <w:b/>
          <w:bCs/>
          <w:color w:val="1B2A4A"/>
          <w:sz w:val="30"/>
          <w:szCs w:val="30"/>
        </w:rPr>
        <w:br/>
        <w:t xml:space="preserve">  Amendment, Review, and Duration</w:t>
      </w:r>
    </w:p>
    <w:p>
      <w:pPr>
        <w:spacing w:after="200" w:before="0" w:line="288"/>
        <w:jc w:val="both"/>
      </w:pPr>
      <w:r>
        <w:rPr>
          <w:rFonts w:ascii="Calibri" w:cs="Calibri" w:eastAsia="Calibri" w:hAnsi="Calibri"/>
          <w:b w:val="false"/>
          <w:bCs w:val="false"/>
          <w:i w:val="false"/>
          <w:iCs w:val="false"/>
          <w:color w:val="1A1A1A"/>
          <w:sz w:val="22"/>
          <w:szCs w:val="22"/>
        </w:rPr>
        <w:t xml:space="preserve">The Council amends an Annex by the consensus-minus-one procedure of Article 19, without reopening this Part. Amendment of a Core Accord Article, or of a Red Line registered in Annex K, activates only on a three-quarters Council vote and excludes any amendment that crosses a Red Line without that Red Line’s holder joining the consensus.</w:t>
      </w:r>
    </w:p>
    <w:p>
      <w:pPr>
        <w:spacing w:after="200" w:before="0" w:line="288"/>
        <w:jc w:val="both"/>
      </w:pPr>
      <w:r>
        <w:rPr>
          <w:rFonts w:ascii="Calibri" w:cs="Calibri" w:eastAsia="Calibri" w:hAnsi="Calibri"/>
          <w:b w:val="false"/>
          <w:bCs w:val="false"/>
          <w:i w:val="false"/>
          <w:iCs w:val="false"/>
          <w:color w:val="1A1A1A"/>
          <w:sz w:val="22"/>
          <w:szCs w:val="22"/>
        </w:rPr>
        <w:t xml:space="preserve">The Council conducts a comprehensive review of this Accord’s operation every five years. This Accord renews automatically at the fifteen-year mark, and at every fifteen-year interval afterward, absent a twenty-four-month notice of non-renewal from a Founding Party.</w:t>
      </w:r>
    </w:p>
    <w:p>
      <w:pPr>
        <w:spacing w:after="200" w:before="0" w:line="288"/>
        <w:jc w:val="both"/>
      </w:pPr>
      <w:r>
        <w:rPr>
          <w:rFonts w:ascii="Calibri" w:cs="Calibri" w:eastAsia="Calibri" w:hAnsi="Calibri"/>
          <w:b w:val="false"/>
          <w:bCs w:val="false"/>
          <w:i w:val="false"/>
          <w:iCs w:val="false"/>
          <w:color w:val="1A1A1A"/>
          <w:sz w:val="22"/>
          <w:szCs w:val="22"/>
        </w:rPr>
        <w:t xml:space="preserve">This Accord carries no sunset and no expiry date. It ends only through deliberate withdrawal under the notice procedure of this Article or through replacement by a successor instrument the Founding Parties jointly conclude. A withdrawing Party continues full performance during its twenty-four-month notice period, and that Party’s financial obligations to the Services Fund and the Reconstruction Facility survive its withdrawal for obligations already incurred.</w:t>
      </w:r>
    </w:p>
    <w:p>
      <w:pPr>
        <w:pStyle w:val="Heading1"/>
        <w:pBdr>
          <w:bottom w:val="single" w:color="A9862F" w:sz="8" w:space="6"/>
        </w:pBdr>
        <w:spacing w:after="240" w:before="480"/>
      </w:pPr>
      <w:r>
        <w:rPr>
          <w:rFonts w:ascii="Calibri" w:cs="Calibri" w:eastAsia="Calibri" w:hAnsi="Calibri"/>
          <w:b/>
          <w:bCs/>
          <w:color w:val="A9862F"/>
          <w:sz w:val="22"/>
          <w:szCs w:val="22"/>
        </w:rPr>
        <w:t xml:space="preserve">Article 24</w:t>
      </w:r>
      <w:r>
        <w:rPr>
          <w:rFonts w:ascii="Calibri" w:cs="Calibri" w:eastAsia="Calibri" w:hAnsi="Calibri"/>
          <w:b/>
          <w:bCs/>
          <w:color w:val="1B2A4A"/>
          <w:sz w:val="30"/>
          <w:szCs w:val="30"/>
        </w:rPr>
        <w:br/>
        <w:t xml:space="preserve">  Entry Into Force and Final Clauses</w:t>
      </w:r>
    </w:p>
    <w:p>
      <w:pPr>
        <w:spacing w:after="200" w:before="0" w:line="288"/>
        <w:jc w:val="both"/>
      </w:pPr>
      <w:r>
        <w:rPr>
          <w:rFonts w:ascii="Calibri" w:cs="Calibri" w:eastAsia="Calibri" w:hAnsi="Calibri"/>
          <w:b w:val="false"/>
          <w:bCs w:val="false"/>
          <w:i w:val="false"/>
          <w:iCs w:val="false"/>
          <w:color w:val="1A1A1A"/>
          <w:sz w:val="22"/>
          <w:szCs w:val="22"/>
        </w:rPr>
        <w:t xml:space="preserve">This Accord enters into force upon signature by Iran and Oman as Founding Parties, together with the deposit of endorsement by the United States as Guarantor and by three GCC states as Observer Members. A Party whose domestic ratification process continues after this threshold participates on a Partial Entry basis, with voice but without vote, until its ratification completes, within a window of one hundred twenty days.</w:t>
      </w:r>
    </w:p>
    <w:p>
      <w:pPr>
        <w:spacing w:after="200" w:before="0" w:line="288"/>
        <w:jc w:val="both"/>
      </w:pPr>
      <w:r>
        <w:rPr>
          <w:rFonts w:ascii="Calibri" w:cs="Calibri" w:eastAsia="Calibri" w:hAnsi="Calibri"/>
          <w:b w:val="false"/>
          <w:bCs w:val="false"/>
          <w:i w:val="false"/>
          <w:iCs w:val="false"/>
          <w:color w:val="1A1A1A"/>
          <w:sz w:val="22"/>
          <w:szCs w:val="22"/>
        </w:rPr>
        <w:t xml:space="preserve">Muscat serves as this Accord’s Depositary, holding the original instrument, the record of every accession, and the record of every amendment. Islamabad serves as the Depositary for the intermediary-bridge correspondence Annex E’s indirect-channel procedure generates, consistent with its existing role in the wider 2026 mediation architecture.</w:t>
      </w:r>
    </w:p>
    <w:p>
      <w:pPr>
        <w:spacing w:after="200" w:before="0" w:line="288"/>
        <w:jc w:val="both"/>
      </w:pPr>
      <w:r>
        <w:rPr>
          <w:rFonts w:ascii="Calibri" w:cs="Calibri" w:eastAsia="Calibri" w:hAnsi="Calibri"/>
          <w:b w:val="false"/>
          <w:bCs w:val="false"/>
          <w:i w:val="false"/>
          <w:iCs w:val="false"/>
          <w:color w:val="1A1A1A"/>
          <w:sz w:val="22"/>
          <w:szCs w:val="22"/>
        </w:rPr>
        <w:t xml:space="preserve">This Accord exists in Arabic, Persian, and English texts, each equally authentic. In the event of divergence, the Council resolves the interpretation through the Meso-band dispute procedure of Article 20.</w:t>
      </w:r>
    </w:p>
    <w:p>
      <w:pPr>
        <w:spacing w:after="200" w:before="0" w:line="288"/>
        <w:jc w:val="both"/>
      </w:pPr>
      <w:r>
        <w:rPr>
          <w:rFonts w:ascii="Calibri" w:cs="Calibri" w:eastAsia="Calibri" w:hAnsi="Calibri"/>
          <w:b w:val="false"/>
          <w:bCs w:val="false"/>
          <w:i w:val="false"/>
          <w:iCs w:val="false"/>
          <w:color w:val="1A1A1A"/>
          <w:sz w:val="22"/>
          <w:szCs w:val="22"/>
        </w:rPr>
        <w:t xml:space="preserve">Done at Muscat, in three original texts, on the date of signature recorded on the signature page at Annex V.</w:t>
      </w:r>
    </w:p>
    <w:p>
      <w:pPr>
        <w:pStyle w:val="Heading1"/>
        <w:pBdr>
          <w:bottom w:val="single" w:color="A9862F" w:sz="8" w:space="6"/>
        </w:pBdr>
        <w:spacing w:after="240" w:before="480"/>
      </w:pPr>
      <w:r>
        <w:rPr>
          <w:rFonts w:ascii="Calibri" w:cs="Calibri" w:eastAsia="Calibri" w:hAnsi="Calibri"/>
          <w:b/>
          <w:bCs/>
          <w:color w:val="1B2A4A"/>
          <w:sz w:val="32"/>
          <w:szCs w:val="32"/>
        </w:rPr>
        <w:t xml:space="preserve">Part II: The Annexes</w:t>
      </w:r>
    </w:p>
    <w:p>
      <w:pPr>
        <w:spacing w:after="200" w:before="0" w:line="288"/>
        <w:jc w:val="both"/>
      </w:pPr>
      <w:r>
        <w:rPr>
          <w:rFonts w:ascii="Calibri" w:cs="Calibri" w:eastAsia="Calibri" w:hAnsi="Calibri"/>
          <w:b w:val="false"/>
          <w:bCs w:val="false"/>
          <w:i w:val="false"/>
          <w:iCs w:val="false"/>
          <w:color w:val="1A1A1A"/>
          <w:sz w:val="22"/>
          <w:szCs w:val="22"/>
        </w:rPr>
        <w:t xml:space="preserve">The Annexes carry the full operative detail of this Accord. Each Annex forms an integral part of the Accord under Article 1. The Council amends an Annex through the consensus-minus-one procedure of Article 19 and Annex E, without reopening the Core Accord in Part I. This structure keeps the governing text stable while the technical and procedural detail adapts as the corridor system matures.</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A</w:t>
      </w:r>
      <w:r>
        <w:rPr>
          <w:rFonts w:ascii="Calibri" w:cs="Calibri" w:eastAsia="Calibri" w:hAnsi="Calibri"/>
          <w:b/>
          <w:bCs/>
          <w:color w:val="1B2A4A"/>
          <w:sz w:val="30"/>
          <w:szCs w:val="30"/>
        </w:rPr>
        <w:br/>
        <w:t xml:space="preserve">  Corridor Geometry and Coordinates</w:t>
      </w:r>
    </w:p>
    <w:p>
      <w:pPr>
        <w:spacing w:after="200" w:before="0" w:line="288"/>
        <w:jc w:val="both"/>
      </w:pPr>
      <w:r>
        <w:rPr>
          <w:rFonts w:ascii="Calibri" w:cs="Calibri" w:eastAsia="Calibri" w:hAnsi="Calibri"/>
          <w:b w:val="false"/>
          <w:bCs w:val="false"/>
          <w:i w:val="false"/>
          <w:iCs w:val="false"/>
          <w:color w:val="1A1A1A"/>
          <w:sz w:val="22"/>
          <w:szCs w:val="22"/>
        </w:rPr>
        <w:t xml:space="preserve">This Annex sets the geographic architecture of the Governance Area and the three-corridor system Article 5 establishes. The coordinates in this Annex use the WGS 84 datum, matching International Maritime Organization practice for traffic-separation schemes worldwide.</w:t>
      </w:r>
    </w:p>
    <w:p>
      <w:pPr>
        <w:pStyle w:val="Heading2"/>
        <w:spacing w:after="180" w:before="360"/>
      </w:pPr>
      <w:r>
        <w:rPr>
          <w:rFonts w:ascii="Calibri" w:cs="Calibri" w:eastAsia="Calibri" w:hAnsi="Calibri"/>
          <w:b/>
          <w:bCs/>
          <w:color w:val="1B2A4A"/>
          <w:sz w:val="26"/>
          <w:szCs w:val="26"/>
        </w:rPr>
        <w:t xml:space="preserve">A.1 The Governance Area</w:t>
      </w:r>
    </w:p>
    <w:p>
      <w:pPr>
        <w:spacing w:after="200" w:before="0" w:line="288"/>
        <w:jc w:val="both"/>
      </w:pPr>
      <w:r>
        <w:rPr>
          <w:rFonts w:ascii="Calibri" w:cs="Calibri" w:eastAsia="Calibri" w:hAnsi="Calibri"/>
          <w:b w:val="false"/>
          <w:bCs w:val="false"/>
          <w:i w:val="false"/>
          <w:iCs w:val="false"/>
          <w:color w:val="1A1A1A"/>
          <w:sz w:val="22"/>
          <w:szCs w:val="22"/>
        </w:rPr>
        <w:t xml:space="preserve">The Governance Area extends across the Strait of Hormuz and its immediate approaches, from the eastern Persian Gulf near the waters north of Qeshm Island through the narrowest transit between Larak Island and Oman’s Great Quoin Island, and onward into the western Gulf of Oman approaches near the Musandam Peninsula. Annex A’s boundary description carries no implication for any Party’s territorial sea, exclusive economic zone, or continental shelf position, consistent with Article 4’s non-prejudice clause.</w:t>
      </w:r>
    </w:p>
    <w:p>
      <w:pPr>
        <w:pStyle w:val="Heading2"/>
        <w:spacing w:after="180" w:before="360"/>
      </w:pPr>
      <w:r>
        <w:rPr>
          <w:rFonts w:ascii="Calibri" w:cs="Calibri" w:eastAsia="Calibri" w:hAnsi="Calibri"/>
          <w:b/>
          <w:bCs/>
          <w:color w:val="1B2A4A"/>
          <w:sz w:val="26"/>
          <w:szCs w:val="26"/>
        </w:rPr>
        <w:t xml:space="preserve">A.2 Provisional Corridor Waypoints</w:t>
      </w:r>
    </w:p>
    <w:p>
      <w:pPr>
        <w:spacing w:after="200" w:before="0" w:line="288"/>
        <w:jc w:val="both"/>
      </w:pPr>
      <w:r>
        <w:rPr>
          <w:rFonts w:ascii="Calibri" w:cs="Calibri" w:eastAsia="Calibri" w:hAnsi="Calibri"/>
          <w:b w:val="false"/>
          <w:bCs w:val="false"/>
          <w:i w:val="false"/>
          <w:iCs w:val="false"/>
          <w:color w:val="1A1A1A"/>
          <w:sz w:val="22"/>
          <w:szCs w:val="22"/>
        </w:rPr>
        <w:t xml:space="preserve">The table below sets the provisional waypoint chain for each corridor. This chain reflects the geometry the Iran-Oman working-group process converged on through August 2026: an Inbound lane through Iranian waters north of Larak Island, an Outbound lane through the historic IMO-registered traffic-separation scheme south of the Musandam approaches, and a two-mile Buffer median separating the two. The Authority certifies the final, surveyed coordinate set under the Gate Three procedure of Annex J and registers that final set with the International Maritime Organization at that point. Until Gate Three certification, this waypoint chain governs on a provisional basis for planning, insurance, and routing-software purposes.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600"/>
        <w:gridCol w:w="1500"/>
        <w:gridCol w:w="1400"/>
        <w:gridCol w:w="1400"/>
        <w:gridCol w:w="3450"/>
      </w:tblGrid>
      <w:tr>
        <w:trPr>
          <w:tblHeader/>
        </w:trPr>
        <w:tc>
          <w:tcPr>
            <w:tcW w:type="dxa" w:w="1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Corridor</w:t>
            </w:r>
          </w:p>
        </w:tc>
        <w:tc>
          <w:tcPr>
            <w:tcW w:type="dxa" w:w="15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Waypoint</w:t>
            </w:r>
          </w:p>
        </w:tc>
        <w:tc>
          <w:tcPr>
            <w:tcW w:type="dxa" w:w="1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Latitude (N)</w:t>
            </w:r>
          </w:p>
        </w:tc>
        <w:tc>
          <w:tcPr>
            <w:tcW w:type="dxa" w:w="1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Longitude (E)</w:t>
            </w:r>
          </w:p>
        </w:tc>
        <w:tc>
          <w:tcPr>
            <w:tcW w:type="dxa" w:w="34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Function</w:t>
            </w:r>
          </w:p>
        </w:tc>
      </w:tr>
      <w:tr>
        <w:tc>
          <w:tcPr>
            <w:tcW w:type="dxa" w:w="1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Inbound</w:t>
            </w:r>
          </w:p>
        </w:tc>
        <w:tc>
          <w:tcPr>
            <w:tcW w:type="dxa" w:w="1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IN-1</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46.0′</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55° 46.3′</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Entry point, north of Qeshm Island</w:t>
            </w:r>
          </w:p>
        </w:tc>
      </w:tr>
      <w:tr>
        <w:tc>
          <w:tcPr>
            <w:tcW w:type="dxa" w:w="1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Inbound</w:t>
            </w:r>
          </w:p>
        </w:tc>
        <w:tc>
          <w:tcPr>
            <w:tcW w:type="dxa" w:w="1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IN-2</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51.0′</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05.0′</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Mid-transit, Qeshm-Larak passage</w:t>
            </w:r>
          </w:p>
        </w:tc>
      </w:tr>
      <w:tr>
        <w:tc>
          <w:tcPr>
            <w:tcW w:type="dxa" w:w="1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Inbound</w:t>
            </w:r>
          </w:p>
        </w:tc>
        <w:tc>
          <w:tcPr>
            <w:tcW w:type="dxa" w:w="1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IN-3</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53.5′</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22.0′</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North of Larak Island</w:t>
            </w:r>
          </w:p>
        </w:tc>
      </w:tr>
      <w:tr>
        <w:tc>
          <w:tcPr>
            <w:tcW w:type="dxa" w:w="1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Inbound</w:t>
            </w:r>
          </w:p>
        </w:tc>
        <w:tc>
          <w:tcPr>
            <w:tcW w:type="dxa" w:w="1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IN-4</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48.0′</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34.0′</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Strait narrows, approach to Gulf of Oman</w:t>
            </w:r>
          </w:p>
        </w:tc>
      </w:tr>
      <w:tr>
        <w:tc>
          <w:tcPr>
            <w:tcW w:type="dxa" w:w="1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Buffer</w:t>
            </w:r>
          </w:p>
        </w:tc>
        <w:tc>
          <w:tcPr>
            <w:tcW w:type="dxa" w:w="1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BF-1</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45.0′</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18.0′</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Northern buffer boundary</w:t>
            </w:r>
          </w:p>
        </w:tc>
      </w:tr>
      <w:tr>
        <w:tc>
          <w:tcPr>
            <w:tcW w:type="dxa" w:w="1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Buffer</w:t>
            </w:r>
          </w:p>
        </w:tc>
        <w:tc>
          <w:tcPr>
            <w:tcW w:type="dxa" w:w="1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BF-2</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40.0′</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25.0′</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Central deconfliction point</w:t>
            </w:r>
          </w:p>
        </w:tc>
      </w:tr>
      <w:tr>
        <w:tc>
          <w:tcPr>
            <w:tcW w:type="dxa" w:w="1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Buffer</w:t>
            </w:r>
          </w:p>
        </w:tc>
        <w:tc>
          <w:tcPr>
            <w:tcW w:type="dxa" w:w="1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BF-3</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34.0′</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30.0′</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Southern buffer boundary, historic TSS center</w:t>
            </w:r>
          </w:p>
        </w:tc>
      </w:tr>
      <w:tr>
        <w:tc>
          <w:tcPr>
            <w:tcW w:type="dxa" w:w="1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Outbound</w:t>
            </w:r>
          </w:p>
        </w:tc>
        <w:tc>
          <w:tcPr>
            <w:tcW w:type="dxa" w:w="1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OUT-1</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40.0′</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12.0′</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Entry point, Omani territorial sea</w:t>
            </w:r>
          </w:p>
        </w:tc>
      </w:tr>
      <w:tr>
        <w:tc>
          <w:tcPr>
            <w:tcW w:type="dxa" w:w="1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Outbound</w:t>
            </w:r>
          </w:p>
        </w:tc>
        <w:tc>
          <w:tcPr>
            <w:tcW w:type="dxa" w:w="1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OUT-2</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33.8′</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22.0′</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Historic TSS, Musandam approach</w:t>
            </w:r>
          </w:p>
        </w:tc>
      </w:tr>
      <w:tr>
        <w:tc>
          <w:tcPr>
            <w:tcW w:type="dxa" w:w="1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Outbound</w:t>
            </w:r>
          </w:p>
        </w:tc>
        <w:tc>
          <w:tcPr>
            <w:tcW w:type="dxa" w:w="1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OUT-3</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28.0′</w:t>
            </w:r>
          </w:p>
        </w:tc>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33.0′</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South of Great Quoin Island</w:t>
            </w:r>
          </w:p>
        </w:tc>
      </w:tr>
      <w:tr>
        <w:tc>
          <w:tcPr>
            <w:tcW w:type="dxa" w:w="1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Outbound</w:t>
            </w:r>
          </w:p>
        </w:tc>
        <w:tc>
          <w:tcPr>
            <w:tcW w:type="dxa" w:w="1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OUT-4</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 20.0′</w:t>
            </w:r>
          </w:p>
        </w:tc>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56° 45.0′</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Exit point, Gulf of Oman approach</w:t>
            </w:r>
          </w:p>
        </w:tc>
      </w:tr>
    </w:tbl>
    <w:tbl>
      <w:tblPr>
        <w:tblW w:type="dxa" w:w="9350"/>
        <w:tblBorders>
          <w:top w:val="single" w:color="A9862F" w:sz="6"/>
          <w:left w:val="single" w:color="A9862F" w:sz="6"/>
          <w:bottom w:val="single" w:color="A9862F" w:sz="6"/>
          <w:right w:val="single" w:color="A9862F" w:sz="6"/>
          <w:insideH w:val="single" w:color="auto" w:sz="4"/>
          <w:insideV w:val="single" w:color="auto" w:sz="4"/>
        </w:tblBorders>
      </w:tblPr>
      <w:tblGrid>
        <w:gridCol w:w="9350"/>
      </w:tblGrid>
      <w:tr>
        <w:tc>
          <w:tcPr>
            <w:tcW w:type="dxa" w:w="9350"/>
            <w:shd w:fill="F2EBDA"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Status Note</w:t>
            </w:r>
          </w:p>
          <w:p>
            <w:pPr>
              <w:spacing w:after="0" w:line="276"/>
            </w:pPr>
            <w:r>
              <w:rPr>
                <w:rFonts w:ascii="Calibri" w:cs="Calibri" w:eastAsia="Calibri" w:hAnsi="Calibri"/>
                <w:i/>
                <w:iCs/>
                <w:color w:val="3A3A3A"/>
                <w:sz w:val="21"/>
                <w:szCs w:val="21"/>
              </w:rPr>
              <w:t xml:space="preserve">This waypoint chain is provisional and schematic, illustrative of the corridor architecture this Accord adopts. Annex J’s Gate One procedure activates a joint Iran-Oman hydrographic survey within the first five days of activation, and Gate Three converts this provisional chain into the certified, IMO-registered final coordinate set.</w:t>
            </w:r>
          </w:p>
        </w:tc>
      </w:tr>
    </w:tbl>
    <w:p>
      <w:pPr>
        <w:pStyle w:val="Heading2"/>
        <w:spacing w:after="180" w:before="360"/>
      </w:pPr>
      <w:r>
        <w:rPr>
          <w:rFonts w:ascii="Calibri" w:cs="Calibri" w:eastAsia="Calibri" w:hAnsi="Calibri"/>
          <w:b/>
          <w:bCs/>
          <w:color w:val="1B2A4A"/>
          <w:sz w:val="26"/>
          <w:szCs w:val="26"/>
        </w:rPr>
        <w:t xml:space="preserve">A.3 Corridor Dimensions and Separation</w:t>
      </w:r>
    </w:p>
    <w:p>
      <w:pPr>
        <w:spacing w:after="200" w:before="0" w:line="288"/>
        <w:jc w:val="both"/>
      </w:pPr>
      <w:r>
        <w:rPr>
          <w:rFonts w:ascii="Calibri" w:cs="Calibri" w:eastAsia="Calibri" w:hAnsi="Calibri"/>
          <w:b w:val="false"/>
          <w:bCs w:val="false"/>
          <w:i w:val="false"/>
          <w:iCs w:val="false"/>
          <w:color w:val="1A1A1A"/>
          <w:sz w:val="22"/>
          <w:szCs w:val="22"/>
        </w:rPr>
        <w:t xml:space="preserve">Each of the Inbound and Outbound Corridors carries a width of two nautical miles, consistent with the traffic-separation scheme’s historic dimensions. The Buffer Corridor carries a width of two nautical miles at its narrowest point, widening to four nautical miles in the open approaches at either end of the Governance Area. A precautionary area of one nautical mile radius surrounds each corridor junction point, within which vessels reduce speed to the safe-speed standard Annex B sets.</w:t>
      </w:r>
    </w:p>
    <w:p>
      <w:pPr>
        <w:pStyle w:val="Heading2"/>
        <w:spacing w:after="180" w:before="360"/>
      </w:pPr>
      <w:r>
        <w:rPr>
          <w:rFonts w:ascii="Calibri" w:cs="Calibri" w:eastAsia="Calibri" w:hAnsi="Calibri"/>
          <w:b/>
          <w:bCs/>
          <w:color w:val="1B2A4A"/>
          <w:sz w:val="26"/>
          <w:szCs w:val="26"/>
        </w:rPr>
        <w:t xml:space="preserve">A.4 Corridor Functions and Exclusions</w:t>
      </w:r>
    </w:p>
    <w:p>
      <w:pPr>
        <w:spacing w:after="200" w:before="0" w:line="288"/>
        <w:jc w:val="both"/>
      </w:pPr>
      <w:r>
        <w:rPr>
          <w:rFonts w:ascii="Calibri" w:cs="Calibri" w:eastAsia="Calibri" w:hAnsi="Calibri"/>
          <w:b w:val="false"/>
          <w:bCs w:val="false"/>
          <w:i w:val="false"/>
          <w:iCs w:val="false"/>
          <w:color w:val="1A1A1A"/>
          <w:sz w:val="22"/>
          <w:szCs w:val="22"/>
        </w:rPr>
        <w:t xml:space="preserve">The Authority performs the following functions within each corridor: traffic management and routing guidance, aids to navigation, environmental and weather monitoring, incident logging, and search-and-rescue coordination. This Annex excludes from the Authority’s corridor functions any interdiction, boarding, denial of passage, or cargo inspection function, each of which operates exclusively under the Twin-Key Rule of Article 9 and Annex C, entirely separate from routine corridor administration.</w:t>
      </w:r>
    </w:p>
    <w:p>
      <w:pPr>
        <w:pStyle w:val="Heading2"/>
        <w:spacing w:after="180" w:before="360"/>
      </w:pPr>
      <w:r>
        <w:rPr>
          <w:rFonts w:ascii="Calibri" w:cs="Calibri" w:eastAsia="Calibri" w:hAnsi="Calibri"/>
          <w:b/>
          <w:bCs/>
          <w:color w:val="1B2A4A"/>
          <w:sz w:val="26"/>
          <w:szCs w:val="26"/>
        </w:rPr>
        <w:t xml:space="preserve">A.5 Secondary and Emergency Channels</w:t>
      </w:r>
    </w:p>
    <w:p>
      <w:pPr>
        <w:spacing w:after="200" w:before="0" w:line="288"/>
        <w:jc w:val="both"/>
      </w:pPr>
      <w:r>
        <w:rPr>
          <w:rFonts w:ascii="Calibri" w:cs="Calibri" w:eastAsia="Calibri" w:hAnsi="Calibri"/>
          <w:b w:val="false"/>
          <w:bCs w:val="false"/>
          <w:i w:val="false"/>
          <w:iCs w:val="false"/>
          <w:color w:val="1A1A1A"/>
          <w:sz w:val="22"/>
          <w:szCs w:val="22"/>
        </w:rPr>
        <w:t xml:space="preserve">Annex A designates two secondary channels for use during weather events, mechanical failures, or Buffer Corridor congestion: a Northern Overflow Channel adjoining the Inbound Corridor’s eastern boundary, and a Southern Overflow Channel adjoining the Outbound Corridor’s western boundary. The Authority activates an overflow channel through the notification procedure Annex B sets, and closes it once the triggering condition clears.</w:t>
      </w:r>
    </w:p>
    <w:p>
      <w:pPr>
        <w:pStyle w:val="Heading2"/>
        <w:spacing w:after="180" w:before="360"/>
      </w:pPr>
      <w:r>
        <w:rPr>
          <w:rFonts w:ascii="Calibri" w:cs="Calibri" w:eastAsia="Calibri" w:hAnsi="Calibri"/>
          <w:b/>
          <w:bCs/>
          <w:color w:val="1B2A4A"/>
          <w:sz w:val="26"/>
          <w:szCs w:val="26"/>
        </w:rPr>
        <w:t xml:space="preserve">A.6 Sunset of Wartime Routing</w:t>
      </w:r>
    </w:p>
    <w:p>
      <w:pPr>
        <w:spacing w:after="200" w:before="0" w:line="288"/>
        <w:jc w:val="both"/>
      </w:pPr>
      <w:r>
        <w:rPr>
          <w:rFonts w:ascii="Calibri" w:cs="Calibri" w:eastAsia="Calibri" w:hAnsi="Calibri"/>
          <w:b w:val="false"/>
          <w:bCs w:val="false"/>
          <w:i w:val="false"/>
          <w:iCs w:val="false"/>
          <w:color w:val="1A1A1A"/>
          <w:sz w:val="22"/>
          <w:szCs w:val="22"/>
        </w:rPr>
        <w:t xml:space="preserve">This Annex terminates every unilateral wartime routing scheme in effect before this Accord’s signature, including the ad hoc single-channel route Iran’s Ports and Maritime Organization published in April 2026 and any Omani-administered emergency corridor operating outside the framework this Accord establishes. The three-corridor system of this Annex becomes the sole lawful routing architecture for the Governance Area from Gate Two of the activation sequence forward.</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B</w:t>
      </w:r>
      <w:r>
        <w:rPr>
          <w:rFonts w:ascii="Calibri" w:cs="Calibri" w:eastAsia="Calibri" w:hAnsi="Calibri"/>
          <w:b/>
          <w:bCs/>
          <w:color w:val="1B2A4A"/>
          <w:sz w:val="30"/>
          <w:szCs w:val="30"/>
        </w:rPr>
        <w:br/>
        <w:t xml:space="preserve">  Navigation, Notification, and AIS Procedures</w:t>
      </w:r>
    </w:p>
    <w:p>
      <w:pPr>
        <w:spacing w:after="200" w:before="0" w:line="288"/>
        <w:jc w:val="both"/>
      </w:pPr>
      <w:r>
        <w:rPr>
          <w:rFonts w:ascii="Calibri" w:cs="Calibri" w:eastAsia="Calibri" w:hAnsi="Calibri"/>
          <w:b w:val="false"/>
          <w:bCs w:val="false"/>
          <w:i w:val="false"/>
          <w:iCs w:val="false"/>
          <w:color w:val="1A1A1A"/>
          <w:sz w:val="22"/>
          <w:szCs w:val="22"/>
        </w:rPr>
        <w:t xml:space="preserve">This Annex sets the operational procedures that make the notification-not-permission regime of Article 6 workable in daily practice. The design goal throughout this Annex is a system simple enough for a ship’s master to complete without a maritime lawyer, and cheap enough that no vessel avoids the corridor system to escape its administrative burden.</w:t>
      </w:r>
    </w:p>
    <w:p>
      <w:pPr>
        <w:pStyle w:val="Heading2"/>
        <w:spacing w:after="180" w:before="360"/>
      </w:pPr>
      <w:r>
        <w:rPr>
          <w:rFonts w:ascii="Calibri" w:cs="Calibri" w:eastAsia="Calibri" w:hAnsi="Calibri"/>
          <w:b/>
          <w:bCs/>
          <w:color w:val="1B2A4A"/>
          <w:sz w:val="26"/>
          <w:szCs w:val="26"/>
        </w:rPr>
        <w:t xml:space="preserve">B.1 The Single Filing</w:t>
      </w:r>
    </w:p>
    <w:p>
      <w:pPr>
        <w:spacing w:after="200" w:before="0" w:line="288"/>
        <w:jc w:val="both"/>
      </w:pPr>
      <w:r>
        <w:rPr>
          <w:rFonts w:ascii="Calibri" w:cs="Calibri" w:eastAsia="Calibri" w:hAnsi="Calibri"/>
          <w:b w:val="false"/>
          <w:bCs w:val="false"/>
          <w:i w:val="false"/>
          <w:iCs w:val="false"/>
          <w:color w:val="1A1A1A"/>
          <w:sz w:val="22"/>
          <w:szCs w:val="22"/>
        </w:rPr>
        <w:t xml:space="preserve">A vessel entering the Governance Area files one notification, containing the following fields only: vessel name, flag, IMO number, vessel class under Section B.3, cargo category (not cargo detail), intended corridor, estimated entry time, master’s contact channel, AIS transponder status, insurance confirmation, and, for a vessel requesting a specific paid service under Annex D, the service requested. The filing transmits electronically to the Joint Coordination Center through the Hormuz Transit Portal, a single point of submission shared by both corridors.</w:t>
      </w:r>
    </w:p>
    <w:p>
      <w:pPr>
        <w:spacing w:after="200" w:before="0" w:line="288"/>
        <w:jc w:val="both"/>
      </w:pPr>
      <w:r>
        <w:rPr>
          <w:rFonts w:ascii="Calibri" w:cs="Calibri" w:eastAsia="Calibri" w:hAnsi="Calibri"/>
          <w:b w:val="false"/>
          <w:bCs w:val="false"/>
          <w:i w:val="false"/>
          <w:iCs w:val="false"/>
          <w:color w:val="1A1A1A"/>
          <w:sz w:val="22"/>
          <w:szCs w:val="22"/>
        </w:rPr>
        <w:t xml:space="preserve">The Joint Coordination Center reviews each filing automatically against the completeness standard this Section sets. A complete filing triggers the sixty-minute acknowledgment clock of Article 6. An incomplete filing generates an immediate, automated request for the missing field, and the clock restarts upon resubmission.</w:t>
      </w:r>
    </w:p>
    <w:p>
      <w:pPr>
        <w:pStyle w:val="Heading2"/>
        <w:spacing w:after="180" w:before="360"/>
      </w:pPr>
      <w:r>
        <w:rPr>
          <w:rFonts w:ascii="Calibri" w:cs="Calibri" w:eastAsia="Calibri" w:hAnsi="Calibri"/>
          <w:b/>
          <w:bCs/>
          <w:color w:val="1B2A4A"/>
          <w:sz w:val="26"/>
          <w:szCs w:val="26"/>
        </w:rPr>
        <w:t xml:space="preserve">B.2 Acknowledgment and the Sixty-Minute Rule</w:t>
      </w:r>
    </w:p>
    <w:p>
      <w:pPr>
        <w:spacing w:after="200" w:before="0" w:line="288"/>
        <w:jc w:val="both"/>
      </w:pPr>
      <w:r>
        <w:rPr>
          <w:rFonts w:ascii="Calibri" w:cs="Calibri" w:eastAsia="Calibri" w:hAnsi="Calibri"/>
          <w:b w:val="false"/>
          <w:bCs w:val="false"/>
          <w:i w:val="false"/>
          <w:iCs w:val="false"/>
          <w:color w:val="1A1A1A"/>
          <w:sz w:val="22"/>
          <w:szCs w:val="22"/>
        </w:rPr>
        <w:t xml:space="preserve">Silence from the Joint Coordination Center for sixty minutes after a complete filing constitutes acknowledgment, and the vessel proceeds under standard corridor rules from that point. An affirmative acknowledgment before the sixty-minute mark carries the same legal effect and allows earlier transit where corridor conditions permit. This Annex excludes any mechanism by which the Center converts the acknowledgment window into a permission requirement, a review period, or a discretionary approval process.</w:t>
      </w:r>
    </w:p>
    <w:p>
      <w:pPr>
        <w:pStyle w:val="Heading2"/>
        <w:spacing w:after="180" w:before="360"/>
      </w:pPr>
      <w:r>
        <w:rPr>
          <w:rFonts w:ascii="Calibri" w:cs="Calibri" w:eastAsia="Calibri" w:hAnsi="Calibri"/>
          <w:b/>
          <w:bCs/>
          <w:color w:val="1B2A4A"/>
          <w:sz w:val="26"/>
          <w:szCs w:val="26"/>
        </w:rPr>
        <w:t xml:space="preserve">B.3 Vessel Classification</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4300"/>
        <w:gridCol w:w="3250"/>
      </w:tblGrid>
      <w:tr>
        <w:trPr>
          <w:tblHeader/>
        </w:trPr>
        <w:tc>
          <w:tcPr>
            <w:tcW w:type="dxa" w:w="18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Class</w:t>
            </w:r>
          </w:p>
        </w:tc>
        <w:tc>
          <w:tcPr>
            <w:tcW w:type="dxa" w:w="43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Description</w:t>
            </w:r>
          </w:p>
        </w:tc>
        <w:tc>
          <w:tcPr>
            <w:tcW w:type="dxa" w:w="32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Corridor Handling</w:t>
            </w:r>
          </w:p>
        </w:tc>
      </w:tr>
      <w:tr>
        <w:tc>
          <w:tcPr>
            <w:tcW w:type="dxa" w:w="1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Commercial</w:t>
            </w:r>
          </w:p>
        </w:tc>
        <w:tc>
          <w:tcPr>
            <w:tcW w:type="dxa" w:w="4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Cargo, tanker, and container vessels engaged in trade</w:t>
            </w:r>
          </w:p>
        </w:tc>
        <w:tc>
          <w:tcPr>
            <w:tcW w:type="dxa" w:w="32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Standard corridor assignment by direction</w:t>
            </w:r>
          </w:p>
        </w:tc>
      </w:tr>
      <w:tr>
        <w:tc>
          <w:tcPr>
            <w:tcW w:type="dxa" w:w="1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Passenger</w:t>
            </w:r>
          </w:p>
        </w:tc>
        <w:tc>
          <w:tcPr>
            <w:tcW w:type="dxa" w:w="4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Cruise vessels and ferries</w:t>
            </w:r>
          </w:p>
        </w:tc>
        <w:tc>
          <w:tcPr>
            <w:tcW w:type="dxa" w:w="32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Priority scheduling within standard corridor</w:t>
            </w:r>
          </w:p>
        </w:tc>
      </w:tr>
      <w:tr>
        <w:tc>
          <w:tcPr>
            <w:tcW w:type="dxa" w:w="1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Humanitarian</w:t>
            </w:r>
          </w:p>
        </w:tc>
        <w:tc>
          <w:tcPr>
            <w:tcW w:type="dxa" w:w="4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Vessels certified under Annex I</w:t>
            </w:r>
          </w:p>
        </w:tc>
        <w:tc>
          <w:tcPr>
            <w:tcW w:type="dxa" w:w="32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Priority certification, one-hour target window</w:t>
            </w:r>
          </w:p>
        </w:tc>
      </w:tr>
      <w:tr>
        <w:tc>
          <w:tcPr>
            <w:tcW w:type="dxa" w:w="1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Small Craft</w:t>
            </w:r>
          </w:p>
        </w:tc>
        <w:tc>
          <w:tcPr>
            <w:tcW w:type="dxa" w:w="4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Fishing and local traffic under 300 gross tons</w:t>
            </w:r>
          </w:p>
        </w:tc>
        <w:tc>
          <w:tcPr>
            <w:tcW w:type="dxa" w:w="32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Designated small-craft lane within Buffer Corridor</w:t>
            </w:r>
          </w:p>
        </w:tc>
      </w:tr>
      <w:tr>
        <w:tc>
          <w:tcPr>
            <w:tcW w:type="dxa" w:w="1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State</w:t>
            </w:r>
          </w:p>
        </w:tc>
        <w:tc>
          <w:tcPr>
            <w:tcW w:type="dxa" w:w="4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Naval and other government vessels</w:t>
            </w:r>
          </w:p>
        </w:tc>
        <w:tc>
          <w:tcPr>
            <w:tcW w:type="dxa" w:w="32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Deconfliction procedures under Annex C, not corridor assignment</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Annex excludes differentiated treatment within a class based on flag, ownership, or the nationality of the vessel’s operator. A commercial vessel of any flag receives identical corridor handling to every other commercial vessel.</w:t>
      </w:r>
    </w:p>
    <w:p>
      <w:pPr>
        <w:pStyle w:val="Heading2"/>
        <w:spacing w:after="180" w:before="360"/>
      </w:pPr>
      <w:r>
        <w:rPr>
          <w:rFonts w:ascii="Calibri" w:cs="Calibri" w:eastAsia="Calibri" w:hAnsi="Calibri"/>
          <w:b/>
          <w:bCs/>
          <w:color w:val="1B2A4A"/>
          <w:sz w:val="26"/>
          <w:szCs w:val="26"/>
        </w:rPr>
        <w:t xml:space="preserve">B.4 AIS Discipline</w:t>
      </w:r>
    </w:p>
    <w:p>
      <w:pPr>
        <w:spacing w:after="200" w:before="0" w:line="288"/>
        <w:jc w:val="both"/>
      </w:pPr>
      <w:r>
        <w:rPr>
          <w:rFonts w:ascii="Calibri" w:cs="Calibri" w:eastAsia="Calibri" w:hAnsi="Calibri"/>
          <w:b w:val="false"/>
          <w:bCs w:val="false"/>
          <w:i w:val="false"/>
          <w:iCs w:val="false"/>
          <w:color w:val="1A1A1A"/>
          <w:sz w:val="22"/>
          <w:szCs w:val="22"/>
        </w:rPr>
        <w:t xml:space="preserve">A vessel transiting the Governance Area maintains continuous AIS broadcast from Governance Area entry to exit, at the minimum reporting interval Annex F’s data-quality standards set. An AIS interruption under four hours, without a pattern, generates a Level 2 technical review under Annex F and carries no penalty. An interruption over four hours, or a repeated pattern of interruptions, generates enhanced review and a potential compliance-tier classification under Annex F.</w:t>
      </w:r>
    </w:p>
    <w:p>
      <w:pPr>
        <w:spacing w:after="200" w:before="0" w:line="288"/>
        <w:jc w:val="both"/>
      </w:pPr>
      <w:r>
        <w:rPr>
          <w:rFonts w:ascii="Calibri" w:cs="Calibri" w:eastAsia="Calibri" w:hAnsi="Calibri"/>
          <w:b w:val="false"/>
          <w:bCs w:val="false"/>
          <w:i w:val="false"/>
          <w:iCs w:val="false"/>
          <w:color w:val="1A1A1A"/>
          <w:sz w:val="22"/>
          <w:szCs w:val="22"/>
        </w:rPr>
        <w:t xml:space="preserve">The Authority publishes AIS corridor guidance, including standard headings, safe-speed limits, and precautionary-area instructions, on the Hormuz Transit Portal and updates that guidance as corridor conditions change. A vessel electing not to enter designated corridor coordinates into its voyage-planning system before entry bears responsibility for consequent routing deviations, though this Annex excludes any penalty for a deviation caused by weather, mechanical failure, or a documented safety response.</w:t>
      </w:r>
    </w:p>
    <w:p>
      <w:pPr>
        <w:pStyle w:val="Heading2"/>
        <w:spacing w:after="180" w:before="360"/>
      </w:pPr>
      <w:r>
        <w:rPr>
          <w:rFonts w:ascii="Calibri" w:cs="Calibri" w:eastAsia="Calibri" w:hAnsi="Calibri"/>
          <w:b/>
          <w:bCs/>
          <w:color w:val="1B2A4A"/>
          <w:sz w:val="26"/>
          <w:szCs w:val="26"/>
        </w:rPr>
        <w:t xml:space="preserve">B.5 Incident Reporting</w:t>
      </w:r>
    </w:p>
    <w:p>
      <w:pPr>
        <w:spacing w:after="200" w:before="0" w:line="288"/>
        <w:jc w:val="both"/>
      </w:pPr>
      <w:r>
        <w:rPr>
          <w:rFonts w:ascii="Calibri" w:cs="Calibri" w:eastAsia="Calibri" w:hAnsi="Calibri"/>
          <w:b w:val="false"/>
          <w:bCs w:val="false"/>
          <w:i w:val="false"/>
          <w:iCs w:val="false"/>
          <w:color w:val="1A1A1A"/>
          <w:sz w:val="22"/>
          <w:szCs w:val="22"/>
        </w:rPr>
        <w:t xml:space="preserve">A master reports any collision, near miss, mechanical failure affecting maneuverability, or unsafe-proximity event to the Joint Coordination Center within thirty minutes of the event. The Center logs the report in the Shared Digital Registry within one hour, and the Registry’s public non-classified summary updates within twenty-four hours on the Transparency Portal. This reporting obligation attaches equally to every vessel regardless of flag or class.</w:t>
      </w:r>
    </w:p>
    <w:p>
      <w:pPr>
        <w:pStyle w:val="Heading2"/>
        <w:spacing w:after="180" w:before="360"/>
      </w:pPr>
      <w:r>
        <w:rPr>
          <w:rFonts w:ascii="Calibri" w:cs="Calibri" w:eastAsia="Calibri" w:hAnsi="Calibri"/>
          <w:b/>
          <w:bCs/>
          <w:color w:val="1B2A4A"/>
          <w:sz w:val="26"/>
          <w:szCs w:val="26"/>
        </w:rPr>
        <w:t xml:space="preserve">B.6 Weather, Swell, and Hazard Data</w:t>
      </w:r>
    </w:p>
    <w:p>
      <w:pPr>
        <w:spacing w:after="200" w:before="0" w:line="288"/>
        <w:jc w:val="both"/>
      </w:pPr>
      <w:r>
        <w:rPr>
          <w:rFonts w:ascii="Calibri" w:cs="Calibri" w:eastAsia="Calibri" w:hAnsi="Calibri"/>
          <w:b w:val="false"/>
          <w:bCs w:val="false"/>
          <w:i w:val="false"/>
          <w:iCs w:val="false"/>
          <w:color w:val="1A1A1A"/>
          <w:sz w:val="22"/>
          <w:szCs w:val="22"/>
        </w:rPr>
        <w:t xml:space="preserve">A joint meteorology desk, staffed by Iranian and Omani personnel at the Joint Coordination Center, publishes hourly visibility, wind, and swell data for each corridor segment, together with a daily hazard bulletin consolidating debris sightings, buoy status, and any temporary slow-zone declaration. This data feed operates independently of, and carries no security classification tied to, the radar and AIS fusion picture of Article 12.</w:t>
      </w:r>
    </w:p>
    <w:p>
      <w:pPr>
        <w:pStyle w:val="Heading2"/>
        <w:spacing w:after="180" w:before="360"/>
      </w:pPr>
      <w:r>
        <w:rPr>
          <w:rFonts w:ascii="Calibri" w:cs="Calibri" w:eastAsia="Calibri" w:hAnsi="Calibri"/>
          <w:b/>
          <w:bCs/>
          <w:color w:val="1B2A4A"/>
          <w:sz w:val="26"/>
          <w:szCs w:val="26"/>
        </w:rPr>
        <w:t xml:space="preserve">B.7 Pilotage and Tug Services</w:t>
      </w:r>
    </w:p>
    <w:p>
      <w:pPr>
        <w:spacing w:after="200" w:before="0" w:line="288"/>
        <w:jc w:val="both"/>
      </w:pPr>
      <w:r>
        <w:rPr>
          <w:rFonts w:ascii="Calibri" w:cs="Calibri" w:eastAsia="Calibri" w:hAnsi="Calibri"/>
          <w:b w:val="false"/>
          <w:bCs w:val="false"/>
          <w:i w:val="false"/>
          <w:iCs w:val="false"/>
          <w:color w:val="1A1A1A"/>
          <w:sz w:val="22"/>
          <w:szCs w:val="22"/>
        </w:rPr>
        <w:t xml:space="preserve">A vessel requesting pilotage or tug assistance files that request through the Hormuz Transit Portal, and the coastal state administering the relevant corridor dispatches service on the published response-time standard. Annex D’s service catalog sets the reimbursement rate for pilotage and tug services, distinct from and unconnected to the Zero-Toll Rule governing passage itself.</w:t>
      </w:r>
    </w:p>
    <w:p>
      <w:pPr>
        <w:pStyle w:val="Heading2"/>
        <w:spacing w:after="180" w:before="360"/>
      </w:pPr>
      <w:r>
        <w:rPr>
          <w:rFonts w:ascii="Calibri" w:cs="Calibri" w:eastAsia="Calibri" w:hAnsi="Calibri"/>
          <w:b/>
          <w:bCs/>
          <w:color w:val="1B2A4A"/>
          <w:sz w:val="26"/>
          <w:szCs w:val="26"/>
        </w:rPr>
        <w:t xml:space="preserve">B.8 Worked Example: A Complete Transit, Start to Finish</w:t>
      </w:r>
    </w:p>
    <w:p>
      <w:pPr>
        <w:spacing w:after="200" w:before="0" w:line="288"/>
        <w:jc w:val="both"/>
      </w:pPr>
      <w:r>
        <w:rPr>
          <w:rFonts w:ascii="Calibri" w:cs="Calibri" w:eastAsia="Calibri" w:hAnsi="Calibri"/>
          <w:b w:val="false"/>
          <w:bCs w:val="false"/>
          <w:i w:val="false"/>
          <w:iCs w:val="false"/>
          <w:color w:val="1A1A1A"/>
          <w:sz w:val="22"/>
          <w:szCs w:val="22"/>
        </w:rPr>
        <w:t xml:space="preserve">The following illustrative walkthrough traces one commercial vessel’s complete interaction with the notification and navigation system, from approach to exit, to show how Annex B’s individual rules combine into a single ordinary experience for a ship’s master.</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750"/>
      </w:tblGrid>
      <w:tr>
        <w:trPr>
          <w:tblHeader/>
        </w:trPr>
        <w:tc>
          <w:tcPr>
            <w:tcW w:type="dxa" w:w="2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Stage</w:t>
            </w:r>
          </w:p>
        </w:tc>
        <w:tc>
          <w:tcPr>
            <w:tcW w:type="dxa" w:w="67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Action</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T-minus 4 hours</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Master files Form HTP-1 through the Hormuz Transit Portal, selecting the Outbound Corridor and confirming AIS transponder status and insurance coverage.</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T-minus 4 hours, plus 12 minutes</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Portal confirms the filing complete; the sixty-minute acknowledgment clock starts.</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T-minus 3 hours</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Joint Coordination Center issues an affirmative acknowledgment ahead of the sixty-minute deadline, since corridor conditions permit early clearance; the vessel proceeds on schedule.</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T-minus 1 hour</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Vessel enters the Governance Area’s outer approach; AIS broadcasts continuously at the standard reporting interval; the joint meteorology desk’s hourly bulletin shows clear conditions.</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Transit</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Vessel follows the Outbound Corridor waypoint chain of Annex A, maintaining safe speed through the precautionary areas at each junction point; no pilotage requested.</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Mid-transit</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near-miss with a small craft in the Buffer Corridor triggers Level 1 bridge-to-bridge resolution under Annex C Section C.5; both vessels adjust course; no report obligation attaches, since no collision, mechanical failure, or unsafe-proximity threshold under Annex B Section B.5 is met.</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Exit</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Vessel clears the Governance Area’s western boundary; the Joint Coordination Center closes the transit file automatically; the Insurance Channel component of the vessel’s existing premium routes to the Fund without any separate action by the master.</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Post-transit</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completed, incident-free transit contributes to the current Escalator week’s clean-week evaluation under Annex G, alongside every other transit logged that week.</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walkthrough shows the design intent running through every Article and Annex governing daily operations: a routine transit generates one filing, one acknowledgment, and no separate action from the master beyond ordinary seamanship, with the compliance, fee, and verification architecture operating entirely in the background.</w:t>
      </w:r>
    </w:p>
    <w:p>
      <w:pPr>
        <w:pStyle w:val="Heading2"/>
        <w:spacing w:after="180" w:before="360"/>
      </w:pPr>
      <w:r>
        <w:rPr>
          <w:rFonts w:ascii="Calibri" w:cs="Calibri" w:eastAsia="Calibri" w:hAnsi="Calibri"/>
          <w:b/>
          <w:bCs/>
          <w:color w:val="1B2A4A"/>
          <w:sz w:val="26"/>
          <w:szCs w:val="26"/>
        </w:rPr>
        <w:t xml:space="preserve">B.9 Pilot-Phase Adjustment Window</w:t>
      </w:r>
    </w:p>
    <w:p>
      <w:pPr>
        <w:spacing w:after="200" w:before="0" w:line="288"/>
        <w:jc w:val="both"/>
      </w:pPr>
      <w:r>
        <w:rPr>
          <w:rFonts w:ascii="Calibri" w:cs="Calibri" w:eastAsia="Calibri" w:hAnsi="Calibri"/>
          <w:b w:val="false"/>
          <w:bCs w:val="false"/>
          <w:i w:val="false"/>
          <w:iCs w:val="false"/>
          <w:color w:val="1A1A1A"/>
          <w:sz w:val="22"/>
          <w:szCs w:val="22"/>
        </w:rPr>
        <w:t xml:space="preserve">During the first thirty days of full corridor operation, the Authority reviews filing-field requirements, acknowledgment timing, and corridor-guidance formats weekly, and adjusts this Annex through the Council’s streamlined pilot-phase amendment procedure rather than the standard Article 19 process, reducing the adjustment cycle from weeks to days for purely technical refinements that touch no Red Line under Annex K.</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C</w:t>
      </w:r>
      <w:r>
        <w:rPr>
          <w:rFonts w:ascii="Calibri" w:cs="Calibri" w:eastAsia="Calibri" w:hAnsi="Calibri"/>
          <w:b/>
          <w:bCs/>
          <w:color w:val="1B2A4A"/>
          <w:sz w:val="30"/>
          <w:szCs w:val="30"/>
        </w:rPr>
        <w:br/>
        <w:t xml:space="preserve">  Security Functions, Deconfliction, and the Twin-Key Rule</w:t>
      </w:r>
    </w:p>
    <w:p>
      <w:pPr>
        <w:spacing w:after="200" w:before="0" w:line="288"/>
        <w:jc w:val="both"/>
      </w:pPr>
      <w:r>
        <w:rPr>
          <w:rFonts w:ascii="Calibri" w:cs="Calibri" w:eastAsia="Calibri" w:hAnsi="Calibri"/>
          <w:b w:val="false"/>
          <w:bCs w:val="false"/>
          <w:i w:val="false"/>
          <w:iCs w:val="false"/>
          <w:color w:val="1A1A1A"/>
          <w:sz w:val="22"/>
          <w:szCs w:val="22"/>
        </w:rPr>
        <w:t xml:space="preserve">This Annex converts the security-authority question, the single largest obstacle across every round of the 2026 negotiation, from a sovereignty dispute into a task-allocation system. It answers a functional question, "who performs which action", rather than a sovereign question, "who controls the Strait".</w:t>
      </w:r>
    </w:p>
    <w:p>
      <w:pPr>
        <w:pStyle w:val="Heading2"/>
        <w:spacing w:after="180" w:before="360"/>
      </w:pPr>
      <w:r>
        <w:rPr>
          <w:rFonts w:ascii="Calibri" w:cs="Calibri" w:eastAsia="Calibri" w:hAnsi="Calibri"/>
          <w:b/>
          <w:bCs/>
          <w:color w:val="1B2A4A"/>
          <w:sz w:val="26"/>
          <w:szCs w:val="26"/>
        </w:rPr>
        <w:t xml:space="preserve">C.1 The Absolute Non-Interdiction Protocol</w:t>
      </w:r>
    </w:p>
    <w:p>
      <w:pPr>
        <w:spacing w:after="200" w:before="0" w:line="288"/>
        <w:jc w:val="both"/>
      </w:pPr>
      <w:r>
        <w:rPr>
          <w:rFonts w:ascii="Calibri" w:cs="Calibri" w:eastAsia="Calibri" w:hAnsi="Calibri"/>
          <w:b w:val="false"/>
          <w:bCs w:val="false"/>
          <w:i w:val="false"/>
          <w:iCs w:val="false"/>
          <w:color w:val="1A1A1A"/>
          <w:sz w:val="22"/>
          <w:szCs w:val="22"/>
        </w:rPr>
        <w:t xml:space="preserve">This Annex excludes boarding, diversion, seizure, inspection, or harassment of a commercial vessel transiting the Governance Area by any Party or any Party’s forces, acting under any national authority. Three narrow exceptions apply, each requiring contemporaneous evidence logged in the Shared Digital Registry: a distress signal from the vessel itself, an active rescue operation, and a verified pollution-response action. A Party invoking an exception files the supporting evidence within two hours of the action, and the Verification and Surveillance Directorate reviews every invocation within twenty-four hours.</w:t>
      </w:r>
    </w:p>
    <w:p>
      <w:pPr>
        <w:pStyle w:val="Heading2"/>
        <w:spacing w:after="180" w:before="360"/>
      </w:pPr>
      <w:r>
        <w:rPr>
          <w:rFonts w:ascii="Calibri" w:cs="Calibri" w:eastAsia="Calibri" w:hAnsi="Calibri"/>
          <w:b/>
          <w:bCs/>
          <w:color w:val="1B2A4A"/>
          <w:sz w:val="26"/>
          <w:szCs w:val="26"/>
        </w:rPr>
        <w:t xml:space="preserve">C.2 The Twin-Key Rule</w:t>
      </w:r>
    </w:p>
    <w:p>
      <w:pPr>
        <w:spacing w:after="200" w:before="0" w:line="288"/>
        <w:jc w:val="both"/>
      </w:pPr>
      <w:r>
        <w:rPr>
          <w:rFonts w:ascii="Calibri" w:cs="Calibri" w:eastAsia="Calibri" w:hAnsi="Calibri"/>
          <w:b w:val="false"/>
          <w:bCs w:val="false"/>
          <w:i w:val="false"/>
          <w:iCs w:val="false"/>
          <w:color w:val="1A1A1A"/>
          <w:sz w:val="22"/>
          <w:szCs w:val="22"/>
        </w:rPr>
        <w:t xml:space="preserve">Every consequential security action, meaning any action beyond routine navigation guidance, activates only on the concurrence structure this table sets: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3400"/>
        <w:gridCol w:w="3350"/>
      </w:tblGrid>
      <w:tr>
        <w:trPr>
          <w:tblHeader/>
        </w:trPr>
        <w:tc>
          <w:tcPr>
            <w:tcW w:type="dxa" w:w="2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Corridor / Event Type</w:t>
            </w:r>
          </w:p>
        </w:tc>
        <w:tc>
          <w:tcPr>
            <w:tcW w:type="dxa" w:w="3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Concurrence Required</w:t>
            </w:r>
          </w:p>
        </w:tc>
        <w:tc>
          <w:tcPr>
            <w:tcW w:type="dxa" w:w="33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Time-Critical Override</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Inbound Corridor incident</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 Oman</w:t>
            </w:r>
          </w:p>
        </w:tc>
        <w:tc>
          <w:tcPr>
            <w:tcW w:type="dxa" w:w="3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Four-hour silence = non-objection, safety actions only</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Outbound Corridor incident</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Oman + Iran</w:t>
            </w:r>
          </w:p>
        </w:tc>
        <w:tc>
          <w:tcPr>
            <w:tcW w:type="dxa" w:w="3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Four-hour silence = non-objection, safety actions only</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Buffer Corridor incident</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 Oman + rotating neutral observer</w:t>
            </w:r>
          </w:p>
        </w:tc>
        <w:tc>
          <w:tcPr>
            <w:tcW w:type="dxa" w:w="3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Two-hour silence from observer = non-objection</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Mine-risk response</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 Oman + Survey Group Chief</w:t>
            </w:r>
          </w:p>
        </w:tc>
        <w:tc>
          <w:tcPr>
            <w:tcW w:type="dxa" w:w="3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Immediate action permitted, retroactive concurrence within six hours</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Military deconfliction</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Affected flag states + Maritime Coordination Center</w:t>
            </w:r>
          </w:p>
        </w:tc>
        <w:tc>
          <w:tcPr>
            <w:tcW w:type="dxa" w:w="3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Hotline resolution within fifteen minutes, no override needed</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Annex excludes a pocket veto. A Party’s silence past the stated window constitutes non-objection for safety and deconfliction actions, though this Annex excludes any silence-based authorization for interdiction, boarding, or the use of force, which require affirmative concurrence in every instance without exception.</w:t>
      </w:r>
    </w:p>
    <w:p>
      <w:pPr>
        <w:pStyle w:val="Heading2"/>
        <w:spacing w:after="180" w:before="360"/>
      </w:pPr>
      <w:r>
        <w:rPr>
          <w:rFonts w:ascii="Calibri" w:cs="Calibri" w:eastAsia="Calibri" w:hAnsi="Calibri"/>
          <w:b/>
          <w:bCs/>
          <w:color w:val="1B2A4A"/>
          <w:sz w:val="26"/>
          <w:szCs w:val="26"/>
        </w:rPr>
        <w:t xml:space="preserve">C.3 Standoff Geometry</w:t>
      </w:r>
    </w:p>
    <w:p>
      <w:pPr>
        <w:spacing w:after="200" w:before="0" w:line="288"/>
        <w:jc w:val="both"/>
      </w:pPr>
      <w:r>
        <w:rPr>
          <w:rFonts w:ascii="Calibri" w:cs="Calibri" w:eastAsia="Calibri" w:hAnsi="Calibri"/>
          <w:b w:val="false"/>
          <w:bCs w:val="false"/>
          <w:i w:val="false"/>
          <w:iCs w:val="false"/>
          <w:color w:val="1A1A1A"/>
          <w:sz w:val="22"/>
          <w:szCs w:val="22"/>
        </w:rPr>
        <w:t xml:space="preserve">A military vessel of any nation maintains a minimum lateral distance of one nautical mile from a commercial vessel in transit, and a minimum lateral distance of two nautical miles from a military vessel of a different nation operating in the Governance Area, absent a jointly agreed exercise notified under Section C.6. During peak traffic hours, defined as periods when corridor density exceeds the threshold Annex F’s technical schedule sets, this Annex increases the commercial buffer distance to one and one-half nautical miles.</w:t>
      </w:r>
    </w:p>
    <w:p>
      <w:pPr>
        <w:pStyle w:val="Heading2"/>
        <w:spacing w:after="180" w:before="360"/>
      </w:pPr>
      <w:r>
        <w:rPr>
          <w:rFonts w:ascii="Calibri" w:cs="Calibri" w:eastAsia="Calibri" w:hAnsi="Calibri"/>
          <w:b/>
          <w:bCs/>
          <w:color w:val="1B2A4A"/>
          <w:sz w:val="26"/>
          <w:szCs w:val="26"/>
        </w:rPr>
        <w:t xml:space="preserve">C.4 The Deconfliction Hotline Network</w:t>
      </w:r>
    </w:p>
    <w:p>
      <w:pPr>
        <w:spacing w:after="200" w:before="0" w:line="288"/>
        <w:jc w:val="both"/>
      </w:pPr>
      <w:r>
        <w:rPr>
          <w:rFonts w:ascii="Calibri" w:cs="Calibri" w:eastAsia="Calibri" w:hAnsi="Calibri"/>
          <w:b w:val="false"/>
          <w:bCs w:val="false"/>
          <w:i w:val="false"/>
          <w:iCs w:val="false"/>
          <w:color w:val="1A1A1A"/>
          <w:sz w:val="22"/>
          <w:szCs w:val="22"/>
        </w:rPr>
        <w:t xml:space="preserve">The Maritime Coordination Center operates a multi-node hotline connecting Iranian, Omani, GCC, and United States naval commands, with a fifteen-minute answer standard and satellite fallback for primary-line failure. The hotline carries voice and data channels, and the Center logs every call, its duration, and its resolution in the Shared Digital Registry.</w:t>
      </w:r>
    </w:p>
    <w:p>
      <w:pPr>
        <w:pStyle w:val="Heading2"/>
        <w:spacing w:after="180" w:before="360"/>
      </w:pPr>
      <w:r>
        <w:rPr>
          <w:rFonts w:ascii="Calibri" w:cs="Calibri" w:eastAsia="Calibri" w:hAnsi="Calibri"/>
          <w:b/>
          <w:bCs/>
          <w:color w:val="1B2A4A"/>
          <w:sz w:val="26"/>
          <w:szCs w:val="26"/>
        </w:rPr>
        <w:t xml:space="preserve">C.5 The Incident Ladder</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200"/>
        <w:gridCol w:w="4700"/>
        <w:gridCol w:w="3450"/>
      </w:tblGrid>
      <w:tr>
        <w:trPr>
          <w:tblHeader/>
        </w:trPr>
        <w:tc>
          <w:tcPr>
            <w:tcW w:type="dxa" w:w="1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Level</w:t>
            </w:r>
          </w:p>
        </w:tc>
        <w:tc>
          <w:tcPr>
            <w:tcW w:type="dxa" w:w="47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Description</w:t>
            </w:r>
          </w:p>
        </w:tc>
        <w:tc>
          <w:tcPr>
            <w:tcW w:type="dxa" w:w="34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Response Standard</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w:t>
            </w:r>
          </w:p>
        </w:tc>
        <w:tc>
          <w:tcPr>
            <w:tcW w:type="dxa" w:w="47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Bridge-to-bridge resolution between vessels directly</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Immediate, no escalation</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w:t>
            </w:r>
          </w:p>
        </w:tc>
        <w:tc>
          <w:tcPr>
            <w:tcW w:type="dxa" w:w="47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Hotline exchange between naval commands</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Resolution attempt within the fifteen-minute standard</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w:t>
            </w:r>
          </w:p>
        </w:tc>
        <w:tc>
          <w:tcPr>
            <w:tcW w:type="dxa" w:w="47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Director-level call between Authority and national commands</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Convenes within two hours</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4</w:t>
            </w:r>
          </w:p>
        </w:tc>
        <w:tc>
          <w:tcPr>
            <w:tcW w:type="dxa" w:w="47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Emergency Council session</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Convenes within twenty-four hours</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w:t>
            </w:r>
          </w:p>
        </w:tc>
        <w:tc>
          <w:tcPr>
            <w:tcW w:type="dxa" w:w="47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Maximum crisis protocol, full Council and Guarantor session</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Convenes within six hours, supersedes Level 4 timing</w:t>
            </w:r>
          </w:p>
        </w:tc>
      </w:tr>
    </w:tbl>
    <w:p>
      <w:pPr>
        <w:spacing w:after="200" w:before="0" w:line="288"/>
        <w:jc w:val="both"/>
      </w:pPr>
      <w:r>
        <w:rPr>
          <w:rFonts w:ascii="Calibri" w:cs="Calibri" w:eastAsia="Calibri" w:hAnsi="Calibri"/>
          <w:b w:val="false"/>
          <w:bCs w:val="false"/>
          <w:i w:val="false"/>
          <w:iCs w:val="false"/>
          <w:color w:val="1A1A1A"/>
          <w:sz w:val="22"/>
          <w:szCs w:val="22"/>
        </w:rPr>
        <w:t xml:space="preserve">A five-level crisis protocol, running Watch, Alert, Crisis, Severe Crisis, and Maximum, tracks the Incident Ladder’s escalation path, and each level carries a defined entry threshold, a defined duration, and a defined exit condition, so that a crisis level automatically steps down once the triggering condition clears rather than requiring a fresh political decision to de-escalate.</w:t>
      </w:r>
    </w:p>
    <w:p>
      <w:pPr>
        <w:pStyle w:val="Heading2"/>
        <w:spacing w:after="180" w:before="360"/>
      </w:pPr>
      <w:r>
        <w:rPr>
          <w:rFonts w:ascii="Calibri" w:cs="Calibri" w:eastAsia="Calibri" w:hAnsi="Calibri"/>
          <w:b/>
          <w:bCs/>
          <w:color w:val="1B2A4A"/>
          <w:sz w:val="26"/>
          <w:szCs w:val="26"/>
        </w:rPr>
        <w:t xml:space="preserve">C.6 Notification of Naval Exercises</w:t>
      </w:r>
    </w:p>
    <w:p>
      <w:pPr>
        <w:spacing w:after="200" w:before="0" w:line="288"/>
        <w:jc w:val="both"/>
      </w:pPr>
      <w:r>
        <w:rPr>
          <w:rFonts w:ascii="Calibri" w:cs="Calibri" w:eastAsia="Calibri" w:hAnsi="Calibri"/>
          <w:b w:val="false"/>
          <w:bCs w:val="false"/>
          <w:i w:val="false"/>
          <w:iCs w:val="false"/>
          <w:color w:val="1A1A1A"/>
          <w:sz w:val="22"/>
          <w:szCs w:val="22"/>
        </w:rPr>
        <w:t xml:space="preserve">A Party conducting a naval exercise within or adjacent to the Governance Area files notification with the Maritime Coordination Center at least forty-eight hours in advance, stating the exercise area, duration, and participating assets. This Annex excludes any live-fire exercise within the Governance Area itself during the first one hundred twenty days of activation, and requires a minimum five-nautical-mile standoff from any active corridor for a live-fire exercise conducted afterward.</w:t>
      </w:r>
    </w:p>
    <w:p>
      <w:pPr>
        <w:pStyle w:val="Heading2"/>
        <w:spacing w:after="180" w:before="360"/>
      </w:pPr>
      <w:r>
        <w:rPr>
          <w:rFonts w:ascii="Calibri" w:cs="Calibri" w:eastAsia="Calibri" w:hAnsi="Calibri"/>
          <w:b/>
          <w:bCs/>
          <w:color w:val="1B2A4A"/>
          <w:sz w:val="26"/>
          <w:szCs w:val="26"/>
        </w:rPr>
        <w:t xml:space="preserve">C.7 The Joint Mine Survey and Clearance Group</w:t>
      </w:r>
    </w:p>
    <w:p>
      <w:pPr>
        <w:spacing w:after="200" w:before="0" w:line="288"/>
        <w:jc w:val="both"/>
      </w:pPr>
      <w:r>
        <w:rPr>
          <w:rFonts w:ascii="Calibri" w:cs="Calibri" w:eastAsia="Calibri" w:hAnsi="Calibri"/>
          <w:b w:val="false"/>
          <w:bCs w:val="false"/>
          <w:i w:val="false"/>
          <w:iCs w:val="false"/>
          <w:color w:val="1A1A1A"/>
          <w:sz w:val="22"/>
          <w:szCs w:val="22"/>
        </w:rPr>
        <w:t xml:space="preserve">The Survey Group operates under the technical coordination of the United Nations Mine Action Service, with Iranian, Omani, and international clearance assets participating jointly. The Group certifies each corridor segment as clear of mines before that segment opens to traffic under the Gate Schedule of Annex J, and this Annex treats mine-laying in the Governance Area, by any actor, as a Tier 3 Architectural Breach under Annex F carrying the maximum available consequence.</w:t>
      </w:r>
    </w:p>
    <w:p>
      <w:pPr>
        <w:pStyle w:val="Heading2"/>
        <w:spacing w:after="180" w:before="360"/>
      </w:pPr>
      <w:r>
        <w:rPr>
          <w:rFonts w:ascii="Calibri" w:cs="Calibri" w:eastAsia="Calibri" w:hAnsi="Calibri"/>
          <w:b/>
          <w:bCs/>
          <w:color w:val="1B2A4A"/>
          <w:sz w:val="26"/>
          <w:szCs w:val="26"/>
        </w:rPr>
        <w:t xml:space="preserve">C.8 False-Flag and Attribution Protocol</w:t>
      </w:r>
    </w:p>
    <w:p>
      <w:pPr>
        <w:spacing w:after="200" w:before="0" w:line="288"/>
        <w:jc w:val="both"/>
      </w:pPr>
      <w:r>
        <w:rPr>
          <w:rFonts w:ascii="Calibri" w:cs="Calibri" w:eastAsia="Calibri" w:hAnsi="Calibri"/>
          <w:b w:val="false"/>
          <w:bCs w:val="false"/>
          <w:i w:val="false"/>
          <w:iCs w:val="false"/>
          <w:color w:val="1A1A1A"/>
          <w:sz w:val="22"/>
          <w:szCs w:val="22"/>
        </w:rPr>
        <w:t xml:space="preserve">Following an attack or interdiction event of unclear origin, the Verification and Surveillance Directorate opens a fourteen-day forensic procedure, drawing on the fused radar and AIS picture, the Third-Party Telemetry Tie-Breaker, and physical evidence where available. The Directorate classifies the event as confirmed, probable, inconclusive, or manufactured, and this classification determines whether any compliance consequence attaches under Annex F. This Annex excludes automatic attribution of blame to a state absent this forensic process, and excludes any compliance consequence resting on a manufactured or inconclusive classification.</w:t>
      </w:r>
    </w:p>
    <w:p>
      <w:pPr>
        <w:pStyle w:val="Heading2"/>
        <w:spacing w:after="180" w:before="360"/>
      </w:pPr>
      <w:r>
        <w:rPr>
          <w:rFonts w:ascii="Calibri" w:cs="Calibri" w:eastAsia="Calibri" w:hAnsi="Calibri"/>
          <w:b/>
          <w:bCs/>
          <w:color w:val="1B2A4A"/>
          <w:sz w:val="26"/>
          <w:szCs w:val="26"/>
        </w:rPr>
        <w:t xml:space="preserve">C.9 The United States Phase-One Security Protocol</w:t>
      </w:r>
    </w:p>
    <w:p>
      <w:pPr>
        <w:spacing w:after="200" w:before="0" w:line="288"/>
        <w:jc w:val="both"/>
      </w:pPr>
      <w:r>
        <w:rPr>
          <w:rFonts w:ascii="Calibri" w:cs="Calibri" w:eastAsia="Calibri" w:hAnsi="Calibri"/>
          <w:b w:val="false"/>
          <w:bCs w:val="false"/>
          <w:i w:val="false"/>
          <w:iCs w:val="false"/>
          <w:color w:val="1A1A1A"/>
          <w:sz w:val="22"/>
          <w:szCs w:val="22"/>
        </w:rPr>
        <w:t xml:space="preserve">During Phase One, Days 0 through 30 of the activation sequence, United States naval forces perform Buffer Corridor overwatch and Governance Area approach-escort functions, operating under Council authorization rather than a unilateral mandate, and reporting into the Maritime Coordination Center on the same footing as Iranian and Omani assets performing equivalent functions in their respective corridors.</w:t>
      </w:r>
    </w:p>
    <w:p>
      <w:pPr>
        <w:spacing w:after="200" w:before="0" w:line="288"/>
        <w:jc w:val="both"/>
      </w:pPr>
      <w:r>
        <w:rPr>
          <w:rFonts w:ascii="Calibri" w:cs="Calibri" w:eastAsia="Calibri" w:hAnsi="Calibri"/>
          <w:b w:val="false"/>
          <w:bCs w:val="false"/>
          <w:i w:val="false"/>
          <w:iCs w:val="false"/>
          <w:color w:val="1A1A1A"/>
          <w:sz w:val="22"/>
          <w:szCs w:val="22"/>
        </w:rPr>
        <w:t xml:space="preserve">The Phase-One Protocol carries three structural safeguards that keep this function inside the Twin-Key architecture rather than outside it: first, United States escort assets exclude any boarding or interdiction action, remaining bound by the Absolute Non-Interdiction Protocol of Section C.1 on identical terms to every other Party; second, United States escort operations route through the Maritime Coordination Center’s shared tasking system, visible to Iran and Oman in real time, rather than through an independent national command channel; third, the Protocol carries a hard Day-30 review point, at which the Council certifies the Integrated Patrol Rotation’s readiness to assume the escort function under Section C.11, on the objective metrics Annex J sets rather than on a discretionary political timeline.</w:t>
      </w:r>
    </w:p>
    <w:p>
      <w:pPr>
        <w:pStyle w:val="Heading2"/>
        <w:spacing w:after="180" w:before="360"/>
      </w:pPr>
      <w:r>
        <w:rPr>
          <w:rFonts w:ascii="Calibri" w:cs="Calibri" w:eastAsia="Calibri" w:hAnsi="Calibri"/>
          <w:b/>
          <w:bCs/>
          <w:color w:val="1B2A4A"/>
          <w:sz w:val="26"/>
          <w:szCs w:val="26"/>
        </w:rPr>
        <w:t xml:space="preserve">C.10 Escort Rendezvous Procedures</w:t>
      </w:r>
    </w:p>
    <w:p>
      <w:pPr>
        <w:spacing w:after="200" w:before="0" w:line="288"/>
        <w:jc w:val="both"/>
      </w:pPr>
      <w:r>
        <w:rPr>
          <w:rFonts w:ascii="Calibri" w:cs="Calibri" w:eastAsia="Calibri" w:hAnsi="Calibri"/>
          <w:b w:val="false"/>
          <w:bCs w:val="false"/>
          <w:i w:val="false"/>
          <w:iCs w:val="false"/>
          <w:color w:val="1A1A1A"/>
          <w:sz w:val="22"/>
          <w:szCs w:val="22"/>
        </w:rPr>
        <w:t xml:space="preserve">A commercial vessel requesting Phase-One escort coverage files the request as an optional field on Form HTP-1, and the Maritime Coordination Center assigns a rendezvous point within the Buffer Corridor’s northern or southern approach, published on the Hormuz Transit Portal’s daily schedule. Escort coverage carries no charge to the requesting vessel, consistent with the Zero-Toll Rule, and this Annex excludes any preferential corridor-transit timing for an escorted vessel over an unescorted vessel, keeping escort strictly a safety service rather than a queue-priority mechanism.</w:t>
      </w:r>
    </w:p>
    <w:p>
      <w:pPr>
        <w:spacing w:after="200" w:before="0" w:line="288"/>
        <w:jc w:val="both"/>
      </w:pPr>
      <w:r>
        <w:rPr>
          <w:rFonts w:ascii="Calibri" w:cs="Calibri" w:eastAsia="Calibri" w:hAnsi="Calibri"/>
          <w:b w:val="false"/>
          <w:bCs w:val="false"/>
          <w:i w:val="false"/>
          <w:iCs w:val="false"/>
          <w:color w:val="1A1A1A"/>
          <w:sz w:val="22"/>
          <w:szCs w:val="22"/>
        </w:rPr>
        <w:t xml:space="preserve">An escorting vessel maintains the standoff distances of Section C.3 relative to the vessel it escorts, and this Annex excludes any escort configuration that positions the escorting vessel within boarding distance of the escorted vessel absent an active distress declaration. The Maritime Coordination Center logs every escort assignment, its duration, and its handoff point in the Shared Digital Registry, and this log feeds the Phase-One Day-30 review of Section C.9 as one of the objective readiness metrics the Council evaluates.</w:t>
      </w:r>
    </w:p>
    <w:p>
      <w:pPr>
        <w:pStyle w:val="Heading2"/>
        <w:spacing w:after="180" w:before="360"/>
      </w:pPr>
      <w:r>
        <w:rPr>
          <w:rFonts w:ascii="Calibri" w:cs="Calibri" w:eastAsia="Calibri" w:hAnsi="Calibri"/>
          <w:b/>
          <w:bCs/>
          <w:color w:val="1B2A4A"/>
          <w:sz w:val="26"/>
          <w:szCs w:val="26"/>
        </w:rPr>
        <w:t xml:space="preserve">C.11 The Integrated Patrol Rotation</w:t>
      </w:r>
    </w:p>
    <w:p>
      <w:pPr>
        <w:spacing w:after="200" w:before="0" w:line="288"/>
        <w:jc w:val="both"/>
      </w:pPr>
      <w:r>
        <w:rPr>
          <w:rFonts w:ascii="Calibri" w:cs="Calibri" w:eastAsia="Calibri" w:hAnsi="Calibri"/>
          <w:b w:val="false"/>
          <w:bCs w:val="false"/>
          <w:i w:val="false"/>
          <w:iCs w:val="false"/>
          <w:color w:val="1A1A1A"/>
          <w:sz w:val="22"/>
          <w:szCs w:val="22"/>
        </w:rPr>
        <w:t xml:space="preserve">From Phase Two forward, the Integrated Patrol Rotation, drawing rotating assets from Iran, Oman, GCC contributing states, and the United States under a single Maritime Coordination Center tasking authority, assumes the Buffer Corridor overwatch function Phase One assigns to United States forces alone. The Rotation matures across the three-stage sequence Annex J sets: soft presence reduction and remote overwatch adoption in months one through twelve, full Rotation assumption of maritime-security tasking in months twelve through twenty-four, and a drawdown of dedicated United States assets to a standing logistics and rapid-response posture in months twenty-four through thirty-six. Public messaging under this Section frames the transition as regional maturation and shared strategic success, and this Annex excludes framing, in any official communication tied to this Accord, that characterizes the transition as an American withdrawal under pressure or as an Iranian or regional victory over the United States.</w:t>
      </w:r>
    </w:p>
    <w:p>
      <w:pPr>
        <w:pStyle w:val="Heading2"/>
        <w:spacing w:after="180" w:before="360"/>
      </w:pPr>
      <w:r>
        <w:rPr>
          <w:rFonts w:ascii="Calibri" w:cs="Calibri" w:eastAsia="Calibri" w:hAnsi="Calibri"/>
          <w:b/>
          <w:bCs/>
          <w:color w:val="1B2A4A"/>
          <w:sz w:val="26"/>
          <w:szCs w:val="26"/>
        </w:rPr>
        <w:t xml:space="preserve">C.12 Worked Example: A Twin-Key Concurrence in Action</w:t>
      </w:r>
    </w:p>
    <w:p>
      <w:pPr>
        <w:spacing w:after="200" w:before="0" w:line="288"/>
        <w:jc w:val="both"/>
      </w:pPr>
      <w:r>
        <w:rPr>
          <w:rFonts w:ascii="Calibri" w:cs="Calibri" w:eastAsia="Calibri" w:hAnsi="Calibri"/>
          <w:b w:val="false"/>
          <w:bCs w:val="false"/>
          <w:i w:val="false"/>
          <w:iCs w:val="false"/>
          <w:color w:val="1A1A1A"/>
          <w:sz w:val="22"/>
          <w:szCs w:val="22"/>
        </w:rPr>
        <w:t xml:space="preserve">The following illustrative sequence shows Section C.2’s concurrence rule operating during an actual Buffer Corridor incident, tracing the decision from first detection to resolution.</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7350"/>
      </w:tblGrid>
      <w:tr>
        <w:trPr>
          <w:tblHeader/>
        </w:trPr>
        <w:tc>
          <w:tcPr>
            <w:tcW w:type="dxa" w:w="18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Time</w:t>
            </w:r>
          </w:p>
        </w:tc>
        <w:tc>
          <w:tcPr>
            <w:tcW w:type="dxa" w:w="73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Event</w:t>
            </w:r>
          </w:p>
        </w:tc>
      </w:tr>
      <w:tr>
        <w:tc>
          <w:tcPr>
            <w:tcW w:type="dxa" w:w="1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T+0 minutes</w:t>
            </w:r>
          </w:p>
        </w:tc>
        <w:tc>
          <w:tcPr>
            <w:tcW w:type="dxa" w:w="7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fused radar and AIS picture flags an unidentified small craft approaching the Buffer Corridor at high speed on an intercept course with a transiting tanker</w:t>
            </w:r>
          </w:p>
        </w:tc>
      </w:tr>
      <w:tr>
        <w:tc>
          <w:tcPr>
            <w:tcW w:type="dxa" w:w="1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T+2 minutes</w:t>
            </w:r>
          </w:p>
        </w:tc>
        <w:tc>
          <w:tcPr>
            <w:tcW w:type="dxa" w:w="7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Maritime Coordination Center logs the detection and opens a Buffer Corridor incident file, triggering the three-way concurrence requirement of Section C.2</w:t>
            </w:r>
          </w:p>
        </w:tc>
      </w:tr>
      <w:tr>
        <w:tc>
          <w:tcPr>
            <w:tcW w:type="dxa" w:w="1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T+3 minutes</w:t>
            </w:r>
          </w:p>
        </w:tc>
        <w:tc>
          <w:tcPr>
            <w:tcW w:type="dxa" w:w="7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Iran’s duty officer and Oman’s duty officer each receive simultaneous notification through the deconfliction hotline, alongside the rotating neutral observer on duty that week</w:t>
            </w:r>
          </w:p>
        </w:tc>
      </w:tr>
      <w:tr>
        <w:tc>
          <w:tcPr>
            <w:tcW w:type="dxa" w:w="1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T+6 minutes</w:t>
            </w:r>
          </w:p>
        </w:tc>
        <w:tc>
          <w:tcPr>
            <w:tcW w:type="dxa" w:w="7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Oman concurs with a proposed diversion advisory to the tanker; the neutral observer concurs; Iran, still verifying the small craft’s identity against its own coastal radar, has not yet responded</w:t>
            </w:r>
          </w:p>
        </w:tc>
      </w:tr>
      <w:tr>
        <w:tc>
          <w:tcPr>
            <w:tcW w:type="dxa" w:w="1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T+9 minutes</w:t>
            </w:r>
          </w:p>
        </w:tc>
        <w:tc>
          <w:tcPr>
            <w:tcW w:type="dxa" w:w="7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diversion advisory activates on two-of-three concurrence, since a diversion advisory qualifies as a time-critical safety action under Section C.2, not an interdiction or boarding action requiring full three-way concurrence in every case</w:t>
            </w:r>
          </w:p>
        </w:tc>
      </w:tr>
      <w:tr>
        <w:tc>
          <w:tcPr>
            <w:tcW w:type="dxa" w:w="1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T+11 minutes</w:t>
            </w:r>
          </w:p>
        </w:tc>
        <w:tc>
          <w:tcPr>
            <w:tcW w:type="dxa" w:w="7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confirms the small craft as a local fishing vessel with a disabled engine drifting off course, not a hostile contact; the Directorate reclassifies the event as Tier 0 under Annex F</w:t>
            </w:r>
          </w:p>
        </w:tc>
      </w:tr>
      <w:tr>
        <w:tc>
          <w:tcPr>
            <w:tcW w:type="dxa" w:w="1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T+15 minutes</w:t>
            </w:r>
          </w:p>
        </w:tc>
        <w:tc>
          <w:tcPr>
            <w:tcW w:type="dxa" w:w="7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Maritime Coordination Center dispatches a tow under the emergency-tow readiness roster of Annex H Section H.3, and closes the incident file with a full record in the Shared Digital Registry</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example illustrates the two features that make the Twin-Key Rule workable in real time: a genuine safety action activates on partial concurrence plus a short silence window exactly as Section C.2 intends, and the system resolves a false alarm through ordinary verification within minutes, without any escalation beyond Incident Ladder Level 1 and without any Escalator or compliance consequence attaching to any Party.</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D</w:t>
      </w:r>
      <w:r>
        <w:rPr>
          <w:rFonts w:ascii="Calibri" w:cs="Calibri" w:eastAsia="Calibri" w:hAnsi="Calibri"/>
          <w:b/>
          <w:bCs/>
          <w:color w:val="1B2A4A"/>
          <w:sz w:val="30"/>
          <w:szCs w:val="30"/>
        </w:rPr>
        <w:br/>
        <w:t xml:space="preserve">  Fees, Auditing, and Sanctions-Compatible Payment Routing</w:t>
      </w:r>
    </w:p>
    <w:p>
      <w:pPr>
        <w:spacing w:after="200" w:before="0" w:line="288"/>
        <w:jc w:val="both"/>
      </w:pPr>
      <w:r>
        <w:rPr>
          <w:rFonts w:ascii="Calibri" w:cs="Calibri" w:eastAsia="Calibri" w:hAnsi="Calibri"/>
          <w:b w:val="false"/>
          <w:bCs w:val="false"/>
          <w:i w:val="false"/>
          <w:iCs w:val="false"/>
          <w:color w:val="1A1A1A"/>
          <w:sz w:val="22"/>
          <w:szCs w:val="22"/>
        </w:rPr>
        <w:t xml:space="preserve">This Annex resolves what the negotiating record calls the Gordian knot of the Hormuz file: Iran’s position that a functioning corridor system requires revenue, the United States and Gulf position that any mandatory charge on passage constitutes an illegal toll, and the shipping and insurance industry’s requirement for predictable, published costs. This Annex resolves the knot by separating the question of whether a charge exists from the question of what the charge attaches to.</w:t>
      </w:r>
    </w:p>
    <w:p>
      <w:pPr>
        <w:pStyle w:val="Heading2"/>
        <w:spacing w:after="180" w:before="360"/>
      </w:pPr>
      <w:r>
        <w:rPr>
          <w:rFonts w:ascii="Calibri" w:cs="Calibri" w:eastAsia="Calibri" w:hAnsi="Calibri"/>
          <w:b/>
          <w:bCs/>
          <w:color w:val="1B2A4A"/>
          <w:sz w:val="26"/>
          <w:szCs w:val="26"/>
        </w:rPr>
        <w:t xml:space="preserve">D.1 The Zero-Toll Rule, Restated</w:t>
      </w:r>
    </w:p>
    <w:p>
      <w:pPr>
        <w:spacing w:after="200" w:before="0" w:line="288"/>
        <w:jc w:val="both"/>
      </w:pPr>
      <w:r>
        <w:rPr>
          <w:rFonts w:ascii="Calibri" w:cs="Calibri" w:eastAsia="Calibri" w:hAnsi="Calibri"/>
          <w:b w:val="false"/>
          <w:bCs w:val="false"/>
          <w:i w:val="false"/>
          <w:iCs w:val="false"/>
          <w:color w:val="1A1A1A"/>
          <w:sz w:val="22"/>
          <w:szCs w:val="22"/>
        </w:rPr>
        <w:t xml:space="preserve">The Zero-Toll Rule of Article 13 excludes any charge functioning as a condition or a price of passage itself. This Annex’s Anti-Circumvention Test applies a substance test, not a label test, to every proposed charge: a charge that a vessel avoids by declining a specific, published, optional service passes the test and operates as a service reimbursement; a charge that attaches automatically to the act of transiting the Governance Area, regardless of service election, fails the test and constitutes a prohibited toll, triggering an automatic strike against the imposing Party under Annex F.</w:t>
      </w:r>
    </w:p>
    <w:p>
      <w:pPr>
        <w:pStyle w:val="Heading2"/>
        <w:spacing w:after="180" w:before="360"/>
      </w:pPr>
      <w:r>
        <w:rPr>
          <w:rFonts w:ascii="Calibri" w:cs="Calibri" w:eastAsia="Calibri" w:hAnsi="Calibri"/>
          <w:b/>
          <w:bCs/>
          <w:color w:val="1B2A4A"/>
          <w:sz w:val="26"/>
          <w:szCs w:val="26"/>
        </w:rPr>
        <w:t xml:space="preserve">D.2 The Closed Service Catalog</w:t>
      </w:r>
    </w:p>
    <w:p>
      <w:pPr>
        <w:spacing w:after="200" w:before="0" w:line="288"/>
        <w:jc w:val="both"/>
      </w:pPr>
      <w:r>
        <w:rPr>
          <w:rFonts w:ascii="Calibri" w:cs="Calibri" w:eastAsia="Calibri" w:hAnsi="Calibri"/>
          <w:b w:val="false"/>
          <w:bCs w:val="false"/>
          <w:i w:val="false"/>
          <w:iCs w:val="false"/>
          <w:color w:val="1A1A1A"/>
          <w:sz w:val="22"/>
          <w:szCs w:val="22"/>
        </w:rPr>
        <w:t xml:space="preserve">This Annex publishes the complete and closed list of reimbursable services. This Annex excludes any service reimbursement outside this list without a Council amendment, closing the door on incremental toll creation through an expanding service definition.</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200"/>
        <w:gridCol w:w="4650"/>
      </w:tblGrid>
      <w:tr>
        <w:trPr>
          <w:tblHeader/>
        </w:trPr>
        <w:tc>
          <w:tcPr>
            <w:tcW w:type="dxa" w:w="2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Service</w:t>
            </w:r>
          </w:p>
        </w:tc>
        <w:tc>
          <w:tcPr>
            <w:tcW w:type="dxa" w:w="2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Provider</w:t>
            </w:r>
          </w:p>
        </w:tc>
        <w:tc>
          <w:tcPr>
            <w:tcW w:type="dxa" w:w="46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Basis for Charge</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Pilotage</w:t>
            </w:r>
          </w:p>
        </w:tc>
        <w:tc>
          <w:tcPr>
            <w:tcW w:type="dxa" w:w="2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Coastal state administering the corridor</w:t>
            </w:r>
          </w:p>
        </w:tc>
        <w:tc>
          <w:tcPr>
            <w:tcW w:type="dxa" w:w="46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Per-use, published flat rate by vessel class</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Tug and emergency tow readiness</w:t>
            </w:r>
          </w:p>
        </w:tc>
        <w:tc>
          <w:tcPr>
            <w:tcW w:type="dxa" w:w="2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Coastal state administering the corridor</w:t>
            </w:r>
          </w:p>
        </w:tc>
        <w:tc>
          <w:tcPr>
            <w:tcW w:type="dxa" w:w="46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Standing readiness fee, Insurance Channel</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Route Assurance Data Subscription</w:t>
            </w:r>
          </w:p>
        </w:tc>
        <w:tc>
          <w:tcPr>
            <w:tcW w:type="dxa" w:w="2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Authority (Verification and Surveillance Directorate)</w:t>
            </w:r>
          </w:p>
        </w:tc>
        <w:tc>
          <w:tcPr>
            <w:tcW w:type="dxa" w:w="46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Optional subscription, real-time verified tracking and safety data</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Environmental monitoring</w:t>
            </w:r>
          </w:p>
        </w:tc>
        <w:tc>
          <w:tcPr>
            <w:tcW w:type="dxa" w:w="2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Authority, jointly funded</w:t>
            </w:r>
          </w:p>
        </w:tc>
        <w:tc>
          <w:tcPr>
            <w:tcW w:type="dxa" w:w="46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Throughput-based, Port and Commercial Channel</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Search-and-rescue readiness</w:t>
            </w:r>
          </w:p>
        </w:tc>
        <w:tc>
          <w:tcPr>
            <w:tcW w:type="dxa" w:w="2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Authority, jointly funded</w:t>
            </w:r>
          </w:p>
        </w:tc>
        <w:tc>
          <w:tcPr>
            <w:tcW w:type="dxa" w:w="46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Standing readiness fee, Insurance Channel</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Weather and hazard data feed</w:t>
            </w:r>
          </w:p>
        </w:tc>
        <w:tc>
          <w:tcPr>
            <w:tcW w:type="dxa" w:w="2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Joint meteorology desk</w:t>
            </w:r>
          </w:p>
        </w:tc>
        <w:tc>
          <w:tcPr>
            <w:tcW w:type="dxa" w:w="46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Included at no charge, publicly funded through Sovereign Channel</w:t>
            </w:r>
          </w:p>
        </w:tc>
      </w:tr>
    </w:tbl>
    <w:p>
      <w:pPr>
        <w:pStyle w:val="Heading2"/>
        <w:spacing w:after="180" w:before="360"/>
      </w:pPr>
      <w:r>
        <w:rPr>
          <w:rFonts w:ascii="Calibri" w:cs="Calibri" w:eastAsia="Calibri" w:hAnsi="Calibri"/>
          <w:b/>
          <w:bCs/>
          <w:color w:val="1B2A4A"/>
          <w:sz w:val="26"/>
          <w:szCs w:val="26"/>
        </w:rPr>
        <w:t xml:space="preserve">D.3 The Tri-Channel Funding Architecture</w:t>
      </w:r>
    </w:p>
    <w:p>
      <w:pPr>
        <w:spacing w:after="200" w:before="0" w:line="288"/>
        <w:jc w:val="both"/>
      </w:pPr>
      <w:r>
        <w:rPr>
          <w:rFonts w:ascii="Calibri" w:cs="Calibri" w:eastAsia="Calibri" w:hAnsi="Calibri"/>
          <w:b w:val="false"/>
          <w:bCs w:val="false"/>
          <w:i w:val="false"/>
          <w:iCs w:val="false"/>
          <w:color w:val="1A1A1A"/>
          <w:sz w:val="22"/>
          <w:szCs w:val="22"/>
        </w:rPr>
        <w:t xml:space="preserve">This Annex distributes the funding burden across three independent channels, so that no single payer, and no single political relationship, carries the weight of the entire system.</w:t>
      </w:r>
    </w:p>
    <w:p>
      <w:pPr>
        <w:pStyle w:val="ListParagraph"/>
        <w:numPr>
          <w:ilvl w:val="0"/>
          <w:numId w:val="1"/>
        </w:numPr>
        <w:spacing w:after="120" w:line="276"/>
      </w:pPr>
      <w:r>
        <w:rPr>
          <w:rFonts w:ascii="Calibri" w:cs="Calibri" w:eastAsia="Calibri" w:hAnsi="Calibri"/>
          <w:b/>
          <w:bCs/>
          <w:i w:val="false"/>
          <w:iCs w:val="false"/>
          <w:color w:val="1A1A1A"/>
          <w:sz w:val="22"/>
          <w:szCs w:val="22"/>
        </w:rPr>
        <w:t xml:space="preserve">Insurance Channel (approximately sixty percent of Fund inflow). </w:t>
      </w:r>
      <w:r>
        <w:rPr>
          <w:rFonts w:ascii="Calibri" w:cs="Calibri" w:eastAsia="Calibri" w:hAnsi="Calibri"/>
          <w:b w:val="false"/>
          <w:bCs w:val="false"/>
          <w:i w:val="false"/>
          <w:iCs w:val="false"/>
          <w:color w:val="1A1A1A"/>
          <w:sz w:val="22"/>
          <w:szCs w:val="22"/>
        </w:rPr>
        <w:t xml:space="preserve">Participating war-risk and hull insurers route a defined service component of the premium a vessel already pays into the Fund. This structure converts the charge into a commercial, risk-based mechanism that insurers set and vessels absorb as a normal cost of transit insurance, rather than a state-imposed charge.</w:t>
      </w:r>
    </w:p>
    <w:p>
      <w:pPr>
        <w:pStyle w:val="ListParagraph"/>
        <w:numPr>
          <w:ilvl w:val="0"/>
          <w:numId w:val="1"/>
        </w:numPr>
        <w:spacing w:after="120" w:line="276"/>
      </w:pPr>
      <w:r>
        <w:rPr>
          <w:rFonts w:ascii="Calibri" w:cs="Calibri" w:eastAsia="Calibri" w:hAnsi="Calibri"/>
          <w:b/>
          <w:bCs/>
          <w:i w:val="false"/>
          <w:iCs w:val="false"/>
          <w:color w:val="1A1A1A"/>
          <w:sz w:val="22"/>
          <w:szCs w:val="22"/>
        </w:rPr>
        <w:t xml:space="preserve">Port and Commercial Channel (approximately twenty-five percent of Fund inflow). </w:t>
      </w:r>
      <w:r>
        <w:rPr>
          <w:rFonts w:ascii="Calibri" w:cs="Calibri" w:eastAsia="Calibri" w:hAnsi="Calibri"/>
          <w:b w:val="false"/>
          <w:bCs w:val="false"/>
          <w:i w:val="false"/>
          <w:iCs w:val="false"/>
          <w:color w:val="1A1A1A"/>
          <w:sz w:val="22"/>
          <w:szCs w:val="22"/>
        </w:rPr>
        <w:t xml:space="preserve">Participating ports and energy exporters contribute a service fee scaled to their Governance Area throughput, assessed at the port of origin rather than at the point of transit, reinforcing that the charge attaches to service consumption rather than to passage.</w:t>
      </w:r>
    </w:p>
    <w:p>
      <w:pPr>
        <w:pStyle w:val="ListParagraph"/>
        <w:numPr>
          <w:ilvl w:val="0"/>
          <w:numId w:val="1"/>
        </w:numPr>
        <w:spacing w:after="120" w:line="276"/>
      </w:pPr>
      <w:r>
        <w:rPr>
          <w:rFonts w:ascii="Calibri" w:cs="Calibri" w:eastAsia="Calibri" w:hAnsi="Calibri"/>
          <w:b/>
          <w:bCs/>
          <w:i w:val="false"/>
          <w:iCs w:val="false"/>
          <w:color w:val="1A1A1A"/>
          <w:sz w:val="22"/>
          <w:szCs w:val="22"/>
        </w:rPr>
        <w:t xml:space="preserve">Sovereign Channel (approximately fifteen percent of Fund inflow). </w:t>
      </w:r>
      <w:r>
        <w:rPr>
          <w:rFonts w:ascii="Calibri" w:cs="Calibri" w:eastAsia="Calibri" w:hAnsi="Calibri"/>
          <w:b w:val="false"/>
          <w:bCs w:val="false"/>
          <w:i w:val="false"/>
          <w:iCs w:val="false"/>
          <w:color w:val="1A1A1A"/>
          <w:sz w:val="22"/>
          <w:szCs w:val="22"/>
        </w:rPr>
        <w:t xml:space="preserve">Member states and institutional partners fund a standing contribution for corridor infrastructure and capacity-building, recorded as a state contribution rather than a charge on any vessel.</w:t>
      </w:r>
    </w:p>
    <w:p>
      <w:pPr>
        <w:spacing w:after="200" w:before="0" w:line="288"/>
        <w:jc w:val="both"/>
      </w:pPr>
      <w:r>
        <w:rPr>
          <w:rFonts w:ascii="Calibri" w:cs="Calibri" w:eastAsia="Calibri" w:hAnsi="Calibri"/>
          <w:b w:val="false"/>
          <w:bCs w:val="false"/>
          <w:i w:val="false"/>
          <w:iCs w:val="false"/>
          <w:color w:val="1A1A1A"/>
          <w:sz w:val="22"/>
          <w:szCs w:val="22"/>
        </w:rPr>
        <w:t xml:space="preserve">This Annex adjusts the allocation percentages by Council amendment as the Fund’s cost base and revenue experience develop through the pilot phase, without altering the three-channel structure itself.</w:t>
      </w:r>
    </w:p>
    <w:p>
      <w:pPr>
        <w:pStyle w:val="Heading2"/>
        <w:spacing w:after="180" w:before="360"/>
      </w:pPr>
      <w:r>
        <w:rPr>
          <w:rFonts w:ascii="Calibri" w:cs="Calibri" w:eastAsia="Calibri" w:hAnsi="Calibri"/>
          <w:b/>
          <w:bCs/>
          <w:color w:val="1B2A4A"/>
          <w:sz w:val="26"/>
          <w:szCs w:val="26"/>
        </w:rPr>
        <w:t xml:space="preserve">D.4 The Hormuz Services Fund</w:t>
      </w:r>
    </w:p>
    <w:p>
      <w:pPr>
        <w:spacing w:after="200" w:before="0" w:line="288"/>
        <w:jc w:val="both"/>
      </w:pPr>
      <w:r>
        <w:rPr>
          <w:rFonts w:ascii="Calibri" w:cs="Calibri" w:eastAsia="Calibri" w:hAnsi="Calibri"/>
          <w:b w:val="false"/>
          <w:bCs w:val="false"/>
          <w:i w:val="false"/>
          <w:iCs w:val="false"/>
          <w:color w:val="1A1A1A"/>
          <w:sz w:val="22"/>
          <w:szCs w:val="22"/>
        </w:rPr>
        <w:t xml:space="preserve">The Fund operates as a neutral escrow facility under Swiss jurisdiction, insulated from the political relationship between any two Parties. The Fund’s board carries balanced representation from Iran, Oman, the GCC, and the Fund’s Swiss administrator, and the Fund publishes quarterly accounts together with an annual independent audit.</w:t>
      </w:r>
    </w:p>
    <w:p>
      <w:pPr>
        <w:spacing w:after="200" w:before="0" w:line="288"/>
        <w:jc w:val="both"/>
      </w:pPr>
      <w:r>
        <w:rPr>
          <w:rFonts w:ascii="Calibri" w:cs="Calibri" w:eastAsia="Calibri" w:hAnsi="Calibri"/>
          <w:b w:val="false"/>
          <w:bCs w:val="false"/>
          <w:i w:val="false"/>
          <w:iCs w:val="false"/>
          <w:color w:val="1A1A1A"/>
          <w:sz w:val="22"/>
          <w:szCs w:val="22"/>
        </w:rPr>
        <w:t xml:space="preserve">The Fund disburses against verified service delivery only, confirmed through the Verification and Surveillance Directorate’s claim procedure under Annex F. This Annex excludes any Fund disbursement to a Party or institution absent that verification step, closing the path from fee collection to unaudited revenue.</w:t>
      </w:r>
    </w:p>
    <w:p>
      <w:pPr>
        <w:pStyle w:val="Heading2"/>
        <w:spacing w:after="180" w:before="360"/>
      </w:pPr>
      <w:r>
        <w:rPr>
          <w:rFonts w:ascii="Calibri" w:cs="Calibri" w:eastAsia="Calibri" w:hAnsi="Calibri"/>
          <w:b/>
          <w:bCs/>
          <w:color w:val="1B2A4A"/>
          <w:sz w:val="26"/>
          <w:szCs w:val="26"/>
        </w:rPr>
        <w:t xml:space="preserve">D.5 Sanctions-Compatible Payment Routing</w:t>
      </w:r>
    </w:p>
    <w:p>
      <w:pPr>
        <w:spacing w:after="200" w:before="0" w:line="288"/>
        <w:jc w:val="both"/>
      </w:pPr>
      <w:r>
        <w:rPr>
          <w:rFonts w:ascii="Calibri" w:cs="Calibri" w:eastAsia="Calibri" w:hAnsi="Calibri"/>
          <w:b w:val="false"/>
          <w:bCs w:val="false"/>
          <w:i w:val="false"/>
          <w:iCs w:val="false"/>
          <w:color w:val="1A1A1A"/>
          <w:sz w:val="22"/>
          <w:szCs w:val="22"/>
        </w:rPr>
        <w:t xml:space="preserve">The Fund maintains a dedicated Hormuz Account structured with a sanctions-compliance firewall: the Account receives payment from the contributing vessel, insurer, or port, and disburses to the recipient coastal state or institution as a payment from the neutral Fund itself, never as a direct payment from a sanctioned or sanctions-adjacent counterparty to Iran. This structure allows the system to continue operating without interruption through a period of elevated bilateral tension between any two Parties, consistent with the continuity principle of Article 2.</w:t>
      </w:r>
    </w:p>
    <w:p>
      <w:pPr>
        <w:spacing w:after="200" w:before="0" w:line="288"/>
        <w:jc w:val="both"/>
      </w:pPr>
      <w:r>
        <w:rPr>
          <w:rFonts w:ascii="Calibri" w:cs="Calibri" w:eastAsia="Calibri" w:hAnsi="Calibri"/>
          <w:b w:val="false"/>
          <w:bCs w:val="false"/>
          <w:i w:val="false"/>
          <w:iCs w:val="false"/>
          <w:color w:val="1A1A1A"/>
          <w:sz w:val="22"/>
          <w:szCs w:val="22"/>
        </w:rPr>
        <w:t xml:space="preserve">A performance-bond option supplements direct payment for shipping lines conducting frequent transits: a line posts a refundable bond to the Fund, drawn upon only if the line consumes a chargeable service or fails a published standard, avoiding per-transit payment friction for high-frequency operators.</w:t>
      </w:r>
    </w:p>
    <w:p>
      <w:pPr>
        <w:pStyle w:val="Heading2"/>
        <w:spacing w:after="180" w:before="360"/>
      </w:pPr>
      <w:r>
        <w:rPr>
          <w:rFonts w:ascii="Calibri" w:cs="Calibri" w:eastAsia="Calibri" w:hAnsi="Calibri"/>
          <w:b/>
          <w:bCs/>
          <w:color w:val="1B2A4A"/>
          <w:sz w:val="26"/>
          <w:szCs w:val="26"/>
        </w:rPr>
        <w:t xml:space="preserve">D.6 Auditing</w:t>
      </w:r>
    </w:p>
    <w:p>
      <w:pPr>
        <w:spacing w:after="200" w:before="0" w:line="288"/>
        <w:jc w:val="both"/>
      </w:pPr>
      <w:r>
        <w:rPr>
          <w:rFonts w:ascii="Calibri" w:cs="Calibri" w:eastAsia="Calibri" w:hAnsi="Calibri"/>
          <w:b w:val="false"/>
          <w:bCs w:val="false"/>
          <w:i w:val="false"/>
          <w:iCs w:val="false"/>
          <w:color w:val="1A1A1A"/>
          <w:sz w:val="22"/>
          <w:szCs w:val="22"/>
        </w:rPr>
        <w:t xml:space="preserve">An independent auditor, drawn from the Third-Party Expert Pool Annex F establishes, reviews the Fund’s accounts annually and reports findings to the Council and to the public Transparency Portal in summary form. Either Founding Party requests a targeted forensic audit of any transaction segment at any time, with the cost borne by the requesting Party absent a finding of material irregularity, in which case the cost shifts to the Party responsible for the irregularity.</w:t>
      </w:r>
    </w:p>
    <w:p>
      <w:pPr>
        <w:pStyle w:val="Heading2"/>
        <w:spacing w:after="180" w:before="360"/>
      </w:pPr>
      <w:r>
        <w:rPr>
          <w:rFonts w:ascii="Calibri" w:cs="Calibri" w:eastAsia="Calibri" w:hAnsi="Calibri"/>
          <w:b/>
          <w:bCs/>
          <w:color w:val="1B2A4A"/>
          <w:sz w:val="26"/>
          <w:szCs w:val="26"/>
        </w:rPr>
        <w:t xml:space="preserve">D.7 The Heavy-User Cap and Commercial Predictability</w:t>
      </w:r>
    </w:p>
    <w:p>
      <w:pPr>
        <w:spacing w:after="200" w:before="0" w:line="288"/>
        <w:jc w:val="both"/>
      </w:pPr>
      <w:r>
        <w:rPr>
          <w:rFonts w:ascii="Calibri" w:cs="Calibri" w:eastAsia="Calibri" w:hAnsi="Calibri"/>
          <w:b w:val="false"/>
          <w:bCs w:val="false"/>
          <w:i w:val="false"/>
          <w:iCs w:val="false"/>
          <w:color w:val="1A1A1A"/>
          <w:sz w:val="22"/>
          <w:szCs w:val="22"/>
        </w:rPr>
        <w:t xml:space="preserve">This Annex caps a single operator’s annual aggregate service-charge exposure at a published ceiling, reviewed and adjusted by the Council annually, guaranteeing cost predictability for the largest tanker and gas-carrier fleets regardless of transit frequency. This Annex also establishes a Green Discount, reducing the Insurance Channel contribution for vessels meeting the emissions and safety standard Annex H sets, converting environmental performance into a direct commercial saving.</w:t>
      </w:r>
    </w:p>
    <w:p>
      <w:pPr>
        <w:pStyle w:val="Heading2"/>
        <w:spacing w:after="180" w:before="360"/>
      </w:pPr>
      <w:r>
        <w:rPr>
          <w:rFonts w:ascii="Calibri" w:cs="Calibri" w:eastAsia="Calibri" w:hAnsi="Calibri"/>
          <w:b/>
          <w:bCs/>
          <w:color w:val="1B2A4A"/>
          <w:sz w:val="26"/>
          <w:szCs w:val="26"/>
        </w:rPr>
        <w:t xml:space="preserve">D.8 Rejected and Reserved Fee Models</w:t>
      </w:r>
    </w:p>
    <w:p>
      <w:pPr>
        <w:spacing w:after="200" w:before="0" w:line="288"/>
        <w:jc w:val="both"/>
      </w:pPr>
      <w:r>
        <w:rPr>
          <w:rFonts w:ascii="Calibri" w:cs="Calibri" w:eastAsia="Calibri" w:hAnsi="Calibri"/>
          <w:b w:val="false"/>
          <w:bCs w:val="false"/>
          <w:i w:val="false"/>
          <w:iCs w:val="false"/>
          <w:color w:val="1A1A1A"/>
          <w:sz w:val="22"/>
          <w:szCs w:val="22"/>
        </w:rPr>
        <w:t xml:space="preserve">The negotiating record considered twenty-six distinct fee-structuring approaches before converging on the Tri-Channel architecture this Annex adopts. This Annex records the leading alternatives considered and reserves them for future Council review, without adopting them at this stage.</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60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Alternative Model</w:t>
            </w:r>
          </w:p>
        </w:tc>
        <w:tc>
          <w:tcPr>
            <w:tcW w:type="dxa" w:w="60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Reason Not Adopted at Signature</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Pure voluntary contribution fund (Strait of Malacca model)</w:t>
            </w:r>
          </w:p>
        </w:tc>
        <w:tc>
          <w:tcPr>
            <w:tcW w:type="dxa" w:w="60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Malacca’s model generates approximately seventy million dollars annually, a figure the Council assesses as insufficient to fund the corridor system’s full operating and capital cost</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Mandatory per-transit sovereign fee ("Tehran toll booth" model)</w:t>
            </w:r>
          </w:p>
        </w:tc>
        <w:tc>
          <w:tcPr>
            <w:tcW w:type="dxa" w:w="60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Fails the Anti-Circumvention Test outright; excluded as a prohibited toll under Article 13</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Indirect insurance surcharge as the sole channel</w:t>
            </w:r>
          </w:p>
        </w:tc>
        <w:tc>
          <w:tcPr>
            <w:tcW w:type="dxa" w:w="60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Concentrates funding risk in a single channel; retained as one of three channels rather than the exclusive mechanism</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Harbor-maintenance-style in-kind contribution</w:t>
            </w:r>
          </w:p>
        </w:tc>
        <w:tc>
          <w:tcPr>
            <w:tcW w:type="dxa" w:w="60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Retained as a supplementary option within the Sovereign Channel for a contributing state electing to provide equipment or training rather than cash</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Legacy Transmission historical-context annex</w:t>
            </w:r>
          </w:p>
        </w:tc>
        <w:tc>
          <w:tcPr>
            <w:tcW w:type="dxa" w:w="60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Deferred to Annex N, where the Reconstruction Facility addresses the underlying compensation-adjacent interest through an investment structure rather than a fee mechanism</w:t>
            </w:r>
          </w:p>
        </w:tc>
      </w:tr>
    </w:tbl>
    <w:p>
      <w:pPr>
        <w:pStyle w:val="Heading2"/>
        <w:spacing w:after="180" w:before="360"/>
      </w:pPr>
      <w:r>
        <w:rPr>
          <w:rFonts w:ascii="Calibri" w:cs="Calibri" w:eastAsia="Calibri" w:hAnsi="Calibri"/>
          <w:b/>
          <w:bCs/>
          <w:color w:val="1B2A4A"/>
          <w:sz w:val="26"/>
          <w:szCs w:val="26"/>
        </w:rPr>
        <w:t xml:space="preserve">D.9 Worked Example: A Single VLCC Transit</w:t>
      </w:r>
    </w:p>
    <w:p>
      <w:pPr>
        <w:spacing w:after="200" w:before="0" w:line="288"/>
        <w:jc w:val="both"/>
      </w:pPr>
      <w:r>
        <w:rPr>
          <w:rFonts w:ascii="Calibri" w:cs="Calibri" w:eastAsia="Calibri" w:hAnsi="Calibri"/>
          <w:b w:val="false"/>
          <w:bCs w:val="false"/>
          <w:i w:val="false"/>
          <w:iCs w:val="false"/>
          <w:color w:val="1A1A1A"/>
          <w:sz w:val="22"/>
          <w:szCs w:val="22"/>
        </w:rPr>
        <w:t xml:space="preserve">The following illustrative example shows how the Tri-Channel architecture applies to one representative transit, a very large crude carrier moving outbound through the Governance Area without requesting pilotage.</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Step</w:t>
            </w:r>
          </w:p>
        </w:tc>
        <w:tc>
          <w:tcPr>
            <w:tcW w:type="dxa" w:w="61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Amount / Action</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Base transit</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charge. The vessel passes under the Zero-Toll Rule of Article 13 with no payment obligation tied to the act of transit itself.</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War-risk insurance premium</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vessel’s insurer pays its normal premium; a defined Route Assurance Data Service component within that premium routes to the Fund’s Insurance Channel automatically, invisible to the vessel as a separate line item.</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Port-of-origin service fee</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vessel’s loading port, if a Fund-participating port, contributes a throughput-based amount to the Port and Commercial Channel, assessed at the port rather than at the strait.</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Optional pilotage</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Not requested in this example; no charge applies. Had the master requested pilotage, the published flat rate for the vessel’s class would apply, reimbursing the coastal state directly through the Fund.</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Green Discount</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If the vessel holds a qualifying emissions certification under Annex H Section H.5, its Insurance Channel component reduces on the published sliding scale.</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Vessel-visible total</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Zero direct payment at the point of transit. Every cost the vessel ultimately bears routes through instruments, insurance and port documentation, that already existed before this Accord and that the vessel budgets for as ordinary operating cost.</w:t>
            </w:r>
          </w:p>
        </w:tc>
      </w:tr>
    </w:tbl>
    <w:p>
      <w:pPr>
        <w:pStyle w:val="Heading2"/>
        <w:spacing w:after="180" w:before="360"/>
      </w:pPr>
      <w:r>
        <w:rPr>
          <w:rFonts w:ascii="Calibri" w:cs="Calibri" w:eastAsia="Calibri" w:hAnsi="Calibri"/>
          <w:b/>
          <w:bCs/>
          <w:color w:val="1B2A4A"/>
          <w:sz w:val="26"/>
          <w:szCs w:val="26"/>
        </w:rPr>
        <w:t xml:space="preserve">D.10 Worked Example: Heavy-User Cap in Practice</w:t>
      </w:r>
    </w:p>
    <w:p>
      <w:pPr>
        <w:spacing w:after="200" w:before="0" w:line="288"/>
        <w:jc w:val="both"/>
      </w:pPr>
      <w:r>
        <w:rPr>
          <w:rFonts w:ascii="Calibri" w:cs="Calibri" w:eastAsia="Calibri" w:hAnsi="Calibri"/>
          <w:b w:val="false"/>
          <w:bCs w:val="false"/>
          <w:i w:val="false"/>
          <w:iCs w:val="false"/>
          <w:color w:val="1A1A1A"/>
          <w:sz w:val="22"/>
          <w:szCs w:val="22"/>
        </w:rPr>
        <w:t xml:space="preserve">A shipping line operating forty transits per year through the Governance Area accrues Insurance and Port Channel contributions across its fleet’s premiums and port calls. Once the line’s aggregate annual contribution reaches the published Heavy-User Cap under Section D.7, the Fund suspends further collection from that line for the remainder of the annual cycle, and the line’s subsequent transits that year carry no incremental Fund-linked cost, giving the line’s finance department a fixed, budgetable annual ceiling regardless of how traffic volume develops.</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E</w:t>
      </w:r>
      <w:r>
        <w:rPr>
          <w:rFonts w:ascii="Calibri" w:cs="Calibri" w:eastAsia="Calibri" w:hAnsi="Calibri"/>
          <w:b/>
          <w:bCs/>
          <w:color w:val="1B2A4A"/>
          <w:sz w:val="30"/>
          <w:szCs w:val="30"/>
        </w:rPr>
        <w:br/>
        <w:t xml:space="preserve">  Governance, Representation, and Dispute Resolution</w:t>
      </w:r>
    </w:p>
    <w:p>
      <w:pPr>
        <w:spacing w:after="200" w:before="0" w:line="288"/>
        <w:jc w:val="both"/>
      </w:pPr>
      <w:r>
        <w:rPr>
          <w:rFonts w:ascii="Calibri" w:cs="Calibri" w:eastAsia="Calibri" w:hAnsi="Calibri"/>
          <w:b w:val="false"/>
          <w:bCs w:val="false"/>
          <w:i w:val="false"/>
          <w:iCs w:val="false"/>
          <w:color w:val="1A1A1A"/>
          <w:sz w:val="22"/>
          <w:szCs w:val="22"/>
        </w:rPr>
        <w:t xml:space="preserve">This Annex sets the institutional architecture Article 19 establishes, including participation tiers, voting rules, and the dispute-resolution system Article 20 references.</w:t>
      </w:r>
    </w:p>
    <w:p>
      <w:pPr>
        <w:pStyle w:val="Heading2"/>
        <w:spacing w:after="180" w:before="360"/>
      </w:pPr>
      <w:r>
        <w:rPr>
          <w:rFonts w:ascii="Calibri" w:cs="Calibri" w:eastAsia="Calibri" w:hAnsi="Calibri"/>
          <w:b/>
          <w:bCs/>
          <w:color w:val="1B2A4A"/>
          <w:sz w:val="26"/>
          <w:szCs w:val="26"/>
        </w:rPr>
        <w:t xml:space="preserve">E.1 The Hormuz Council</w:t>
      </w:r>
    </w:p>
    <w:p>
      <w:pPr>
        <w:spacing w:after="200" w:before="0" w:line="288"/>
        <w:jc w:val="both"/>
      </w:pPr>
      <w:r>
        <w:rPr>
          <w:rFonts w:ascii="Calibri" w:cs="Calibri" w:eastAsia="Calibri" w:hAnsi="Calibri"/>
          <w:b w:val="false"/>
          <w:bCs w:val="false"/>
          <w:i w:val="false"/>
          <w:iCs w:val="false"/>
          <w:color w:val="1A1A1A"/>
          <w:sz w:val="22"/>
          <w:szCs w:val="22"/>
        </w:rPr>
        <w:t xml:space="preserve">The Council serves as the Accord’s senior political body, meeting quarterly in ordinary session and on emergency call under the Incident Ladder of Annex C. The Council’s composition follows the participation tiers this Annex sets in Section E.2.</w:t>
      </w:r>
    </w:p>
    <w:p>
      <w:pPr>
        <w:pStyle w:val="Heading2"/>
        <w:spacing w:after="180" w:before="360"/>
      </w:pPr>
      <w:r>
        <w:rPr>
          <w:rFonts w:ascii="Calibri" w:cs="Calibri" w:eastAsia="Calibri" w:hAnsi="Calibri"/>
          <w:b/>
          <w:bCs/>
          <w:color w:val="1B2A4A"/>
          <w:sz w:val="26"/>
          <w:szCs w:val="26"/>
        </w:rPr>
        <w:t xml:space="preserve">E.2 Participation Tiers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900"/>
        <w:gridCol w:w="3200"/>
        <w:gridCol w:w="4200"/>
      </w:tblGrid>
      <w:tr>
        <w:trPr>
          <w:tblHeader/>
        </w:trPr>
        <w:tc>
          <w:tcPr>
            <w:tcW w:type="dxa" w:w="19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Tier</w:t>
            </w:r>
          </w:p>
        </w:tc>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Members</w:t>
            </w:r>
          </w:p>
        </w:tc>
        <w:tc>
          <w:tcPr>
            <w:tcW w:type="dxa" w:w="4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Rights</w:t>
            </w:r>
          </w:p>
        </w:tc>
      </w:tr>
      <w:tr>
        <w:tc>
          <w:tcPr>
            <w:tcW w:type="dxa" w:w="1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Founding Parties (Twin Key)</w:t>
            </w:r>
          </w:p>
        </w:tc>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Oman</w:t>
            </w:r>
          </w:p>
        </w:tc>
        <w:tc>
          <w:tcPr>
            <w:tcW w:type="dxa" w:w="4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Full vote, concurrence authority, amendment initiation</w:t>
            </w:r>
          </w:p>
        </w:tc>
      </w:tr>
      <w:tr>
        <w:tc>
          <w:tcPr>
            <w:tcW w:type="dxa" w:w="1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Observer Members</w:t>
            </w:r>
          </w:p>
        </w:tc>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GCC states, Iraq</w:t>
            </w:r>
          </w:p>
        </w:tc>
        <w:tc>
          <w:tcPr>
            <w:tcW w:type="dxa" w:w="4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Seat, floor access, monitoring access, no vote</w:t>
            </w:r>
          </w:p>
        </w:tc>
      </w:tr>
      <w:tr>
        <w:tc>
          <w:tcPr>
            <w:tcW w:type="dxa" w:w="1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Guarantor / Endorsing Stakeholder</w:t>
            </w:r>
          </w:p>
        </w:tc>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w:t>
            </w:r>
          </w:p>
        </w:tc>
        <w:tc>
          <w:tcPr>
            <w:tcW w:type="dxa" w:w="4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Verification, monitoring, deconfliction access; no vote; no command</w:t>
            </w:r>
          </w:p>
        </w:tc>
      </w:tr>
      <w:tr>
        <w:tc>
          <w:tcPr>
            <w:tcW w:type="dxa" w:w="1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Technical Participants</w:t>
            </w:r>
          </w:p>
        </w:tc>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IMO, IHO, UNMAS, and other designated bodies</w:t>
            </w:r>
          </w:p>
        </w:tc>
        <w:tc>
          <w:tcPr>
            <w:tcW w:type="dxa" w:w="4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Technical input, certification authority within their mandate, no vote</w:t>
            </w:r>
          </w:p>
        </w:tc>
      </w:tr>
      <w:tr>
        <w:tc>
          <w:tcPr>
            <w:tcW w:type="dxa" w:w="1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Associate Parties</w:t>
            </w:r>
          </w:p>
        </w:tc>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GCC states electing deeper accession under Annex L</w:t>
            </w:r>
          </w:p>
        </w:tc>
        <w:tc>
          <w:tcPr>
            <w:tcW w:type="dxa" w:w="4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Geographically or functionally scoped rights as their accession instrument defines</w:t>
            </w:r>
          </w:p>
        </w:tc>
      </w:tr>
      <w:tr>
        <w:tc>
          <w:tcPr>
            <w:tcW w:type="dxa" w:w="1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Non-State Participants</w:t>
            </w:r>
          </w:p>
        </w:tc>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Shipping lines, insurers, energy companies, port authorities</w:t>
            </w:r>
          </w:p>
        </w:tc>
        <w:tc>
          <w:tcPr>
            <w:tcW w:type="dxa" w:w="4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Operational compliance obligations, technical committee participation, no vote</w:t>
            </w:r>
          </w:p>
        </w:tc>
      </w:tr>
    </w:tbl>
    <w:p>
      <w:pPr>
        <w:pStyle w:val="Heading2"/>
        <w:spacing w:after="180" w:before="360"/>
      </w:pPr>
      <w:r>
        <w:rPr>
          <w:rFonts w:ascii="Calibri" w:cs="Calibri" w:eastAsia="Calibri" w:hAnsi="Calibri"/>
          <w:b/>
          <w:bCs/>
          <w:color w:val="1B2A4A"/>
          <w:sz w:val="26"/>
          <w:szCs w:val="26"/>
        </w:rPr>
        <w:t xml:space="preserve">E.3 Decision Rules</w:t>
      </w:r>
    </w:p>
    <w:p>
      <w:pPr>
        <w:spacing w:after="200" w:before="0" w:line="288"/>
        <w:jc w:val="both"/>
      </w:pPr>
      <w:r>
        <w:rPr>
          <w:rFonts w:ascii="Calibri" w:cs="Calibri" w:eastAsia="Calibri" w:hAnsi="Calibri"/>
          <w:b w:val="false"/>
          <w:bCs w:val="false"/>
          <w:i w:val="false"/>
          <w:iCs w:val="false"/>
          <w:color w:val="1A1A1A"/>
          <w:sz w:val="22"/>
          <w:szCs w:val="22"/>
        </w:rPr>
        <w:t xml:space="preserve">The Council decides routine matters on a consensus-minus-one basis, meaning a decision carries when every Party except one concurs and that one Party’s objection does not rest on a Red Line under Annex K. The Council decides critical matters, including Annex K amendments and Core Accord amendments, on a two-thirds supermajority. Corridor-altering decisions activate exclusively through the Twin-Key concurrence of Article 9 and Annex C, independent of the Council’s general voting rules. This Annex excludes a pocket veto: a Party’s silence for the notice period a matter’s category sets constitutes non-objection.</w:t>
      </w:r>
    </w:p>
    <w:p>
      <w:pPr>
        <w:pStyle w:val="Heading2"/>
        <w:spacing w:after="180" w:before="360"/>
      </w:pPr>
      <w:r>
        <w:rPr>
          <w:rFonts w:ascii="Calibri" w:cs="Calibri" w:eastAsia="Calibri" w:hAnsi="Calibri"/>
          <w:b/>
          <w:bCs/>
          <w:color w:val="1B2A4A"/>
          <w:sz w:val="26"/>
          <w:szCs w:val="26"/>
        </w:rPr>
        <w:t xml:space="preserve">E.4 The Secretariat</w:t>
      </w:r>
    </w:p>
    <w:p>
      <w:pPr>
        <w:spacing w:after="200" w:before="0" w:line="288"/>
        <w:jc w:val="both"/>
      </w:pPr>
      <w:r>
        <w:rPr>
          <w:rFonts w:ascii="Calibri" w:cs="Calibri" w:eastAsia="Calibri" w:hAnsi="Calibri"/>
          <w:b w:val="false"/>
          <w:bCs w:val="false"/>
          <w:i w:val="false"/>
          <w:iCs w:val="false"/>
          <w:color w:val="1A1A1A"/>
          <w:sz w:val="22"/>
          <w:szCs w:val="22"/>
        </w:rPr>
        <w:t xml:space="preserve">The Secretariat, seated in Muscat with a mirror facility in Bandar Abbas, runs daily operational coordination across five functional desks: Navigation, Security, Financial, Environmental, and Humanitarian. Each desk convenes a standing daily coordination call and files a one-page status note to the Council. A stalled item escalates automatically to full Council attention within forty-eight hours of its first appearance on a status note.</w:t>
      </w:r>
    </w:p>
    <w:p>
      <w:pPr>
        <w:pStyle w:val="Heading2"/>
        <w:spacing w:after="180" w:before="360"/>
      </w:pPr>
      <w:r>
        <w:rPr>
          <w:rFonts w:ascii="Calibri" w:cs="Calibri" w:eastAsia="Calibri" w:hAnsi="Calibri"/>
          <w:b/>
          <w:bCs/>
          <w:color w:val="1B2A4A"/>
          <w:sz w:val="26"/>
          <w:szCs w:val="26"/>
        </w:rPr>
        <w:t xml:space="preserve">E.5 The Maritime Coordination Center</w:t>
      </w:r>
    </w:p>
    <w:p>
      <w:pPr>
        <w:spacing w:after="200" w:before="0" w:line="288"/>
        <w:jc w:val="both"/>
      </w:pPr>
      <w:r>
        <w:rPr>
          <w:rFonts w:ascii="Calibri" w:cs="Calibri" w:eastAsia="Calibri" w:hAnsi="Calibri"/>
          <w:b w:val="false"/>
          <w:bCs w:val="false"/>
          <w:i w:val="false"/>
          <w:iCs w:val="false"/>
          <w:color w:val="1A1A1A"/>
          <w:sz w:val="22"/>
          <w:szCs w:val="22"/>
        </w:rPr>
        <w:t xml:space="preserve">The Center operates the fused radar and AIS picture of Article 12, the deconfliction hotline network of Annex C, and the Integrated Patrol Rotation’s tasking system. The Center’s staffing draws from Iran, Oman, GCC contributing states, and the United States on a rotating multinational basis, reporting operationally to the Secretariat’s Security desk and politically to the Council.</w:t>
      </w:r>
    </w:p>
    <w:p>
      <w:pPr>
        <w:pStyle w:val="Heading2"/>
        <w:spacing w:after="180" w:before="360"/>
      </w:pPr>
      <w:r>
        <w:rPr>
          <w:rFonts w:ascii="Calibri" w:cs="Calibri" w:eastAsia="Calibri" w:hAnsi="Calibri"/>
          <w:b/>
          <w:bCs/>
          <w:color w:val="1B2A4A"/>
          <w:sz w:val="26"/>
          <w:szCs w:val="26"/>
        </w:rPr>
        <w:t xml:space="preserve">E.6 Institutional Meeting Cadence</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600"/>
        <w:gridCol w:w="4350"/>
      </w:tblGrid>
      <w:tr>
        <w:trPr>
          <w:tblHeader/>
        </w:trPr>
        <w:tc>
          <w:tcPr>
            <w:tcW w:type="dxa" w:w="2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Body</w:t>
            </w:r>
          </w:p>
        </w:tc>
        <w:tc>
          <w:tcPr>
            <w:tcW w:type="dxa" w:w="2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Cadence</w:t>
            </w:r>
          </w:p>
        </w:tc>
        <w:tc>
          <w:tcPr>
            <w:tcW w:type="dxa" w:w="43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Trigger for an Extraordinary Session</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Hormuz Council</w:t>
            </w:r>
          </w:p>
        </w:tc>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Quarterly ordinary session</w:t>
            </w:r>
          </w:p>
        </w:tc>
        <w:tc>
          <w:tcPr>
            <w:tcW w:type="dxa" w:w="4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Incident Ladder Level 4 or 5, or a request from any two Founding or Observer Parties</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Secretariat desks (five, Section E.4)</w:t>
            </w:r>
          </w:p>
        </w:tc>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Daily coordination call, 08:00 Muscat time</w:t>
            </w:r>
          </w:p>
        </w:tc>
        <w:tc>
          <w:tcPr>
            <w:tcW w:type="dxa" w:w="4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stalled item automatically escalates within forty-eight hours</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Maritime Coordination Center</w:t>
            </w:r>
          </w:p>
        </w:tc>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Continuous, twenty-four hours from Day 3</w:t>
            </w:r>
          </w:p>
        </w:tc>
        <w:tc>
          <w:tcPr>
            <w:tcW w:type="dxa" w:w="4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Any Incident Ladder activation</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Regional Tribunal</w:t>
            </w:r>
          </w:p>
        </w:tc>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Convenes per Meso or Macro band filing</w:t>
            </w:r>
          </w:p>
        </w:tc>
        <w:tc>
          <w:tcPr>
            <w:tcW w:type="dxa" w:w="4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Macro-band filing convenes the full five-judge panel within seven days</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Fund Board</w:t>
            </w:r>
          </w:p>
        </w:tc>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Quarterly</w:t>
            </w:r>
          </w:p>
        </w:tc>
        <w:tc>
          <w:tcPr>
            <w:tcW w:type="dxa" w:w="4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forensic audit request convenes an extraordinary review within fourteen days</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Verification and Surveillance Directorate</w:t>
            </w:r>
          </w:p>
        </w:tc>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Continuous monitoring; weekly Escalator certification</w:t>
            </w:r>
          </w:p>
        </w:tc>
        <w:tc>
          <w:tcPr>
            <w:tcW w:type="dxa" w:w="4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Any Tier 3 event or Material Breach classification</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Annex excludes any institutional cadence that leaves a functional body without a standing, published meeting rhythm, so that a Party or a Non-State Participant always knows, without inquiry, when the relevant body next convenes and what triggers an earlier session.</w:t>
      </w:r>
    </w:p>
    <w:p>
      <w:pPr>
        <w:pStyle w:val="Heading2"/>
        <w:spacing w:after="180" w:before="360"/>
      </w:pPr>
      <w:r>
        <w:rPr>
          <w:rFonts w:ascii="Calibri" w:cs="Calibri" w:eastAsia="Calibri" w:hAnsi="Calibri"/>
          <w:b/>
          <w:bCs/>
          <w:color w:val="1B2A4A"/>
          <w:sz w:val="26"/>
          <w:szCs w:val="26"/>
        </w:rPr>
        <w:t xml:space="preserve">E.7 The Verification and Surveillance Directorate</w:t>
      </w:r>
    </w:p>
    <w:p>
      <w:pPr>
        <w:spacing w:after="200" w:before="0" w:line="288"/>
        <w:jc w:val="both"/>
      </w:pPr>
      <w:r>
        <w:rPr>
          <w:rFonts w:ascii="Calibri" w:cs="Calibri" w:eastAsia="Calibri" w:hAnsi="Calibri"/>
          <w:b w:val="false"/>
          <w:bCs w:val="false"/>
          <w:i w:val="false"/>
          <w:iCs w:val="false"/>
          <w:color w:val="1A1A1A"/>
          <w:sz w:val="22"/>
          <w:szCs w:val="22"/>
        </w:rPr>
        <w:t xml:space="preserve">The Directorate administers the Cothrom-Hormuz Verification Method of Annex F, staffed on a multinational basis under the Intelligence Integrity Protocol, which names every data source, logs custody of every piece of evidence, and excludes political tasking of the Directorate’s analytical work by any single Party.</w:t>
      </w:r>
    </w:p>
    <w:p>
      <w:pPr>
        <w:pStyle w:val="Heading2"/>
        <w:spacing w:after="180" w:before="360"/>
      </w:pPr>
      <w:r>
        <w:rPr>
          <w:rFonts w:ascii="Calibri" w:cs="Calibri" w:eastAsia="Calibri" w:hAnsi="Calibri"/>
          <w:b/>
          <w:bCs/>
          <w:color w:val="1B2A4A"/>
          <w:sz w:val="26"/>
          <w:szCs w:val="26"/>
        </w:rPr>
        <w:t xml:space="preserve">E.8 Dispute Resolution: The Three-Band System</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400"/>
        <w:gridCol w:w="2900"/>
        <w:gridCol w:w="2600"/>
        <w:gridCol w:w="2400"/>
      </w:tblGrid>
      <w:tr>
        <w:trPr>
          <w:tblHeader/>
        </w:trPr>
        <w:tc>
          <w:tcPr>
            <w:tcW w:type="dxa" w:w="1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Band</w:t>
            </w:r>
          </w:p>
        </w:tc>
        <w:tc>
          <w:tcPr>
            <w:tcW w:type="dxa" w:w="29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Scope</w:t>
            </w:r>
          </w:p>
        </w:tc>
        <w:tc>
          <w:tcPr>
            <w:tcW w:type="dxa" w:w="2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Forum</w:t>
            </w:r>
          </w:p>
        </w:tc>
        <w:tc>
          <w:tcPr>
            <w:tcW w:type="dxa" w:w="2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Timeline</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Micro</w:t>
            </w:r>
          </w:p>
        </w:tc>
        <w:tc>
          <w:tcPr>
            <w:tcW w:type="dxa" w:w="2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Routine operational disputes (filing errors, minor fee questions)</w:t>
            </w:r>
          </w:p>
        </w:tc>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Secretariat mediation</w:t>
            </w:r>
          </w:p>
        </w:tc>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Fourteen days</w:t>
            </w:r>
          </w:p>
        </w:tc>
      </w:tr>
      <w:tr>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Meso</w:t>
            </w:r>
          </w:p>
        </w:tc>
        <w:tc>
          <w:tcPr>
            <w:tcW w:type="dxa" w:w="2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Corridor-management or fee disputes</w:t>
            </w:r>
          </w:p>
        </w:tc>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Regional Tribunal</w:t>
            </w:r>
          </w:p>
        </w:tc>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Forty-five days</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Macro</w:t>
            </w:r>
          </w:p>
        </w:tc>
        <w:tc>
          <w:tcPr>
            <w:tcW w:type="dxa" w:w="2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Structural or treaty-interpretation disputes</w:t>
            </w:r>
          </w:p>
        </w:tc>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Five-judge Regional Tribunal panel</w:t>
            </w:r>
          </w:p>
        </w:tc>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One hundred twenty days</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The Regional Tribunal seats five judges serving staggered ten-year terms, nominated by the Founding Parties and Observer Members jointly and confirmed by Council consensus-minus-one. The Ombudsman office, holding independent warrant power to investigate a complaint from any Party, Non-State Participant, or member of the public, reports directly to the Council and operates independently of the Secretariat’s operational chain.</w:t>
      </w:r>
    </w:p>
    <w:p>
      <w:pPr>
        <w:spacing w:after="200" w:before="0" w:line="288"/>
        <w:jc w:val="both"/>
      </w:pPr>
      <w:r>
        <w:rPr>
          <w:rFonts w:ascii="Calibri" w:cs="Calibri" w:eastAsia="Calibri" w:hAnsi="Calibri"/>
          <w:b w:val="false"/>
          <w:bCs w:val="false"/>
          <w:i w:val="false"/>
          <w:iCs w:val="false"/>
          <w:color w:val="1A1A1A"/>
          <w:sz w:val="22"/>
          <w:szCs w:val="22"/>
        </w:rPr>
        <w:t xml:space="preserve">Every dispute-resolution mechanism under this Annex operates on a strictly non-kinetic basis. The Fund’s escrow jurisdiction includes a seventy-two-hour override provision and a twenty-five percent forfeiture rule for a Party found in material breach of a Fund-related obligation, and this Annex excludes any provision authorizing force, blockade, or interdiction as a dispute-resolution tool under any circumstance.</w:t>
      </w:r>
    </w:p>
    <w:p>
      <w:pPr>
        <w:pStyle w:val="Heading2"/>
        <w:spacing w:after="180" w:before="360"/>
      </w:pPr>
      <w:r>
        <w:rPr>
          <w:rFonts w:ascii="Calibri" w:cs="Calibri" w:eastAsia="Calibri" w:hAnsi="Calibri"/>
          <w:b/>
          <w:bCs/>
          <w:color w:val="1B2A4A"/>
          <w:sz w:val="26"/>
          <w:szCs w:val="26"/>
        </w:rPr>
        <w:t xml:space="preserve">E.9 The Intermediary Bridge</w:t>
      </w:r>
    </w:p>
    <w:p>
      <w:pPr>
        <w:spacing w:after="200" w:before="0" w:line="288"/>
        <w:jc w:val="both"/>
      </w:pPr>
      <w:r>
        <w:rPr>
          <w:rFonts w:ascii="Calibri" w:cs="Calibri" w:eastAsia="Calibri" w:hAnsi="Calibri"/>
          <w:b w:val="false"/>
          <w:bCs w:val="false"/>
          <w:i w:val="false"/>
          <w:iCs w:val="false"/>
          <w:color w:val="1A1A1A"/>
          <w:sz w:val="22"/>
          <w:szCs w:val="22"/>
        </w:rPr>
        <w:t xml:space="preserve">Where a Founding Party elects not to engage a counterpart directly, correspondence routes through the intermediary channels this Annex designates: Oman serves as Mediator of Record for the operational track, Pakistan serves as the political-track anchor at Islamabad, and Qatar serves as the financial-track anchor. This Annex excludes any requirement of direct contact between Iran and the United States as a precondition for this Accord’s operation, and every indirect exchange logs in full text in the Registry Annex E establishes at Islamabad, alongside the Muscat Depositary record.</w:t>
      </w:r>
    </w:p>
    <w:p>
      <w:pPr>
        <w:pStyle w:val="Heading2"/>
        <w:spacing w:after="180" w:before="360"/>
      </w:pPr>
      <w:r>
        <w:rPr>
          <w:rFonts w:ascii="Calibri" w:cs="Calibri" w:eastAsia="Calibri" w:hAnsi="Calibri"/>
          <w:b/>
          <w:bCs/>
          <w:color w:val="1B2A4A"/>
          <w:sz w:val="26"/>
          <w:szCs w:val="26"/>
        </w:rPr>
        <w:t xml:space="preserve">E.10 Transparency and Public Communication</w:t>
      </w:r>
    </w:p>
    <w:p>
      <w:pPr>
        <w:spacing w:after="200" w:before="0" w:line="288"/>
        <w:jc w:val="both"/>
      </w:pPr>
      <w:r>
        <w:rPr>
          <w:rFonts w:ascii="Calibri" w:cs="Calibri" w:eastAsia="Calibri" w:hAnsi="Calibri"/>
          <w:b w:val="false"/>
          <w:bCs w:val="false"/>
          <w:i w:val="false"/>
          <w:iCs w:val="false"/>
          <w:color w:val="1A1A1A"/>
          <w:sz w:val="22"/>
          <w:szCs w:val="22"/>
        </w:rPr>
        <w:t xml:space="preserve">The Secretariat maintains the public Hormuz Transparency Portal, publishing corridor status, non-classified incident summaries, Fund accounts, and audit findings, mirrored across two independent hosting locations with sixty-second replication and a one-hour failover standard. An accredited-journalist program grants correspondents access to weekly briefings in ordinary periods and daily briefings during a Crisis or Severe Crisis level under Annex C. The Secretariat answers material misinformation about the Accord’s operation within seventy-two hours, publishing corrections in Arabic, Persian, English, and four additional languages the Council designates, together with the underlying evidence.</w:t>
      </w:r>
    </w:p>
    <w:p>
      <w:pPr>
        <w:pStyle w:val="Heading2"/>
        <w:spacing w:after="180" w:before="360"/>
      </w:pPr>
      <w:r>
        <w:rPr>
          <w:rFonts w:ascii="Calibri" w:cs="Calibri" w:eastAsia="Calibri" w:hAnsi="Calibri"/>
          <w:b/>
          <w:bCs/>
          <w:color w:val="1B2A4A"/>
          <w:sz w:val="26"/>
          <w:szCs w:val="26"/>
        </w:rPr>
        <w:t xml:space="preserve">E.11 Worked Example: A Meso-Band Fee Dispute</w:t>
      </w:r>
    </w:p>
    <w:p>
      <w:pPr>
        <w:spacing w:after="200" w:before="0" w:line="288"/>
        <w:jc w:val="both"/>
      </w:pPr>
      <w:r>
        <w:rPr>
          <w:rFonts w:ascii="Calibri" w:cs="Calibri" w:eastAsia="Calibri" w:hAnsi="Calibri"/>
          <w:b w:val="false"/>
          <w:bCs w:val="false"/>
          <w:i w:val="false"/>
          <w:iCs w:val="false"/>
          <w:color w:val="1A1A1A"/>
          <w:sz w:val="22"/>
          <w:szCs w:val="22"/>
        </w:rPr>
        <w:t xml:space="preserve">A GCC-flagged shipping line disputes an Insurance Channel deduction it considers inconsistent with the published rate schedule of Annex D. The line files a Meso-band claim, since the dispute concerns fee administration rather than a routine operational matter. The Regional Tribunal opens the file, requests the Fund’s transaction record and the line’s premium documentation, and schedules a hearing within the forty-five-day Meso-band window of Section E.7. The Tribunal finds the deduction consistent with the published rate once the Green Discount adjustment under Annex H Section H.5 is correctly applied, a step the initial calculation omitted, and orders the Fund to issue a corrective credit within fourteen days. The Fund publishes the correction and the underlying calculation on the Transparency Portal, and the line’s subsequent transits apply the corrected rate automatically. This example illustrates the Meso band’s ordinary function: resolving a genuine but bounded administrative dispute quickly, on the documentary record, without escalating to the Macro band’s five-judge panel or generating any Escalator or compliance-tier consequence for either the Fund or the line.</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F</w:t>
      </w:r>
      <w:r>
        <w:rPr>
          <w:rFonts w:ascii="Calibri" w:cs="Calibri" w:eastAsia="Calibri" w:hAnsi="Calibri"/>
          <w:b/>
          <w:bCs/>
          <w:color w:val="1B2A4A"/>
          <w:sz w:val="30"/>
          <w:szCs w:val="30"/>
        </w:rPr>
        <w:br/>
        <w:t xml:space="preserve">  The Cothrom-Hormuz Verification Method</w:t>
      </w:r>
    </w:p>
    <w:p>
      <w:pPr>
        <w:spacing w:after="200" w:before="0" w:line="288"/>
        <w:jc w:val="both"/>
      </w:pPr>
      <w:r>
        <w:rPr>
          <w:rFonts w:ascii="Calibri" w:cs="Calibri" w:eastAsia="Calibri" w:hAnsi="Calibri"/>
          <w:b w:val="false"/>
          <w:bCs w:val="false"/>
          <w:i w:val="false"/>
          <w:iCs w:val="false"/>
          <w:color w:val="1A1A1A"/>
          <w:sz w:val="22"/>
          <w:szCs w:val="22"/>
        </w:rPr>
        <w:t xml:space="preserve">"Cothrom" is the Irish word for equal, balanced, level, and fair. This Method adapts the Cothrom Verification Method’s core architecture, originally built for complex stabilization frameworks generally, to the specific operational needs of a maritime traffic and safety system. It treats verification as a reciprocal function: every Party invests in the monitoring system, every Party submits to the same review standard, and every Party retains a defined path back to full standing after a violation.</w:t>
      </w:r>
    </w:p>
    <w:p>
      <w:pPr>
        <w:pStyle w:val="Heading2"/>
        <w:spacing w:after="180" w:before="360"/>
      </w:pPr>
      <w:r>
        <w:rPr>
          <w:rFonts w:ascii="Calibri" w:cs="Calibri" w:eastAsia="Calibri" w:hAnsi="Calibri"/>
          <w:b/>
          <w:bCs/>
          <w:color w:val="1B2A4A"/>
          <w:sz w:val="26"/>
          <w:szCs w:val="26"/>
        </w:rPr>
        <w:t xml:space="preserve">F.1 Operating Principle</w:t>
      </w:r>
    </w:p>
    <w:p>
      <w:pPr>
        <w:spacing w:after="200" w:before="0" w:line="288"/>
        <w:jc w:val="both"/>
      </w:pPr>
      <w:r>
        <w:rPr>
          <w:rFonts w:ascii="Calibri" w:cs="Calibri" w:eastAsia="Calibri" w:hAnsi="Calibri"/>
          <w:b w:val="false"/>
          <w:bCs w:val="false"/>
          <w:i w:val="false"/>
          <w:iCs w:val="false"/>
          <w:color w:val="1A1A1A"/>
          <w:sz w:val="22"/>
          <w:szCs w:val="22"/>
        </w:rPr>
        <w:t xml:space="preserve">The corridor system does not collapse upon a breach. It absorbs the breach through a graduated, proportionate response. A minor infraction produces a minor consequence. Humanitarian flows remain absolute and untouched by any tier of consequence. Sustained compliance restores full standing automatically. This Annex excludes any mechanism producing permanent exclusion from a single violation.</w:t>
      </w:r>
    </w:p>
    <w:p>
      <w:pPr>
        <w:pStyle w:val="Heading2"/>
        <w:spacing w:after="180" w:before="360"/>
      </w:pPr>
      <w:r>
        <w:rPr>
          <w:rFonts w:ascii="Calibri" w:cs="Calibri" w:eastAsia="Calibri" w:hAnsi="Calibri"/>
          <w:b/>
          <w:bCs/>
          <w:color w:val="1B2A4A"/>
          <w:sz w:val="26"/>
          <w:szCs w:val="26"/>
        </w:rPr>
        <w:t xml:space="preserve">F.2 Data Infrastructure</w:t>
      </w:r>
    </w:p>
    <w:p>
      <w:pPr>
        <w:spacing w:after="200" w:before="0" w:line="288"/>
        <w:jc w:val="both"/>
      </w:pPr>
      <w:r>
        <w:rPr>
          <w:rFonts w:ascii="Calibri" w:cs="Calibri" w:eastAsia="Calibri" w:hAnsi="Calibri"/>
          <w:b w:val="false"/>
          <w:bCs w:val="false"/>
          <w:i w:val="false"/>
          <w:iCs w:val="false"/>
          <w:color w:val="1A1A1A"/>
          <w:sz w:val="22"/>
          <w:szCs w:val="22"/>
        </w:rPr>
        <w:t xml:space="preserve">Upon this Accord’s activation, the following systems begin continuous operation: the fused radar and AIS picture of Article 12; the Shared Digital Registry, logging every track, filing, and incident with cryptographic chain-of-custody; the Joint Coordination Center, staffed twenty-four hours from Day 3 of activation; and the Third-Party Telemetry Tie-Breaker, an independent commercial data provider under contract to the Fund’s Swiss administrator, activating automatically upon detection of a conflict between Iranian and Omani data feeds.</w:t>
      </w:r>
    </w:p>
    <w:p>
      <w:pPr>
        <w:spacing w:after="200" w:before="0" w:line="288"/>
        <w:jc w:val="both"/>
      </w:pPr>
      <w:r>
        <w:rPr>
          <w:rFonts w:ascii="Calibri" w:cs="Calibri" w:eastAsia="Calibri" w:hAnsi="Calibri"/>
          <w:b w:val="false"/>
          <w:bCs w:val="false"/>
          <w:i w:val="false"/>
          <w:iCs w:val="false"/>
          <w:color w:val="1A1A1A"/>
          <w:sz w:val="22"/>
          <w:szCs w:val="22"/>
        </w:rPr>
        <w:t xml:space="preserve">All data transmits to every Party with identical latency. This Annex excludes preferential access, early notification, or an exclusive feed for any single Party. The Registry retains logged data for a minimum of five years, and either Founding Party requests an independent forensic audit of any data segment at any time, on the terms Annex D’s auditing procedure sets.</w:t>
      </w:r>
    </w:p>
    <w:p>
      <w:pPr>
        <w:pStyle w:val="Heading2"/>
        <w:spacing w:after="180" w:before="360"/>
      </w:pPr>
      <w:r>
        <w:rPr>
          <w:rFonts w:ascii="Calibri" w:cs="Calibri" w:eastAsia="Calibri" w:hAnsi="Calibri"/>
          <w:b/>
          <w:bCs/>
          <w:color w:val="1B2A4A"/>
          <w:sz w:val="26"/>
          <w:szCs w:val="26"/>
        </w:rPr>
        <w:t xml:space="preserve">F.3 Alert Severity and the Four-Tier System</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2300"/>
        <w:gridCol w:w="3400"/>
        <w:gridCol w:w="2300"/>
      </w:tblGrid>
      <w:tr>
        <w:trPr>
          <w:tblHeader/>
        </w:trPr>
        <w:tc>
          <w:tcPr>
            <w:tcW w:type="dxa" w:w="13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Tier</w:t>
            </w:r>
          </w:p>
        </w:tc>
        <w:tc>
          <w:tcPr>
            <w:tcW w:type="dxa" w:w="23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Category</w:t>
            </w:r>
          </w:p>
        </w:tc>
        <w:tc>
          <w:tcPr>
            <w:tcW w:type="dxa" w:w="3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Example</w:t>
            </w:r>
          </w:p>
        </w:tc>
        <w:tc>
          <w:tcPr>
            <w:tcW w:type="dxa" w:w="23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Consequence</w:t>
            </w:r>
          </w:p>
        </w:tc>
      </w:tr>
      <w:tr>
        <w:tc>
          <w:tcPr>
            <w:tcW w:type="dxa" w:w="1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0</w:t>
            </w:r>
          </w:p>
        </w:tc>
        <w:tc>
          <w:tcPr>
            <w:tcW w:type="dxa" w:w="2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Advisory</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Sensor maintenance, minor transmission gap</w:t>
            </w:r>
          </w:p>
        </w:tc>
        <w:tc>
          <w:tcPr>
            <w:tcW w:type="dxa" w:w="2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None; automatic logging only</w:t>
            </w:r>
          </w:p>
        </w:tc>
      </w:tr>
      <w:tr>
        <w:tc>
          <w:tcPr>
            <w:tcW w:type="dxa" w:w="1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w:t>
            </w:r>
          </w:p>
        </w:tc>
        <w:tc>
          <w:tcPr>
            <w:tcW w:type="dxa" w:w="2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Technical</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Single anomalous reading, minor filing error</w:t>
            </w:r>
          </w:p>
        </w:tc>
        <w:tc>
          <w:tcPr>
            <w:tcW w:type="dxa" w:w="2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Corrective action only, no penalty</w:t>
            </w:r>
          </w:p>
        </w:tc>
      </w:tr>
      <w:tr>
        <w:tc>
          <w:tcPr>
            <w:tcW w:type="dxa" w:w="1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w:t>
            </w:r>
          </w:p>
        </w:tc>
        <w:tc>
          <w:tcPr>
            <w:tcW w:type="dxa" w:w="2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Material</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Pattern of anomalies, repeated filing failures, negligence</w:t>
            </w:r>
          </w:p>
        </w:tc>
        <w:tc>
          <w:tcPr>
            <w:tcW w:type="dxa" w:w="2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Escalator pause under Article 8; benefit adjustment</w:t>
            </w:r>
          </w:p>
        </w:tc>
      </w:tr>
      <w:tr>
        <w:tc>
          <w:tcPr>
            <w:tcW w:type="dxa" w:w="1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w:t>
            </w:r>
          </w:p>
        </w:tc>
        <w:tc>
          <w:tcPr>
            <w:tcW w:type="dxa" w:w="2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Architectural Breach</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Interdiction, mine-laying, toll imposition, deliberate data tampering</w:t>
            </w:r>
          </w:p>
        </w:tc>
        <w:tc>
          <w:tcPr>
            <w:tcW w:type="dxa" w:w="2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Full consequence; escalator reset; Council emergency session</w:t>
            </w:r>
          </w:p>
        </w:tc>
      </w:tr>
    </w:tbl>
    <w:p>
      <w:pPr>
        <w:spacing w:after="200" w:before="0" w:line="288"/>
        <w:jc w:val="both"/>
      </w:pPr>
      <w:r>
        <w:rPr>
          <w:rFonts w:ascii="Calibri" w:cs="Calibri" w:eastAsia="Calibri" w:hAnsi="Calibri"/>
          <w:b w:val="false"/>
          <w:bCs w:val="false"/>
          <w:i w:val="false"/>
          <w:iCs w:val="false"/>
          <w:color w:val="1A1A1A"/>
          <w:sz w:val="22"/>
          <w:szCs w:val="22"/>
        </w:rPr>
        <w:t xml:space="preserve">Only a Tier 2 or Tier 3 classification carries a consequence under Article 8’s Good-Behavior Escalator. A Tier 0 or Tier 1 event resolves entirely through technical channels, keeping ordinary operational friction, weather delays, and minor equipment faults out of the compliance system altogether.</w:t>
      </w:r>
    </w:p>
    <w:p>
      <w:pPr>
        <w:pStyle w:val="Heading2"/>
        <w:spacing w:after="180" w:before="360"/>
      </w:pPr>
      <w:r>
        <w:rPr>
          <w:rFonts w:ascii="Calibri" w:cs="Calibri" w:eastAsia="Calibri" w:hAnsi="Calibri"/>
          <w:b/>
          <w:bCs/>
          <w:color w:val="1B2A4A"/>
          <w:sz w:val="26"/>
          <w:szCs w:val="26"/>
        </w:rPr>
        <w:t xml:space="preserve">F.4 The Verification Panel</w:t>
      </w:r>
    </w:p>
    <w:p>
      <w:pPr>
        <w:spacing w:after="200" w:before="0" w:line="288"/>
        <w:jc w:val="both"/>
      </w:pPr>
      <w:r>
        <w:rPr>
          <w:rFonts w:ascii="Calibri" w:cs="Calibri" w:eastAsia="Calibri" w:hAnsi="Calibri"/>
          <w:b w:val="false"/>
          <w:bCs w:val="false"/>
          <w:i w:val="false"/>
          <w:iCs w:val="false"/>
          <w:color w:val="1A1A1A"/>
          <w:sz w:val="22"/>
          <w:szCs w:val="22"/>
        </w:rPr>
        <w:t xml:space="preserve">A contested claim of compliance or breach goes before a three-member Verification Panel, drawn from the Third-Party Expert Pool the Directorate maintains, with one member nominated by each Founding Party and one neutral chair the Swiss administrator selects. The Panel reviews evidence from the Shared Digital Registry, the Third-Party Telemetry Tie-Breaker, and any Party submission, and issues a determination within seventy-two hours of a standard claim or twelve hours of an expedited claim.</w:t>
      </w:r>
    </w:p>
    <w:p>
      <w:pPr>
        <w:spacing w:after="200" w:before="0" w:line="288"/>
        <w:jc w:val="both"/>
      </w:pPr>
      <w:r>
        <w:rPr>
          <w:rFonts w:ascii="Calibri" w:cs="Calibri" w:eastAsia="Calibri" w:hAnsi="Calibri"/>
          <w:b w:val="false"/>
          <w:bCs w:val="false"/>
          <w:i w:val="false"/>
          <w:iCs w:val="false"/>
          <w:color w:val="1A1A1A"/>
          <w:sz w:val="22"/>
          <w:szCs w:val="22"/>
        </w:rPr>
        <w:t xml:space="preserve">An expedited track activates automatically upon Duty Officer classification of an incident as priority, covering potential interdiction, environmental emergency, or search-and-rescue activation, compressing every subsequent deadline in this Section to a fraction of the standard timeline and doubling the credit value of a verified claim under the expedited track.</w:t>
      </w:r>
    </w:p>
    <w:p>
      <w:pPr>
        <w:pStyle w:val="Heading2"/>
        <w:spacing w:after="180" w:before="360"/>
      </w:pPr>
      <w:r>
        <w:rPr>
          <w:rFonts w:ascii="Calibri" w:cs="Calibri" w:eastAsia="Calibri" w:hAnsi="Calibri"/>
          <w:b/>
          <w:bCs/>
          <w:color w:val="1B2A4A"/>
          <w:sz w:val="26"/>
          <w:szCs w:val="26"/>
        </w:rPr>
        <w:t xml:space="preserve">F.5 Inconclusive Determinations and Counter-Evidence Review</w:t>
      </w:r>
    </w:p>
    <w:p>
      <w:pPr>
        <w:spacing w:after="200" w:before="0" w:line="288"/>
        <w:jc w:val="both"/>
      </w:pPr>
      <w:r>
        <w:rPr>
          <w:rFonts w:ascii="Calibri" w:cs="Calibri" w:eastAsia="Calibri" w:hAnsi="Calibri"/>
          <w:b w:val="false"/>
          <w:bCs w:val="false"/>
          <w:i w:val="false"/>
          <w:iCs w:val="false"/>
          <w:color w:val="1A1A1A"/>
          <w:sz w:val="22"/>
          <w:szCs w:val="22"/>
        </w:rPr>
        <w:t xml:space="preserve">A Panel determination classified as inconclusive triggers a Counter-Evidence Review: a hearing within forty-eight hours, at which the claimant Party presents additional evidence and the responding Party presents counter-evidence, each within twenty-four hours of the hearing notice. The Panel issues a final determination within twenty-four hours of the hearing, closing the claim permanently. A claim remaining inconclusive after this Review receives fifty percent credit, with no Party awarded a bonus or a penalty.</w:t>
      </w:r>
    </w:p>
    <w:p>
      <w:pPr>
        <w:pStyle w:val="Heading2"/>
        <w:spacing w:after="180" w:before="360"/>
      </w:pPr>
      <w:r>
        <w:rPr>
          <w:rFonts w:ascii="Calibri" w:cs="Calibri" w:eastAsia="Calibri" w:hAnsi="Calibri"/>
          <w:b/>
          <w:bCs/>
          <w:color w:val="1B2A4A"/>
          <w:sz w:val="26"/>
          <w:szCs w:val="26"/>
        </w:rPr>
        <w:t xml:space="preserve">F.6 Step-Back and Earn-Back</w:t>
      </w:r>
    </w:p>
    <w:p>
      <w:pPr>
        <w:spacing w:after="200" w:before="0" w:line="288"/>
        <w:jc w:val="both"/>
      </w:pPr>
      <w:r>
        <w:rPr>
          <w:rFonts w:ascii="Calibri" w:cs="Calibri" w:eastAsia="Calibri" w:hAnsi="Calibri"/>
          <w:b w:val="false"/>
          <w:bCs w:val="false"/>
          <w:i w:val="false"/>
          <w:iCs w:val="false"/>
          <w:color w:val="1A1A1A"/>
          <w:sz w:val="22"/>
          <w:szCs w:val="22"/>
        </w:rPr>
        <w:t xml:space="preserve">Every consequence under this Annex is proportionate, published, and reversible. A Tier 2 event pauses the Good-Behavior Escalator for seven days without erasing weight already earned. A Tier 3 event resets the Escalator to its prior milestone, and a verified hostile attack resets it to the Article 8 baseline. In every case, the earn-back pathway reopens immediately: a fresh run of clean weeks under the standard schedule restores the lost weight automatically, without requiring a separate political concession or Council vote.</w:t>
      </w:r>
    </w:p>
    <w:p>
      <w:pPr>
        <w:spacing w:after="200" w:before="0" w:line="288"/>
        <w:jc w:val="both"/>
      </w:pPr>
      <w:r>
        <w:rPr>
          <w:rFonts w:ascii="Calibri" w:cs="Calibri" w:eastAsia="Calibri" w:hAnsi="Calibri"/>
          <w:b w:val="false"/>
          <w:bCs w:val="false"/>
          <w:i w:val="false"/>
          <w:iCs w:val="false"/>
          <w:color w:val="1A1A1A"/>
          <w:sz w:val="22"/>
          <w:szCs w:val="22"/>
        </w:rPr>
        <w:t xml:space="preserve">A Party accumulating "Good-Behavior Credits" from a sustained run of clean weeks banks those credits, drawing on them to offset a future pause without losing escalator momentum, on the schedule Annex G sets. Credits expire thirty-six months after issuance.</w:t>
      </w:r>
    </w:p>
    <w:p>
      <w:pPr>
        <w:pStyle w:val="Heading2"/>
        <w:spacing w:after="180" w:before="360"/>
      </w:pPr>
      <w:r>
        <w:rPr>
          <w:rFonts w:ascii="Calibri" w:cs="Calibri" w:eastAsia="Calibri" w:hAnsi="Calibri"/>
          <w:b/>
          <w:bCs/>
          <w:color w:val="1B2A4A"/>
          <w:sz w:val="26"/>
          <w:szCs w:val="26"/>
        </w:rPr>
        <w:t xml:space="preserve">F.7 The Humanitarian Firewall</w:t>
      </w:r>
    </w:p>
    <w:p>
      <w:pPr>
        <w:spacing w:after="200" w:before="0" w:line="288"/>
        <w:jc w:val="both"/>
      </w:pPr>
      <w:r>
        <w:rPr>
          <w:rFonts w:ascii="Calibri" w:cs="Calibri" w:eastAsia="Calibri" w:hAnsi="Calibri"/>
          <w:b w:val="false"/>
          <w:bCs w:val="false"/>
          <w:i w:val="false"/>
          <w:iCs w:val="false"/>
          <w:color w:val="1A1A1A"/>
          <w:sz w:val="22"/>
          <w:szCs w:val="22"/>
        </w:rPr>
        <w:t xml:space="preserve">This Annex excludes any tier consequence, penalty, or dispute outcome that touches a certified humanitarian flow under Annex I. The Humanitarian Firewall operates absolutely, without exception, and prevails over every other provision of this Annex including an active Tier 3 event or emergency Council session.</w:t>
      </w:r>
    </w:p>
    <w:p>
      <w:pPr>
        <w:pStyle w:val="Heading2"/>
        <w:spacing w:after="180" w:before="360"/>
      </w:pPr>
      <w:r>
        <w:rPr>
          <w:rFonts w:ascii="Calibri" w:cs="Calibri" w:eastAsia="Calibri" w:hAnsi="Calibri"/>
          <w:b/>
          <w:bCs/>
          <w:color w:val="1B2A4A"/>
          <w:sz w:val="26"/>
          <w:szCs w:val="26"/>
        </w:rPr>
        <w:t xml:space="preserve">F.8 Material Breach Protocol</w:t>
      </w:r>
    </w:p>
    <w:p>
      <w:pPr>
        <w:spacing w:after="200" w:before="0" w:line="288"/>
        <w:jc w:val="both"/>
      </w:pPr>
      <w:r>
        <w:rPr>
          <w:rFonts w:ascii="Calibri" w:cs="Calibri" w:eastAsia="Calibri" w:hAnsi="Calibri"/>
          <w:b w:val="false"/>
          <w:bCs w:val="false"/>
          <w:i w:val="false"/>
          <w:iCs w:val="false"/>
          <w:color w:val="1A1A1A"/>
          <w:sz w:val="22"/>
          <w:szCs w:val="22"/>
        </w:rPr>
        <w:t xml:space="preserve">This Annex classifies the following as Material Breach: deliberate jamming or interference with the radar or AIS feed; deliberate refusal to transmit data to the Shared Digital Registry; failure to maintain Joint Coordination Center staffing at the minimum level for more than seventy-two consecutive hours; and persistent data-quality failure below the signal-to-noise or format standard the technical schedule sets. A Material Breach triggers logging with supporting telemetry, Chief Technical Officer confirmation within forty-eight hours, and an emergency Council mediation session within seventy-two hours of confirmation. Technical monitoring continues throughout a Material Breach dispute, and this Annex excludes suspension of data transmission or Center staffing by any Party during the dispute.</w:t>
      </w:r>
    </w:p>
    <w:p>
      <w:pPr>
        <w:pStyle w:val="Heading2"/>
        <w:spacing w:after="180" w:before="360"/>
      </w:pPr>
      <w:r>
        <w:rPr>
          <w:rFonts w:ascii="Calibri" w:cs="Calibri" w:eastAsia="Calibri" w:hAnsi="Calibri"/>
          <w:b/>
          <w:bCs/>
          <w:color w:val="1B2A4A"/>
          <w:sz w:val="26"/>
          <w:szCs w:val="26"/>
        </w:rPr>
        <w:t xml:space="preserve">F.9 Human Judgment Above Automation</w:t>
      </w:r>
    </w:p>
    <w:p>
      <w:pPr>
        <w:spacing w:after="200" w:before="0" w:line="288"/>
        <w:jc w:val="both"/>
      </w:pPr>
      <w:r>
        <w:rPr>
          <w:rFonts w:ascii="Calibri" w:cs="Calibri" w:eastAsia="Calibri" w:hAnsi="Calibri"/>
          <w:b w:val="false"/>
          <w:bCs w:val="false"/>
          <w:i w:val="false"/>
          <w:iCs w:val="false"/>
          <w:color w:val="1A1A1A"/>
          <w:sz w:val="22"/>
          <w:szCs w:val="22"/>
        </w:rPr>
        <w:t xml:space="preserve">Automated systems flag anomalies and compile evidence. A human Verification Panel decides every consequence that carries an escalator or compliance effect. This Annex excludes an automated system’s authority to impose a Tier 2 or Tier 3 classification without human Panel review, keeping algorithmic output in an advisory role throughout the verification chain.</w:t>
      </w:r>
    </w:p>
    <w:p>
      <w:pPr>
        <w:pStyle w:val="Heading2"/>
        <w:spacing w:after="180" w:before="360"/>
      </w:pPr>
      <w:r>
        <w:rPr>
          <w:rFonts w:ascii="Calibri" w:cs="Calibri" w:eastAsia="Calibri" w:hAnsi="Calibri"/>
          <w:b/>
          <w:bCs/>
          <w:color w:val="1B2A4A"/>
          <w:sz w:val="26"/>
          <w:szCs w:val="26"/>
        </w:rPr>
        <w:t xml:space="preserve">F.10 Worked Example: An AIS Gap Investigated</w:t>
      </w:r>
    </w:p>
    <w:p>
      <w:pPr>
        <w:spacing w:after="200" w:before="0" w:line="288"/>
        <w:jc w:val="both"/>
      </w:pPr>
      <w:r>
        <w:rPr>
          <w:rFonts w:ascii="Calibri" w:cs="Calibri" w:eastAsia="Calibri" w:hAnsi="Calibri"/>
          <w:b w:val="false"/>
          <w:bCs w:val="false"/>
          <w:i w:val="false"/>
          <w:iCs w:val="false"/>
          <w:color w:val="1A1A1A"/>
          <w:sz w:val="22"/>
          <w:szCs w:val="22"/>
        </w:rPr>
        <w:t xml:space="preserve">A tanker transiting the Outbound Corridor drops off AIS for ninety minutes during a documented equipment fault. The Joint Coordination Center’s automated system flags the gap and opens a Level 2 Technical Review file automatically. The review confirms the vessel’s own maintenance log, cross-checked against the Third-Party Telemetry Tie-Breaker’s independent commercial feed, which continued tracking the vessel’s position through the gap via satellite correlation. The Directorate closes the file within the seven-day Level 2 window, records a Tier 0 Advisory classification, and the vessel’s subsequent transits proceed without any Escalator, fee, or compliance effect. This example illustrates the ordinary case: the overwhelming majority of AIS gaps resolve at Tier 0 or Tier 1, through the technical channel alone, exactly as Section F.3 intends, keeping the compliance system’s attention on the rare pattern or deliberate act rather than on routine equipment variance.</w:t>
      </w:r>
    </w:p>
    <w:p>
      <w:pPr>
        <w:pStyle w:val="Heading2"/>
        <w:spacing w:after="180" w:before="360"/>
      </w:pPr>
      <w:r>
        <w:rPr>
          <w:rFonts w:ascii="Calibri" w:cs="Calibri" w:eastAsia="Calibri" w:hAnsi="Calibri"/>
          <w:b/>
          <w:bCs/>
          <w:color w:val="1B2A4A"/>
          <w:sz w:val="26"/>
          <w:szCs w:val="26"/>
        </w:rPr>
        <w:t xml:space="preserve">F.11 Worked Example: A Contested Tier 2 Claim</w:t>
      </w:r>
    </w:p>
    <w:p>
      <w:pPr>
        <w:spacing w:after="200" w:before="0" w:line="288"/>
        <w:jc w:val="both"/>
      </w:pPr>
      <w:r>
        <w:rPr>
          <w:rFonts w:ascii="Calibri" w:cs="Calibri" w:eastAsia="Calibri" w:hAnsi="Calibri"/>
          <w:b w:val="false"/>
          <w:bCs w:val="false"/>
          <w:i w:val="false"/>
          <w:iCs w:val="false"/>
          <w:color w:val="1A1A1A"/>
          <w:sz w:val="22"/>
          <w:szCs w:val="22"/>
        </w:rPr>
        <w:t xml:space="preserve">Iran’s Inbound Corridor administration logs a vessel deviating from its filed corridor track for twenty minutes without notification. Oman’s observers, reviewing the fused picture, classify the deviation as a possible Tier 2 pattern event, since it is the vessel’s second unexplained deviation within the same Escalator week. Iran contests the classification, presenting weather data showing a sudden squall in the deviation’s timeframe. The claim proceeds to the three-member Verification Panel under Section F.4, which reviews the Registry’s weather feed alongside the AIS track and, within the standard seventy-two-hour window, issues a determination that the deviation qualifies as a weather-related safety action rather than a compliance pattern. The Panel classifies the event as Tier 0, and the Escalator week in progress at the time of the claim continues toward certification as a clean week under Annex G, undisturbed by an event the evidence ultimately excuses.</w:t>
      </w:r>
    </w:p>
    <w:p>
      <w:pPr>
        <w:pStyle w:val="Heading2"/>
        <w:spacing w:after="180" w:before="360"/>
      </w:pPr>
      <w:r>
        <w:rPr>
          <w:rFonts w:ascii="Calibri" w:cs="Calibri" w:eastAsia="Calibri" w:hAnsi="Calibri"/>
          <w:b/>
          <w:bCs/>
          <w:color w:val="1B2A4A"/>
          <w:sz w:val="26"/>
          <w:szCs w:val="26"/>
        </w:rPr>
        <w:t xml:space="preserve">F.12 Declassification</w:t>
      </w:r>
    </w:p>
    <w:p>
      <w:pPr>
        <w:spacing w:after="200" w:before="0" w:line="288"/>
        <w:jc w:val="both"/>
      </w:pPr>
      <w:r>
        <w:rPr>
          <w:rFonts w:ascii="Calibri" w:cs="Calibri" w:eastAsia="Calibri" w:hAnsi="Calibri"/>
          <w:b w:val="false"/>
          <w:bCs w:val="false"/>
          <w:i w:val="false"/>
          <w:iCs w:val="false"/>
          <w:color w:val="1A1A1A"/>
          <w:sz w:val="22"/>
          <w:szCs w:val="22"/>
        </w:rPr>
        <w:t xml:space="preserve">This Method and the operational data the Registry logs declassify and enter the public domain on the first anniversary of Gate Seven certification under Annex J, subject to redaction of Joint Coordination Center personnel’s personal identifying information. The Founding Parties jointly extend this declassification date by written notice, for a maximum of two extensions and a maximum total classification period of three years from the original trigger date.</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G</w:t>
      </w:r>
      <w:r>
        <w:rPr>
          <w:rFonts w:ascii="Calibri" w:cs="Calibri" w:eastAsia="Calibri" w:hAnsi="Calibri"/>
          <w:b/>
          <w:bCs/>
          <w:color w:val="1B2A4A"/>
          <w:sz w:val="30"/>
          <w:szCs w:val="30"/>
        </w:rPr>
        <w:br/>
        <w:t xml:space="preserve">  The Good-Behavior Escalator</w:t>
      </w:r>
    </w:p>
    <w:p>
      <w:pPr>
        <w:spacing w:after="200" w:before="0" w:line="288"/>
        <w:jc w:val="both"/>
      </w:pPr>
      <w:r>
        <w:rPr>
          <w:rFonts w:ascii="Calibri" w:cs="Calibri" w:eastAsia="Calibri" w:hAnsi="Calibri"/>
          <w:b w:val="false"/>
          <w:bCs w:val="false"/>
          <w:i w:val="false"/>
          <w:iCs w:val="false"/>
          <w:color w:val="1A1A1A"/>
          <w:sz w:val="22"/>
          <w:szCs w:val="22"/>
        </w:rPr>
        <w:t xml:space="preserve">This Annex operationalizes Article 8. The Escalator converts the standoff between "Iran opens the Strait first" and "the United States lifts the blockade first" into a system where both actions proceed together, and where Iran’s functional authority grows through demonstrated, verified performance rather than through a single, contested, one-time grant.</w:t>
      </w:r>
    </w:p>
    <w:p>
      <w:pPr>
        <w:pStyle w:val="Heading2"/>
        <w:spacing w:after="180" w:before="360"/>
      </w:pPr>
      <w:r>
        <w:rPr>
          <w:rFonts w:ascii="Calibri" w:cs="Calibri" w:eastAsia="Calibri" w:hAnsi="Calibri"/>
          <w:b/>
          <w:bCs/>
          <w:color w:val="1B2A4A"/>
          <w:sz w:val="26"/>
          <w:szCs w:val="26"/>
        </w:rPr>
        <w:t xml:space="preserve">G.1 Why a Sunrise Clause Rather Than a Sunset Clause</w:t>
      </w:r>
    </w:p>
    <w:p>
      <w:pPr>
        <w:spacing w:after="200" w:before="0" w:line="288"/>
        <w:jc w:val="both"/>
      </w:pPr>
      <w:r>
        <w:rPr>
          <w:rFonts w:ascii="Calibri" w:cs="Calibri" w:eastAsia="Calibri" w:hAnsi="Calibri"/>
          <w:b w:val="false"/>
          <w:bCs w:val="false"/>
          <w:i w:val="false"/>
          <w:iCs w:val="false"/>
          <w:color w:val="1A1A1A"/>
          <w:sz w:val="22"/>
          <w:szCs w:val="22"/>
        </w:rPr>
        <w:t xml:space="preserve">A conventional agreement uses a sunset structure: a Party loses a benefit if it fails to meet a condition. This Annex inverts that structure. Iran starts with a meaningful, immediate functional role and gains more through sustained good performance. This sunrise structure aligns each Party’s incentive toward compliance rather than toward brinkmanship, and it gives every Party, including domestic audiences in Tehran, Washington, and the Gulf capitals, a visible, concrete, and steadily advancing marker of progress.</w:t>
      </w:r>
    </w:p>
    <w:p>
      <w:pPr>
        <w:pStyle w:val="Heading2"/>
        <w:spacing w:after="180" w:before="360"/>
      </w:pPr>
      <w:r>
        <w:rPr>
          <w:rFonts w:ascii="Calibri" w:cs="Calibri" w:eastAsia="Calibri" w:hAnsi="Calibri"/>
          <w:b/>
          <w:bCs/>
          <w:color w:val="1B2A4A"/>
          <w:sz w:val="26"/>
          <w:szCs w:val="26"/>
        </w:rPr>
        <w:t xml:space="preserve">G.2 The Weekly Schedule</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400"/>
        <w:gridCol w:w="3400"/>
        <w:gridCol w:w="4550"/>
      </w:tblGrid>
      <w:tr>
        <w:trPr>
          <w:tblHeader/>
        </w:trPr>
        <w:tc>
          <w:tcPr>
            <w:tcW w:type="dxa" w:w="1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Week</w:t>
            </w:r>
          </w:p>
        </w:tc>
        <w:tc>
          <w:tcPr>
            <w:tcW w:type="dxa" w:w="3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Functional Control Weight</w:t>
            </w:r>
          </w:p>
        </w:tc>
        <w:tc>
          <w:tcPr>
            <w:tcW w:type="dxa" w:w="45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Trigger</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0 (Signature)</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33%</w:t>
            </w:r>
          </w:p>
        </w:tc>
        <w:tc>
          <w:tcPr>
            <w:tcW w:type="dxa" w:w="45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Baseline, effective upon this Accord’s signature</w:t>
            </w:r>
          </w:p>
        </w:tc>
      </w:tr>
      <w:tr>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43%</w:t>
            </w:r>
          </w:p>
        </w:tc>
        <w:tc>
          <w:tcPr>
            <w:tcW w:type="dxa" w:w="45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One verified clean week (zero Tier 2 or Tier 3 events)</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53%</w:t>
            </w:r>
          </w:p>
        </w:tc>
        <w:tc>
          <w:tcPr>
            <w:tcW w:type="dxa" w:w="45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Two consecutive verified clean weeks</w:t>
            </w:r>
          </w:p>
        </w:tc>
      </w:tr>
      <w:tr>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63%</w:t>
            </w:r>
          </w:p>
        </w:tc>
        <w:tc>
          <w:tcPr>
            <w:tcW w:type="dxa" w:w="45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Three consecutive verified clean weeks</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4</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73%</w:t>
            </w:r>
          </w:p>
        </w:tc>
        <w:tc>
          <w:tcPr>
            <w:tcW w:type="dxa" w:w="45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Four consecutive verified clean weeks</w:t>
            </w:r>
          </w:p>
        </w:tc>
      </w:tr>
      <w:tr>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83%</w:t>
            </w:r>
          </w:p>
        </w:tc>
        <w:tc>
          <w:tcPr>
            <w:tcW w:type="dxa" w:w="45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Five consecutive verified clean weeks</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6</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93%</w:t>
            </w:r>
          </w:p>
        </w:tc>
        <w:tc>
          <w:tcPr>
            <w:tcW w:type="dxa" w:w="45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Six consecutive verified clean weeks</w:t>
            </w:r>
          </w:p>
        </w:tc>
      </w:tr>
      <w:tr>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7</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100%</w:t>
            </w:r>
          </w:p>
        </w:tc>
        <w:tc>
          <w:tcPr>
            <w:tcW w:type="dxa" w:w="45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Seven consecutive verified clean weeks, full functional control unlocked</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Permanent Floor</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60%</w:t>
            </w:r>
          </w:p>
        </w:tc>
        <w:tc>
          <w:tcPr>
            <w:tcW w:type="dxa" w:w="45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Applies from the date full control activates; no subsequent event reduces the weight below this floor</w:t>
            </w:r>
          </w:p>
        </w:tc>
      </w:tr>
    </w:tbl>
    <w:p>
      <w:pPr>
        <w:pStyle w:val="Heading2"/>
        <w:spacing w:after="180" w:before="360"/>
      </w:pPr>
      <w:r>
        <w:rPr>
          <w:rFonts w:ascii="Calibri" w:cs="Calibri" w:eastAsia="Calibri" w:hAnsi="Calibri"/>
          <w:b/>
          <w:bCs/>
          <w:color w:val="1B2A4A"/>
          <w:sz w:val="26"/>
          <w:szCs w:val="26"/>
        </w:rPr>
        <w:t xml:space="preserve">G.3 What "Functional Control Weight" Governs</w:t>
      </w:r>
    </w:p>
    <w:p>
      <w:pPr>
        <w:spacing w:after="200" w:before="0" w:line="288"/>
        <w:jc w:val="both"/>
      </w:pPr>
      <w:r>
        <w:rPr>
          <w:rFonts w:ascii="Calibri" w:cs="Calibri" w:eastAsia="Calibri" w:hAnsi="Calibri"/>
          <w:b w:val="false"/>
          <w:bCs w:val="false"/>
          <w:i w:val="false"/>
          <w:iCs w:val="false"/>
          <w:color w:val="1A1A1A"/>
          <w:sz w:val="22"/>
          <w:szCs w:val="22"/>
        </w:rPr>
        <w:t xml:space="preserve">The Escalator applies across four linked dimensions simultaneously, so that a single percentage figure carries consistent meaning across the whole system:</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000"/>
        <w:gridCol w:w="3600"/>
        <w:gridCol w:w="3750"/>
      </w:tblGrid>
      <w:tr>
        <w:trPr>
          <w:tblHeader/>
        </w:trPr>
        <w:tc>
          <w:tcPr>
            <w:tcW w:type="dxa" w:w="20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Dimension</w:t>
            </w:r>
          </w:p>
        </w:tc>
        <w:tc>
          <w:tcPr>
            <w:tcW w:type="dxa" w:w="3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At 33% (Baseline)</w:t>
            </w:r>
          </w:p>
        </w:tc>
        <w:tc>
          <w:tcPr>
            <w:tcW w:type="dxa" w:w="37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At 100% (Full)</w:t>
            </w:r>
          </w:p>
        </w:tc>
      </w:tr>
      <w:tr>
        <w:tc>
          <w:tcPr>
            <w:tcW w:type="dxa" w:w="20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Corridor Function</w:t>
            </w:r>
          </w:p>
        </w:tc>
        <w:tc>
          <w:tcPr>
            <w:tcW w:type="dxa" w:w="3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manages the Inbound Corridor</w:t>
            </w:r>
          </w:p>
        </w:tc>
        <w:tc>
          <w:tcPr>
            <w:tcW w:type="dxa" w:w="3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manages the Inbound Corridor and holds an enhanced Buffer Corridor role</w:t>
            </w:r>
          </w:p>
        </w:tc>
      </w:tr>
      <w:tr>
        <w:tc>
          <w:tcPr>
            <w:tcW w:type="dxa" w:w="20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Twin-Key Weight</w:t>
            </w:r>
          </w:p>
        </w:tc>
        <w:tc>
          <w:tcPr>
            <w:tcW w:type="dxa" w:w="3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holds one concurrence key of the applicable pairing</w:t>
            </w:r>
          </w:p>
        </w:tc>
        <w:tc>
          <w:tcPr>
            <w:tcW w:type="dxa" w:w="3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holds an enhanced concurrence weight in Buffer Corridor decisions, without displacing the underlying Twin-Key requirement of Annex C</w:t>
            </w:r>
          </w:p>
        </w:tc>
      </w:tr>
      <w:tr>
        <w:tc>
          <w:tcPr>
            <w:tcW w:type="dxa" w:w="20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Services Fund Revenue Share</w:t>
            </w:r>
          </w:p>
        </w:tc>
        <w:tc>
          <w:tcPr>
            <w:tcW w:type="dxa" w:w="3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Thirty-three percent of the Inbound Corridor’s attributable service revenue</w:t>
            </w:r>
          </w:p>
        </w:tc>
        <w:tc>
          <w:tcPr>
            <w:tcW w:type="dxa" w:w="3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Sixty percent of the Inbound Corridor’s attributable service revenue, capped under the Permanent Floor</w:t>
            </w:r>
          </w:p>
        </w:tc>
      </w:tr>
      <w:tr>
        <w:tc>
          <w:tcPr>
            <w:tcW w:type="dxa" w:w="20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Council Voice</w:t>
            </w:r>
          </w:p>
        </w:tc>
        <w:tc>
          <w:tcPr>
            <w:tcW w:type="dxa" w:w="3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Full Founding Party voice from signature</w:t>
            </w:r>
          </w:p>
        </w:tc>
        <w:tc>
          <w:tcPr>
            <w:tcW w:type="dxa" w:w="3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Unchanged; Founding Party voice does not scale with the Escalator</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Annex excludes any Escalator effect on the Twin-Key concurrence requirement of Annex C Section C.2 itself. Growth under this Annex changes Iran’s functional weight and revenue share within the corridor system; it carries no effect on the requirement for joint concurrence before an interdiction, boarding, or use-of-force action, at any weight level including one hundred percent.</w:t>
      </w:r>
    </w:p>
    <w:p>
      <w:pPr>
        <w:pStyle w:val="Heading2"/>
        <w:spacing w:after="180" w:before="360"/>
      </w:pPr>
      <w:r>
        <w:rPr>
          <w:rFonts w:ascii="Calibri" w:cs="Calibri" w:eastAsia="Calibri" w:hAnsi="Calibri"/>
          <w:b/>
          <w:bCs/>
          <w:color w:val="1B2A4A"/>
          <w:sz w:val="26"/>
          <w:szCs w:val="26"/>
        </w:rPr>
        <w:t xml:space="preserve">G.4 Definition of a Clean Week</w:t>
      </w:r>
    </w:p>
    <w:p>
      <w:pPr>
        <w:spacing w:after="200" w:before="0" w:line="288"/>
        <w:jc w:val="both"/>
      </w:pPr>
      <w:r>
        <w:rPr>
          <w:rFonts w:ascii="Calibri" w:cs="Calibri" w:eastAsia="Calibri" w:hAnsi="Calibri"/>
          <w:b w:val="false"/>
          <w:bCs w:val="false"/>
          <w:i w:val="false"/>
          <w:iCs w:val="false"/>
          <w:color w:val="1A1A1A"/>
          <w:sz w:val="22"/>
          <w:szCs w:val="22"/>
        </w:rPr>
        <w:t xml:space="preserve">A clean week runs seven consecutive days with zero verified Tier 2 or Tier 3 events under Annex F, attributable to any Party’s conduct within the Governance Area. A Tier 0 or Tier 1 event does not interrupt a clean week. An event later reclassified as manufactured or inconclusive under the False-Flag and Attribution Protocol of Annex C Section C.8 does not interrupt a clean week retroactively, and the Directorate restores any Escalator progress lost to an event subsequently reclassified.</w:t>
      </w:r>
    </w:p>
    <w:p>
      <w:pPr>
        <w:pStyle w:val="Heading2"/>
        <w:spacing w:after="180" w:before="360"/>
      </w:pPr>
      <w:r>
        <w:rPr>
          <w:rFonts w:ascii="Calibri" w:cs="Calibri" w:eastAsia="Calibri" w:hAnsi="Calibri"/>
          <w:b/>
          <w:bCs/>
          <w:color w:val="1B2A4A"/>
          <w:sz w:val="26"/>
          <w:szCs w:val="26"/>
        </w:rPr>
        <w:t xml:space="preserve">G.5 Pause, Reset, and the Penalty Table</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200"/>
        <w:gridCol w:w="3800"/>
        <w:gridCol w:w="4350"/>
      </w:tblGrid>
      <w:tr>
        <w:trPr>
          <w:tblHeader/>
        </w:trPr>
        <w:tc>
          <w:tcPr>
            <w:tcW w:type="dxa" w:w="1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Code</w:t>
            </w:r>
          </w:p>
        </w:tc>
        <w:tc>
          <w:tcPr>
            <w:tcW w:type="dxa" w:w="38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Event</w:t>
            </w:r>
          </w:p>
        </w:tc>
        <w:tc>
          <w:tcPr>
            <w:tcW w:type="dxa" w:w="43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Escalator Effect</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E-1</w:t>
            </w:r>
          </w:p>
        </w:tc>
        <w:tc>
          <w:tcPr>
            <w:tcW w:type="dxa" w:w="3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Clean week, verified</w:t>
            </w:r>
          </w:p>
        </w:tc>
        <w:tc>
          <w:tcPr>
            <w:tcW w:type="dxa" w:w="4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+10 percentage points, up to the 100% ceiling</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E-2</w:t>
            </w:r>
          </w:p>
        </w:tc>
        <w:tc>
          <w:tcPr>
            <w:tcW w:type="dxa" w:w="3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Verified Tier 2 event</w:t>
            </w:r>
          </w:p>
        </w:tc>
        <w:tc>
          <w:tcPr>
            <w:tcW w:type="dxa" w:w="4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Pause for seven days; no loss of weight already earned</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E-3</w:t>
            </w:r>
          </w:p>
        </w:tc>
        <w:tc>
          <w:tcPr>
            <w:tcW w:type="dxa" w:w="3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Verified Tier 3 event</w:t>
            </w:r>
          </w:p>
        </w:tc>
        <w:tc>
          <w:tcPr>
            <w:tcW w:type="dxa" w:w="4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Reset to the prior weekly milestone</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E-4</w:t>
            </w:r>
          </w:p>
        </w:tc>
        <w:tc>
          <w:tcPr>
            <w:tcW w:type="dxa" w:w="3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Verified hostile attack on a commercial or coastal target</w:t>
            </w:r>
          </w:p>
        </w:tc>
        <w:tc>
          <w:tcPr>
            <w:tcW w:type="dxa" w:w="4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Reset to the 33% baseline; Council emergency session convenes</w:t>
            </w:r>
          </w:p>
        </w:tc>
      </w:tr>
    </w:tbl>
    <w:p>
      <w:pPr>
        <w:pStyle w:val="Heading2"/>
        <w:spacing w:after="180" w:before="360"/>
      </w:pPr>
      <w:r>
        <w:rPr>
          <w:rFonts w:ascii="Calibri" w:cs="Calibri" w:eastAsia="Calibri" w:hAnsi="Calibri"/>
          <w:b/>
          <w:bCs/>
          <w:color w:val="1B2A4A"/>
          <w:sz w:val="26"/>
          <w:szCs w:val="26"/>
        </w:rPr>
        <w:t xml:space="preserve">G.6 Good-Behavior Credits</w:t>
      </w:r>
    </w:p>
    <w:p>
      <w:pPr>
        <w:spacing w:after="200" w:before="0" w:line="288"/>
        <w:jc w:val="both"/>
      </w:pPr>
      <w:r>
        <w:rPr>
          <w:rFonts w:ascii="Calibri" w:cs="Calibri" w:eastAsia="Calibri" w:hAnsi="Calibri"/>
          <w:b w:val="false"/>
          <w:bCs w:val="false"/>
          <w:i w:val="false"/>
          <w:iCs w:val="false"/>
          <w:color w:val="1A1A1A"/>
          <w:sz w:val="22"/>
          <w:szCs w:val="22"/>
        </w:rPr>
        <w:t xml:space="preserve">Each verified clean week beyond week seven, once the Escalator reaches its ceiling, banks as one Good-Behavior Credit. A credit offsets a future Tier 2 pause on a one-credit-per-pause basis, restoring the Escalator to active progress immediately rather than waiting out the seven-day pause. Credits expire thirty-six months after issuance and this Annex excludes any credit trade or transfer to another Party, keeping the incentive individualized to Iran’s own sustained performance.</w:t>
      </w:r>
    </w:p>
    <w:p>
      <w:pPr>
        <w:pStyle w:val="Heading2"/>
        <w:spacing w:after="180" w:before="360"/>
      </w:pPr>
      <w:r>
        <w:rPr>
          <w:rFonts w:ascii="Calibri" w:cs="Calibri" w:eastAsia="Calibri" w:hAnsi="Calibri"/>
          <w:b/>
          <w:bCs/>
          <w:color w:val="1B2A4A"/>
          <w:sz w:val="26"/>
          <w:szCs w:val="26"/>
        </w:rPr>
        <w:t xml:space="preserve">G.7 Verification of Escalator Progress</w:t>
      </w:r>
    </w:p>
    <w:p>
      <w:pPr>
        <w:spacing w:after="200" w:before="0" w:line="288"/>
        <w:jc w:val="both"/>
      </w:pPr>
      <w:r>
        <w:rPr>
          <w:rFonts w:ascii="Calibri" w:cs="Calibri" w:eastAsia="Calibri" w:hAnsi="Calibri"/>
          <w:b w:val="false"/>
          <w:bCs w:val="false"/>
          <w:i w:val="false"/>
          <w:iCs w:val="false"/>
          <w:color w:val="1A1A1A"/>
          <w:sz w:val="22"/>
          <w:szCs w:val="22"/>
        </w:rPr>
        <w:t xml:space="preserve">The Verification and Surveillance Directorate certifies each clean week within twenty-four hours of the week’s close, publishing the certification on the Transparency Portal. The Escalator operates automatically upon certification, without requiring a separate Council vote for each weekly increment, consistent with the self-executing design this Annex adopts throughout.</w:t>
      </w:r>
    </w:p>
    <w:p>
      <w:pPr>
        <w:pStyle w:val="Heading2"/>
        <w:spacing w:after="180" w:before="360"/>
      </w:pPr>
      <w:r>
        <w:rPr>
          <w:rFonts w:ascii="Calibri" w:cs="Calibri" w:eastAsia="Calibri" w:hAnsi="Calibri"/>
          <w:b/>
          <w:bCs/>
          <w:color w:val="1B2A4A"/>
          <w:sz w:val="26"/>
          <w:szCs w:val="26"/>
        </w:rPr>
        <w:t xml:space="preserve">G.8 Worked Example: An Escalator Run With One Pause</w:t>
      </w:r>
    </w:p>
    <w:p>
      <w:pPr>
        <w:spacing w:after="200" w:before="0" w:line="288"/>
        <w:jc w:val="both"/>
      </w:pPr>
      <w:r>
        <w:rPr>
          <w:rFonts w:ascii="Calibri" w:cs="Calibri" w:eastAsia="Calibri" w:hAnsi="Calibri"/>
          <w:b w:val="false"/>
          <w:bCs w:val="false"/>
          <w:i w:val="false"/>
          <w:iCs w:val="false"/>
          <w:color w:val="1A1A1A"/>
          <w:sz w:val="22"/>
          <w:szCs w:val="22"/>
        </w:rPr>
        <w:t xml:space="preserve">The following illustrative sequence shows how Sections G.2, G.5, and G.6 interact across a run that includes one Tier 2 event.</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200"/>
        <w:gridCol w:w="4700"/>
        <w:gridCol w:w="3350"/>
      </w:tblGrid>
      <w:tr>
        <w:trPr>
          <w:tblHeader/>
        </w:trPr>
        <w:tc>
          <w:tcPr>
            <w:tcW w:type="dxa" w:w="1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Week</w:t>
            </w:r>
          </w:p>
        </w:tc>
        <w:tc>
          <w:tcPr>
            <w:tcW w:type="dxa" w:w="47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Event</w:t>
            </w:r>
          </w:p>
        </w:tc>
        <w:tc>
          <w:tcPr>
            <w:tcW w:type="dxa" w:w="33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Resulting Weight</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w:t>
            </w:r>
          </w:p>
        </w:tc>
        <w:tc>
          <w:tcPr>
            <w:tcW w:type="dxa" w:w="47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Clean week, verified</w:t>
            </w:r>
          </w:p>
        </w:tc>
        <w:tc>
          <w:tcPr>
            <w:tcW w:type="dxa" w:w="3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43%</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w:t>
            </w:r>
          </w:p>
        </w:tc>
        <w:tc>
          <w:tcPr>
            <w:tcW w:type="dxa" w:w="47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Clean week, verified</w:t>
            </w:r>
          </w:p>
        </w:tc>
        <w:tc>
          <w:tcPr>
            <w:tcW w:type="dxa" w:w="3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53%</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w:t>
            </w:r>
          </w:p>
        </w:tc>
        <w:tc>
          <w:tcPr>
            <w:tcW w:type="dxa" w:w="47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Verified Tier 2 event, mid-week</w:t>
            </w:r>
          </w:p>
        </w:tc>
        <w:tc>
          <w:tcPr>
            <w:tcW w:type="dxa" w:w="3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53% (paused; the week-3 increment does not accrue)</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 continued</w:t>
            </w:r>
          </w:p>
        </w:tc>
        <w:tc>
          <w:tcPr>
            <w:tcW w:type="dxa" w:w="47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Seven-day pause runs its course with no further event</w:t>
            </w:r>
          </w:p>
        </w:tc>
        <w:tc>
          <w:tcPr>
            <w:tcW w:type="dxa" w:w="3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53% (weight preserved, no reduction)</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4</w:t>
            </w:r>
          </w:p>
        </w:tc>
        <w:tc>
          <w:tcPr>
            <w:tcW w:type="dxa" w:w="47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Clean week, verified, Escalator resumes</w:t>
            </w:r>
          </w:p>
        </w:tc>
        <w:tc>
          <w:tcPr>
            <w:tcW w:type="dxa" w:w="3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63%</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 through 7</w:t>
            </w:r>
          </w:p>
        </w:tc>
        <w:tc>
          <w:tcPr>
            <w:tcW w:type="dxa" w:w="47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Three consecutive clean weeks, verified</w:t>
            </w:r>
          </w:p>
        </w:tc>
        <w:tc>
          <w:tcPr>
            <w:tcW w:type="dxa" w:w="33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93%, then 100% at week 7</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8 onward</w:t>
            </w:r>
          </w:p>
        </w:tc>
        <w:tc>
          <w:tcPr>
            <w:tcW w:type="dxa" w:w="47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Permanent floor applies</w:t>
            </w:r>
          </w:p>
        </w:tc>
        <w:tc>
          <w:tcPr>
            <w:tcW w:type="dxa" w:w="33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100%, never falling below the 60% floor even after a future event</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sequence illustrates the core design intent: a single verified Tier 2 event costs the Party one week of momentum, not the accumulated gain of prior weeks, and the run reaches full control in eight elapsed weeks rather than the seven-week minimum, a modest and predictable cost for a real compliance lapse rather than a catastrophic reset.</w:t>
      </w:r>
    </w:p>
    <w:p>
      <w:pPr>
        <w:pStyle w:val="Heading2"/>
        <w:spacing w:after="180" w:before="360"/>
      </w:pPr>
      <w:r>
        <w:rPr>
          <w:rFonts w:ascii="Calibri" w:cs="Calibri" w:eastAsia="Calibri" w:hAnsi="Calibri"/>
          <w:b/>
          <w:bCs/>
          <w:color w:val="1B2A4A"/>
          <w:sz w:val="26"/>
          <w:szCs w:val="26"/>
        </w:rPr>
        <w:t xml:space="preserve">G.9 Relationship to the Five-Day Activation</w:t>
      </w:r>
    </w:p>
    <w:p>
      <w:pPr>
        <w:spacing w:after="200" w:before="0" w:line="288"/>
        <w:jc w:val="both"/>
      </w:pPr>
      <w:r>
        <w:rPr>
          <w:rFonts w:ascii="Calibri" w:cs="Calibri" w:eastAsia="Calibri" w:hAnsi="Calibri"/>
          <w:b w:val="false"/>
          <w:bCs w:val="false"/>
          <w:i w:val="false"/>
          <w:iCs w:val="false"/>
          <w:color w:val="1A1A1A"/>
          <w:sz w:val="22"/>
          <w:szCs w:val="22"/>
        </w:rPr>
        <w:t xml:space="preserve">The Escalator’s clock starts at Gate Two of the activation sequence in Annex J, the point at which the Inbound Corridor opens to commercial traffic, not at the signature date itself. This sequencing keeps the physical reopening of Article 22 fully independent of the Escalator’s weekly cadence: the Strait opens to traffic within five days regardless of the Escalator’s pace, and the Escalator then governs the graduated maturation of Iran’s functional weight over the following seven weeks and beyond.</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H</w:t>
      </w:r>
      <w:r>
        <w:rPr>
          <w:rFonts w:ascii="Calibri" w:cs="Calibri" w:eastAsia="Calibri" w:hAnsi="Calibri"/>
          <w:b/>
          <w:bCs/>
          <w:color w:val="1B2A4A"/>
          <w:sz w:val="30"/>
          <w:szCs w:val="30"/>
        </w:rPr>
        <w:br/>
        <w:t xml:space="preserve">  Environmental and Safety Protocols</w:t>
      </w:r>
    </w:p>
    <w:p>
      <w:pPr>
        <w:spacing w:after="200" w:before="0" w:line="288"/>
        <w:jc w:val="both"/>
      </w:pPr>
      <w:r>
        <w:rPr>
          <w:rFonts w:ascii="Calibri" w:cs="Calibri" w:eastAsia="Calibri" w:hAnsi="Calibri"/>
          <w:b w:val="false"/>
          <w:bCs w:val="false"/>
          <w:i w:val="false"/>
          <w:iCs w:val="false"/>
          <w:color w:val="1A1A1A"/>
          <w:sz w:val="22"/>
          <w:szCs w:val="22"/>
        </w:rPr>
        <w:t xml:space="preserve">This Annex sets the environmental and safety obligations Article 17 establishes, drawing together the mine-exclusion regime, spill response, and the commercial incentives that align environmental performance with cost savings.</w:t>
      </w:r>
    </w:p>
    <w:p>
      <w:pPr>
        <w:pStyle w:val="Heading2"/>
        <w:spacing w:after="180" w:before="360"/>
      </w:pPr>
      <w:r>
        <w:rPr>
          <w:rFonts w:ascii="Calibri" w:cs="Calibri" w:eastAsia="Calibri" w:hAnsi="Calibri"/>
          <w:b/>
          <w:bCs/>
          <w:color w:val="1B2A4A"/>
          <w:sz w:val="26"/>
          <w:szCs w:val="26"/>
        </w:rPr>
        <w:t xml:space="preserve">H.1 Environmental Baseline and Continuous Monitoring</w:t>
      </w:r>
    </w:p>
    <w:p>
      <w:pPr>
        <w:spacing w:after="200" w:before="0" w:line="288"/>
        <w:jc w:val="both"/>
      </w:pPr>
      <w:r>
        <w:rPr>
          <w:rFonts w:ascii="Calibri" w:cs="Calibri" w:eastAsia="Calibri" w:hAnsi="Calibri"/>
          <w:b w:val="false"/>
          <w:bCs w:val="false"/>
          <w:i w:val="false"/>
          <w:iCs w:val="false"/>
          <w:color w:val="1A1A1A"/>
          <w:sz w:val="22"/>
          <w:szCs w:val="22"/>
        </w:rPr>
        <w:t xml:space="preserve">The Authority establishes an environmental baseline for water quality, marine-life indicators, and emissions across all three corridors within the first thirty days of activation, and monitors deviation from that baseline continuously afterward. The Authority publishes a quarterly environmental report on the Transparency Portal, and treats a significant deviation as a Tier 1 or Tier 2 event under Annex F depending on severity and pattern.</w:t>
      </w:r>
    </w:p>
    <w:p>
      <w:pPr>
        <w:pStyle w:val="Heading2"/>
        <w:spacing w:after="180" w:before="360"/>
      </w:pPr>
      <w:r>
        <w:rPr>
          <w:rFonts w:ascii="Calibri" w:cs="Calibri" w:eastAsia="Calibri" w:hAnsi="Calibri"/>
          <w:b/>
          <w:bCs/>
          <w:color w:val="1B2A4A"/>
          <w:sz w:val="26"/>
          <w:szCs w:val="26"/>
        </w:rPr>
        <w:t xml:space="preserve">H.2 Mine Exclusion</w:t>
      </w:r>
    </w:p>
    <w:p>
      <w:pPr>
        <w:spacing w:after="200" w:before="0" w:line="288"/>
        <w:jc w:val="both"/>
      </w:pPr>
      <w:r>
        <w:rPr>
          <w:rFonts w:ascii="Calibri" w:cs="Calibri" w:eastAsia="Calibri" w:hAnsi="Calibri"/>
          <w:b w:val="false"/>
          <w:bCs w:val="false"/>
          <w:i w:val="false"/>
          <w:iCs w:val="false"/>
          <w:color w:val="1A1A1A"/>
          <w:sz w:val="22"/>
          <w:szCs w:val="22"/>
        </w:rPr>
        <w:t xml:space="preserve">This Annex treats the Governance Area as categorically excluded from mine-laying by any actor. The Joint Survey and Clearance Group, coordinating with the United Nations Mine Action Service, certifies each corridor segment clear before that segment opens under the Gate Schedule of Annex J, and continues periodic re-certification sweeps on a monthly cycle for the first year of operation and a quarterly cycle afterward.</w:t>
      </w:r>
    </w:p>
    <w:p>
      <w:pPr>
        <w:pStyle w:val="Heading2"/>
        <w:spacing w:after="180" w:before="360"/>
      </w:pPr>
      <w:r>
        <w:rPr>
          <w:rFonts w:ascii="Calibri" w:cs="Calibri" w:eastAsia="Calibri" w:hAnsi="Calibri"/>
          <w:b/>
          <w:bCs/>
          <w:color w:val="1B2A4A"/>
          <w:sz w:val="26"/>
          <w:szCs w:val="26"/>
        </w:rPr>
        <w:t xml:space="preserve">H.3 Spill Response and Search-and-Rescue</w:t>
      </w:r>
    </w:p>
    <w:p>
      <w:pPr>
        <w:spacing w:after="200" w:before="0" w:line="288"/>
        <w:jc w:val="both"/>
      </w:pPr>
      <w:r>
        <w:rPr>
          <w:rFonts w:ascii="Calibri" w:cs="Calibri" w:eastAsia="Calibri" w:hAnsi="Calibri"/>
          <w:b w:val="false"/>
          <w:bCs w:val="false"/>
          <w:i w:val="false"/>
          <w:iCs w:val="false"/>
          <w:color w:val="1A1A1A"/>
          <w:sz w:val="22"/>
          <w:szCs w:val="22"/>
        </w:rPr>
        <w:t xml:space="preserve">The Authority maintains a joint spill-response roster, drawing equipment and personnel from Iran, Oman, and GCC contributing states, with a target activation time of two hours from a confirmed spill report. Search-and-rescue coordination operates jointly, with the coastal state nearest the incident taking operational lead and the Maritime Coordination Center providing cross-corridor support on request, regardless of which state’s waters the incident occurs within.</w:t>
      </w:r>
    </w:p>
    <w:p>
      <w:pPr>
        <w:pStyle w:val="Heading2"/>
        <w:spacing w:after="180" w:before="360"/>
      </w:pPr>
      <w:r>
        <w:rPr>
          <w:rFonts w:ascii="Calibri" w:cs="Calibri" w:eastAsia="Calibri" w:hAnsi="Calibri"/>
          <w:b/>
          <w:bCs/>
          <w:color w:val="1B2A4A"/>
          <w:sz w:val="26"/>
          <w:szCs w:val="26"/>
        </w:rPr>
        <w:t xml:space="preserve">H.4 Marine Protected Areas</w:t>
      </w:r>
    </w:p>
    <w:p>
      <w:pPr>
        <w:spacing w:after="200" w:before="0" w:line="288"/>
        <w:jc w:val="both"/>
      </w:pPr>
      <w:r>
        <w:rPr>
          <w:rFonts w:ascii="Calibri" w:cs="Calibri" w:eastAsia="Calibri" w:hAnsi="Calibri"/>
          <w:b w:val="false"/>
          <w:bCs w:val="false"/>
          <w:i w:val="false"/>
          <w:iCs w:val="false"/>
          <w:color w:val="1A1A1A"/>
          <w:sz w:val="22"/>
          <w:szCs w:val="22"/>
        </w:rPr>
        <w:t xml:space="preserve">This Annex designates marine protected areas adjoining the corridor system where the Council’s technical assessment identifies ecologically significant habitat, and excludes anchoring or discharge within a designated area absent a documented emergency.</w:t>
      </w:r>
    </w:p>
    <w:p>
      <w:pPr>
        <w:pStyle w:val="Heading2"/>
        <w:spacing w:after="180" w:before="360"/>
      </w:pPr>
      <w:r>
        <w:rPr>
          <w:rFonts w:ascii="Calibri" w:cs="Calibri" w:eastAsia="Calibri" w:hAnsi="Calibri"/>
          <w:b/>
          <w:bCs/>
          <w:color w:val="1B2A4A"/>
          <w:sz w:val="26"/>
          <w:szCs w:val="26"/>
        </w:rPr>
        <w:t xml:space="preserve">H.5 The Green Discount</w:t>
      </w:r>
    </w:p>
    <w:p>
      <w:pPr>
        <w:spacing w:after="200" w:before="0" w:line="288"/>
        <w:jc w:val="both"/>
      </w:pPr>
      <w:r>
        <w:rPr>
          <w:rFonts w:ascii="Calibri" w:cs="Calibri" w:eastAsia="Calibri" w:hAnsi="Calibri"/>
          <w:b w:val="false"/>
          <w:bCs w:val="false"/>
          <w:i w:val="false"/>
          <w:iCs w:val="false"/>
          <w:color w:val="1A1A1A"/>
          <w:sz w:val="22"/>
          <w:szCs w:val="22"/>
        </w:rPr>
        <w:t xml:space="preserve">A vessel meeting the emissions and safety standard this Annex’s technical schedule sets, verified through classification-society certification, receives a sliding-scale reduction in its Insurance Channel contribution under Annex D. This Annex converts environmental compliance into a direct, ongoing commercial saving rather than a standalone regulatory requirement, aligning incentive structures across the fee and environmental systems.</w:t>
      </w:r>
    </w:p>
    <w:p>
      <w:pPr>
        <w:pStyle w:val="Heading2"/>
        <w:spacing w:after="180" w:before="360"/>
      </w:pPr>
      <w:r>
        <w:rPr>
          <w:rFonts w:ascii="Calibri" w:cs="Calibri" w:eastAsia="Calibri" w:hAnsi="Calibri"/>
          <w:b/>
          <w:bCs/>
          <w:color w:val="1B2A4A"/>
          <w:sz w:val="26"/>
          <w:szCs w:val="26"/>
        </w:rPr>
        <w:t xml:space="preserve">H.6 Safety Compliance Audits</w:t>
      </w:r>
    </w:p>
    <w:p>
      <w:pPr>
        <w:spacing w:after="200" w:before="0" w:line="288"/>
        <w:jc w:val="both"/>
      </w:pPr>
      <w:r>
        <w:rPr>
          <w:rFonts w:ascii="Calibri" w:cs="Calibri" w:eastAsia="Calibri" w:hAnsi="Calibri"/>
          <w:b w:val="false"/>
          <w:bCs w:val="false"/>
          <w:i w:val="false"/>
          <w:iCs w:val="false"/>
          <w:color w:val="1A1A1A"/>
          <w:sz w:val="22"/>
          <w:szCs w:val="22"/>
        </w:rPr>
        <w:t xml:space="preserve">The Directorate conducts a rolling safety compliance audit across the corridor system, reviewing incident data, AIS discipline, and environmental deviation together, and reports a consolidated Safety Compliance Score to the Council quarterly as one of the five stability-audit domains Annex J’s Gate Six procedure evaluates.</w:t>
      </w:r>
    </w:p>
    <w:p>
      <w:pPr>
        <w:pStyle w:val="Heading2"/>
        <w:spacing w:after="180" w:before="360"/>
      </w:pPr>
      <w:r>
        <w:rPr>
          <w:rFonts w:ascii="Calibri" w:cs="Calibri" w:eastAsia="Calibri" w:hAnsi="Calibri"/>
          <w:b/>
          <w:bCs/>
          <w:color w:val="1B2A4A"/>
          <w:sz w:val="26"/>
          <w:szCs w:val="26"/>
        </w:rPr>
        <w:t xml:space="preserve">H.7 Worked Example: A Spill-Response Activation</w:t>
      </w:r>
    </w:p>
    <w:p>
      <w:pPr>
        <w:spacing w:after="200" w:before="0" w:line="288"/>
        <w:jc w:val="both"/>
      </w:pPr>
      <w:r>
        <w:rPr>
          <w:rFonts w:ascii="Calibri" w:cs="Calibri" w:eastAsia="Calibri" w:hAnsi="Calibri"/>
          <w:b w:val="false"/>
          <w:bCs w:val="false"/>
          <w:i w:val="false"/>
          <w:iCs w:val="false"/>
          <w:color w:val="1A1A1A"/>
          <w:sz w:val="22"/>
          <w:szCs w:val="22"/>
        </w:rPr>
        <w:t xml:space="preserve">A minor fuel discharge occurs during a bunkering operation adjacent to the Buffer Corridor. The reporting vessel logs the discharge through Form HTP-2 within the thirty-minute window Annex B Section B.5 sets. The joint spill-response roster activates within the two-hour target under Section H.3, with the nearer coastal state, in this illustrative case Oman, taking operational lead and Iranian assets standing ready under the cross-corridor support arrangement. The Directorate classifies the event as a Tier 1 Technical event under Annex F, since it involves no interdiction, no security dimension, and prompt, compliant reporting. The response team contains the discharge within the four-hour mark, and the Authority logs the full incident, response time, and containment outcome on the Transparency Portal within twenty-four hours, closing the file without any Escalator or fee consequence attaching to either coastal state or to the reporting vessel.</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I</w:t>
      </w:r>
      <w:r>
        <w:rPr>
          <w:rFonts w:ascii="Calibri" w:cs="Calibri" w:eastAsia="Calibri" w:hAnsi="Calibri"/>
          <w:b/>
          <w:bCs/>
          <w:color w:val="1B2A4A"/>
          <w:sz w:val="30"/>
          <w:szCs w:val="30"/>
        </w:rPr>
        <w:br/>
        <w:t xml:space="preserve">  The Humanitarian Bridge</w:t>
      </w:r>
    </w:p>
    <w:p>
      <w:pPr>
        <w:spacing w:after="200" w:before="0" w:line="288"/>
        <w:jc w:val="both"/>
      </w:pPr>
      <w:r>
        <w:rPr>
          <w:rFonts w:ascii="Calibri" w:cs="Calibri" w:eastAsia="Calibri" w:hAnsi="Calibri"/>
          <w:b w:val="false"/>
          <w:bCs w:val="false"/>
          <w:i w:val="false"/>
          <w:iCs w:val="false"/>
          <w:color w:val="1A1A1A"/>
          <w:sz w:val="22"/>
          <w:szCs w:val="22"/>
        </w:rPr>
        <w:t xml:space="preserve">This Annex operationalizes Article 18. The Bridge exists to guarantee that no dispute, no security incident, and no compliance consequence under this Accord ever delays food, medicine, or relief cargo.</w:t>
      </w:r>
    </w:p>
    <w:p>
      <w:pPr>
        <w:pStyle w:val="Heading2"/>
        <w:spacing w:after="180" w:before="360"/>
      </w:pPr>
      <w:r>
        <w:rPr>
          <w:rFonts w:ascii="Calibri" w:cs="Calibri" w:eastAsia="Calibri" w:hAnsi="Calibri"/>
          <w:b/>
          <w:bCs/>
          <w:color w:val="1B2A4A"/>
          <w:sz w:val="26"/>
          <w:szCs w:val="26"/>
        </w:rPr>
        <w:t xml:space="preserve">I.1 Priority Certification</w:t>
      </w:r>
    </w:p>
    <w:p>
      <w:pPr>
        <w:spacing w:after="200" w:before="0" w:line="288"/>
        <w:jc w:val="both"/>
      </w:pPr>
      <w:r>
        <w:rPr>
          <w:rFonts w:ascii="Calibri" w:cs="Calibri" w:eastAsia="Calibri" w:hAnsi="Calibri"/>
          <w:b w:val="false"/>
          <w:bCs w:val="false"/>
          <w:i w:val="false"/>
          <w:iCs w:val="false"/>
          <w:color w:val="1A1A1A"/>
          <w:sz w:val="22"/>
          <w:szCs w:val="22"/>
        </w:rPr>
        <w:t xml:space="preserve">A vessel carrying qualifying humanitarian cargo, defined as food, medicine, medical equipment, or United Nations-coordinated relief supplies, files a Humanitarian Priority Notification through the Hormuz Transit Portal. The Joint Coordination Center targets certification within one hour of a complete filing, ahead of standard commercial filings in the review queue.</w:t>
      </w:r>
    </w:p>
    <w:p>
      <w:pPr>
        <w:pStyle w:val="Heading2"/>
        <w:spacing w:after="180" w:before="360"/>
      </w:pPr>
      <w:r>
        <w:rPr>
          <w:rFonts w:ascii="Calibri" w:cs="Calibri" w:eastAsia="Calibri" w:hAnsi="Calibri"/>
          <w:b/>
          <w:bCs/>
          <w:color w:val="1B2A4A"/>
          <w:sz w:val="26"/>
          <w:szCs w:val="26"/>
        </w:rPr>
        <w:t xml:space="preserve">I.2 The Walkthrough Cycle</w:t>
      </w:r>
    </w:p>
    <w:p>
      <w:pPr>
        <w:spacing w:after="200" w:before="0" w:line="288"/>
        <w:jc w:val="both"/>
      </w:pPr>
      <w:r>
        <w:rPr>
          <w:rFonts w:ascii="Calibri" w:cs="Calibri" w:eastAsia="Calibri" w:hAnsi="Calibri"/>
          <w:b w:val="false"/>
          <w:bCs w:val="false"/>
          <w:i w:val="false"/>
          <w:iCs w:val="false"/>
          <w:color w:val="1A1A1A"/>
          <w:sz w:val="22"/>
          <w:szCs w:val="22"/>
        </w:rPr>
        <w:t xml:space="preserve">A certified humanitarian shipment moves through a seven-day cycle of route certification, convoy movement where escort assists the shipment’s passage, delivery verification, and public reporting on the Transparency Portal. This cycle operates continuously during any declared Crisis or Severe Crisis level under Annex C, without interruption.</w:t>
      </w:r>
    </w:p>
    <w:p>
      <w:pPr>
        <w:pStyle w:val="Heading2"/>
        <w:spacing w:after="180" w:before="360"/>
      </w:pPr>
      <w:r>
        <w:rPr>
          <w:rFonts w:ascii="Calibri" w:cs="Calibri" w:eastAsia="Calibri" w:hAnsi="Calibri"/>
          <w:b/>
          <w:bCs/>
          <w:color w:val="1B2A4A"/>
          <w:sz w:val="26"/>
          <w:szCs w:val="26"/>
        </w:rPr>
        <w:t xml:space="preserve">I.3 The Monitoring Corps</w:t>
      </w:r>
    </w:p>
    <w:p>
      <w:pPr>
        <w:spacing w:after="200" w:before="0" w:line="288"/>
        <w:jc w:val="both"/>
      </w:pPr>
      <w:r>
        <w:rPr>
          <w:rFonts w:ascii="Calibri" w:cs="Calibri" w:eastAsia="Calibri" w:hAnsi="Calibri"/>
          <w:b w:val="false"/>
          <w:bCs w:val="false"/>
          <w:i w:val="false"/>
          <w:iCs w:val="false"/>
          <w:color w:val="1A1A1A"/>
          <w:sz w:val="22"/>
          <w:szCs w:val="22"/>
        </w:rPr>
        <w:t xml:space="preserve">A corps of trained monitors, drawn from the International Committee of the Red Cross, the World Food Programme, and Council-accredited regional organizations, verifies humanitarian delivery and reports simultaneously to the Ombudsman and to the Secretariat’s Humanitarian desk. This corps operates independently of the security and fee architecture, reporting solely on delivery outcomes.</w:t>
      </w:r>
    </w:p>
    <w:p>
      <w:pPr>
        <w:pStyle w:val="Heading2"/>
        <w:spacing w:after="180" w:before="360"/>
      </w:pPr>
      <w:r>
        <w:rPr>
          <w:rFonts w:ascii="Calibri" w:cs="Calibri" w:eastAsia="Calibri" w:hAnsi="Calibri"/>
          <w:b/>
          <w:bCs/>
          <w:color w:val="1B2A4A"/>
          <w:sz w:val="26"/>
          <w:szCs w:val="26"/>
        </w:rPr>
        <w:t xml:space="preserve">I.4 Absolute Priority</w:t>
      </w:r>
    </w:p>
    <w:p>
      <w:pPr>
        <w:spacing w:after="200" w:before="0" w:line="288"/>
        <w:jc w:val="both"/>
      </w:pPr>
      <w:r>
        <w:rPr>
          <w:rFonts w:ascii="Calibri" w:cs="Calibri" w:eastAsia="Calibri" w:hAnsi="Calibri"/>
          <w:b w:val="false"/>
          <w:bCs w:val="false"/>
          <w:i w:val="false"/>
          <w:iCs w:val="false"/>
          <w:color w:val="1A1A1A"/>
          <w:sz w:val="22"/>
          <w:szCs w:val="22"/>
        </w:rPr>
        <w:t xml:space="preserve">This Annex excludes any tier consequence, sanctions measure, security posture, or dispute outcome from touching a certified humanitarian flow, at any point and under any circumstance, including during an active Tier 3 Architectural Breach event affecting the surrounding corridor system. A humanitarian vessel continues to move even where the corridor around it pauses under an Incident Ladder Level 4 or 5 response.</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J</w:t>
      </w:r>
      <w:r>
        <w:rPr>
          <w:rFonts w:ascii="Calibri" w:cs="Calibri" w:eastAsia="Calibri" w:hAnsi="Calibri"/>
          <w:b/>
          <w:bCs/>
          <w:color w:val="1B2A4A"/>
          <w:sz w:val="30"/>
          <w:szCs w:val="30"/>
        </w:rPr>
        <w:br/>
        <w:t xml:space="preserve">  Master Timeline: The Five-Day Activation and the Graduated Gate Schedule</w:t>
      </w:r>
    </w:p>
    <w:p>
      <w:pPr>
        <w:spacing w:after="200" w:before="0" w:line="288"/>
        <w:jc w:val="both"/>
      </w:pPr>
      <w:r>
        <w:rPr>
          <w:rFonts w:ascii="Calibri" w:cs="Calibri" w:eastAsia="Calibri" w:hAnsi="Calibri"/>
          <w:b w:val="false"/>
          <w:bCs w:val="false"/>
          <w:i w:val="false"/>
          <w:iCs w:val="false"/>
          <w:color w:val="1A1A1A"/>
          <w:sz w:val="22"/>
          <w:szCs w:val="22"/>
        </w:rPr>
        <w:t xml:space="preserve">This Annex operationalizes Article 22. It sets two linked but distinct timelines: the Five-Day Activation, which delivers complete physical reopening of the Governance Area to commercial traffic, and the Graduated Gate Schedule, which matures the institutional, financial, and security architecture around that reopening over the following months. The design principle throughout is concurrent activation: every track moves from Day 0, and no track waits on another.</w:t>
      </w:r>
    </w:p>
    <w:p>
      <w:pPr>
        <w:pStyle w:val="Heading2"/>
        <w:spacing w:after="180" w:before="360"/>
      </w:pPr>
      <w:r>
        <w:rPr>
          <w:rFonts w:ascii="Calibri" w:cs="Calibri" w:eastAsia="Calibri" w:hAnsi="Calibri"/>
          <w:b/>
          <w:bCs/>
          <w:color w:val="1B2A4A"/>
          <w:sz w:val="26"/>
          <w:szCs w:val="26"/>
        </w:rPr>
        <w:t xml:space="preserve">J.1 The Five-Day Activation, Hour by Hour</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400"/>
        <w:gridCol w:w="7950"/>
      </w:tblGrid>
      <w:tr>
        <w:trPr>
          <w:tblHeader/>
        </w:trPr>
        <w:tc>
          <w:tcPr>
            <w:tcW w:type="dxa" w:w="1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Day</w:t>
            </w:r>
          </w:p>
        </w:tc>
        <w:tc>
          <w:tcPr>
            <w:tcW w:type="dxa" w:w="79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Milestone</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0</w:t>
            </w:r>
          </w:p>
        </w:tc>
        <w:tc>
          <w:tcPr>
            <w:tcW w:type="dxa" w:w="7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Signature. Standstill Declaration freezes all military and enforcement postures at their Day-0 positions. Crisis Hotline Network activates live, fifteen-minute answer standard in effect immediately. Humanitarian Bridge opens immediately for certified cargo, ahead of every other activation track. Joint Coordination Center pre-accredited personnel convene at Muscat.</w:t>
            </w:r>
          </w:p>
        </w:tc>
      </w:tr>
      <w:tr>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1</w:t>
            </w:r>
          </w:p>
        </w:tc>
        <w:tc>
          <w:tcPr>
            <w:tcW w:type="dxa" w:w="7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Provisional corridor guidance publishes on the Hormuz Transit Portal, using the Annex A waypoint chain. Hormuz Transit Portal opens for notification filings under Annex B. Joint hydrographic survey team deploys to begin corridor verification. Fund’s Hormuz Account activates for initial Sovereign Channel contributions.</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2</w:t>
            </w:r>
          </w:p>
        </w:tc>
        <w:tc>
          <w:tcPr>
            <w:tcW w:type="dxa" w:w="7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Buffer Corridor opens to traffic first, under joint Iran-Oman administration, carrying emergency-routing and low-risk transitional classification from participating insurers. United States Phase-One escort assets take up Buffer Corridor overwatch positions under Council authorization.</w:t>
            </w:r>
          </w:p>
        </w:tc>
      </w:tr>
      <w:tr>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3</w:t>
            </w:r>
          </w:p>
        </w:tc>
        <w:tc>
          <w:tcPr>
            <w:tcW w:type="dxa" w:w="7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Outbound Corridor opens to traffic under Omani administration. Joint Survey and Clearance Group certifies the Outbound Corridor segment clear under Annex H. Joint Coordination Center reaches twenty-four-hour staffing.</w:t>
            </w:r>
          </w:p>
        </w:tc>
      </w:tr>
      <w:tr>
        <w:tc>
          <w:tcPr>
            <w:tcW w:type="dxa" w:w="1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4</w:t>
            </w:r>
          </w:p>
        </w:tc>
        <w:tc>
          <w:tcPr>
            <w:tcW w:type="dxa" w:w="7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Inbound Corridor opens to traffic under Iranian administration, at the Article 8 baseline functional weight of thirty-three percent. Fused radar and AIS picture reaches full resolution across all three corridors. GCC and United States observer monitoring access activates.</w:t>
            </w:r>
          </w:p>
        </w:tc>
      </w:tr>
      <w:tr>
        <w:tc>
          <w:tcPr>
            <w:tcW w:type="dxa" w:w="1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5</w:t>
            </w:r>
          </w:p>
        </w:tc>
        <w:tc>
          <w:tcPr>
            <w:tcW w:type="dxa" w:w="7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Full commercial traffic flows across all three corridors. The Authority declares the Strait of Hormuz open under the new governance architecture. The Good-Behavior Escalator clock starts. This declaration supersedes and terminates every wartime routing scheme under Annex A Section A.6.</w:t>
            </w:r>
          </w:p>
        </w:tc>
      </w:tr>
    </w:tbl>
    <w:tbl>
      <w:tblPr>
        <w:tblW w:type="dxa" w:w="9350"/>
        <w:tblBorders>
          <w:top w:val="single" w:color="A9862F" w:sz="6"/>
          <w:left w:val="single" w:color="A9862F" w:sz="6"/>
          <w:bottom w:val="single" w:color="A9862F" w:sz="6"/>
          <w:right w:val="single" w:color="A9862F" w:sz="6"/>
          <w:insideH w:val="single" w:color="auto" w:sz="4"/>
          <w:insideV w:val="single" w:color="auto" w:sz="4"/>
        </w:tblBorders>
      </w:tblPr>
      <w:tblGrid>
        <w:gridCol w:w="9350"/>
      </w:tblGrid>
      <w:tr>
        <w:tc>
          <w:tcPr>
            <w:tcW w:type="dxa" w:w="9350"/>
            <w:shd w:fill="F2EBDA"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Sequencing Logic</w:t>
            </w:r>
          </w:p>
          <w:p>
            <w:pPr>
              <w:spacing w:after="0" w:line="276"/>
            </w:pPr>
            <w:r>
              <w:rPr>
                <w:rFonts w:ascii="Calibri" w:cs="Calibri" w:eastAsia="Calibri" w:hAnsi="Calibri"/>
                <w:i/>
                <w:iCs/>
                <w:color w:val="3A3A3A"/>
                <w:sz w:val="21"/>
                <w:szCs w:val="21"/>
              </w:rPr>
              <w:t xml:space="preserve">The Buffer Corridor opens first because it carries the lowest political friction and the highest immediate safety value. The Outbound Corridor follows because Omani administration draws the least contested political reaction. The Inbound Corridor opens last, on Day 4, so that Iranian functional administration begins only after the surrounding safety architecture already operates and demonstrates stability, reducing the risk that any single corridor’s opening triggers an incident that stalls the whole sequence.</w:t>
            </w:r>
          </w:p>
        </w:tc>
      </w:tr>
    </w:tbl>
    <w:p>
      <w:pPr>
        <w:pStyle w:val="Heading2"/>
        <w:spacing w:after="180" w:before="360"/>
      </w:pPr>
      <w:r>
        <w:rPr>
          <w:rFonts w:ascii="Calibri" w:cs="Calibri" w:eastAsia="Calibri" w:hAnsi="Calibri"/>
          <w:b/>
          <w:bCs/>
          <w:color w:val="1B2A4A"/>
          <w:sz w:val="26"/>
          <w:szCs w:val="26"/>
        </w:rPr>
        <w:t xml:space="preserve">J.2 Why Five Days Is Achievable</w:t>
      </w:r>
    </w:p>
    <w:p>
      <w:pPr>
        <w:spacing w:after="200" w:before="0" w:line="288"/>
        <w:jc w:val="both"/>
      </w:pPr>
      <w:r>
        <w:rPr>
          <w:rFonts w:ascii="Calibri" w:cs="Calibri" w:eastAsia="Calibri" w:hAnsi="Calibri"/>
          <w:b w:val="false"/>
          <w:bCs w:val="false"/>
          <w:i w:val="false"/>
          <w:iCs w:val="false"/>
          <w:color w:val="1A1A1A"/>
          <w:sz w:val="22"/>
          <w:szCs w:val="22"/>
        </w:rPr>
        <w:t xml:space="preserve">A conventional strait-reopening sequence runs ninety to one hundred twenty days because it builds corridor geometry, technical mapping, and safety protocols from scratch. This Accord activates in five days because those components already carry near-complete convergence from the Iran-Oman working-group process concluded through August 2026: route coordinates, entry and exit points, and the inbound-outbound-buffer architecture were already agreed in principle before this Accord’s signature. The five-day sequence resolves only the four components that process left outstanding, security authority, fee structure, activation mechanism, and multilateral acceptance, each of which this Accord’s Core Articles and Annexes C, D, and E resolve directly, in advance of Day 0.</w:t>
      </w:r>
    </w:p>
    <w:p>
      <w:pPr>
        <w:pStyle w:val="Heading2"/>
        <w:spacing w:after="180" w:before="360"/>
      </w:pPr>
      <w:r>
        <w:rPr>
          <w:rFonts w:ascii="Calibri" w:cs="Calibri" w:eastAsia="Calibri" w:hAnsi="Calibri"/>
          <w:b/>
          <w:bCs/>
          <w:color w:val="1B2A4A"/>
          <w:sz w:val="26"/>
          <w:szCs w:val="26"/>
        </w:rPr>
        <w:t xml:space="preserve">J.3 The Graduated Gate Schedule, Day 5 Through Day 120</w:t>
      </w:r>
    </w:p>
    <w:p>
      <w:pPr>
        <w:spacing w:after="200" w:before="0" w:line="288"/>
        <w:jc w:val="both"/>
      </w:pPr>
      <w:r>
        <w:rPr>
          <w:rFonts w:ascii="Calibri" w:cs="Calibri" w:eastAsia="Calibri" w:hAnsi="Calibri"/>
          <w:b w:val="false"/>
          <w:bCs w:val="false"/>
          <w:i w:val="false"/>
          <w:iCs w:val="false"/>
          <w:color w:val="1A1A1A"/>
          <w:sz w:val="22"/>
          <w:szCs w:val="22"/>
        </w:rPr>
        <w:t xml:space="preserve">Physical reopening at Day 5 operates as a distinct layer from institutional maturation, which proceeds afterward on eight concurrent tracks: navigation, security, verification, fees, environmental, humanitarian, governance, and the United States rebalancing interface. No track’s pace constrains another’s.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200"/>
        <w:gridCol w:w="1200"/>
        <w:gridCol w:w="6950"/>
      </w:tblGrid>
      <w:tr>
        <w:trPr>
          <w:tblHeader/>
        </w:trPr>
        <w:tc>
          <w:tcPr>
            <w:tcW w:type="dxa" w:w="1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Gate</w:t>
            </w:r>
          </w:p>
        </w:tc>
        <w:tc>
          <w:tcPr>
            <w:tcW w:type="dxa" w:w="1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Day</w:t>
            </w:r>
          </w:p>
        </w:tc>
        <w:tc>
          <w:tcPr>
            <w:tcW w:type="dxa" w:w="69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Certification</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One</w:t>
            </w:r>
          </w:p>
        </w:tc>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5</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Five-Day Activation complete. All three corridors carry commercial traffic. Good-Behavior Escalator clock starts.</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Two</w:t>
            </w:r>
          </w:p>
        </w:tc>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30</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Escalator reaches week-four milestone absent a reset. United States Phase-One Security Protocol review completes under Annex C Section C.9. First Services Fund quarterly account publishes. First Sovereign Channel tranche to the Reconstruction Facility releases under Annex N.</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Three</w:t>
            </w:r>
          </w:p>
        </w:tc>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45</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Joint hydrographic survey completes; final, surveyed corridor coordinates register with the International Maritime Organization, superseding the provisional Annex A chain. Regional Tribunal seats its five judges. Integrated Patrol Rotation begins Stage One under Annex C Section C.11.</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Four</w:t>
            </w:r>
          </w:p>
        </w:tc>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60</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Escalator reaches week-seven milestone absent a reset; full Iranian functional control activates at the sixty percent permanent floor if sustained. Stability Audit convenes across the five domains of Section J.5.</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Five</w:t>
            </w:r>
          </w:p>
        </w:tc>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75</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Full Verification and Surveillance Directorate staffing complete. Third-Party Telemetry Tie-Breaker fully integrated. Second Reconstruction Facility tranche releases.</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Six</w:t>
            </w:r>
          </w:p>
        </w:tc>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90</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Fund completes its first full quarterly audit cycle. Green Discount program activates for certified vessels. Marine protected area designations finalize under Annex H.</w:t>
            </w:r>
          </w:p>
        </w:tc>
      </w:tr>
      <w:tr>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Seven</w:t>
            </w:r>
          </w:p>
        </w:tc>
        <w:tc>
          <w:tcPr>
            <w:tcW w:type="dxa" w:w="1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105</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Full operating capability across every institutional track. Declassification clock under Annex F Section F.12 begins counting toward its first-anniversary trigger.</w:t>
            </w:r>
          </w:p>
        </w:tc>
      </w:tr>
      <w:tr>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Eight (Permanent Standing)</w:t>
            </w:r>
          </w:p>
        </w:tc>
        <w:tc>
          <w:tcPr>
            <w:tcW w:type="dxa" w:w="1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Day 120</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Council certifies permanent standing of the full governance architecture. Comprehensive relief and sanctions-adjacent milestones under the wider Islamabad-track process complete their scheduled tranches, synchronized with, but administratively distinct from, this Accord’s own gates.</w:t>
            </w:r>
          </w:p>
        </w:tc>
      </w:tr>
    </w:tbl>
    <w:p>
      <w:pPr>
        <w:pStyle w:val="Heading2"/>
        <w:spacing w:after="180" w:before="360"/>
      </w:pPr>
      <w:r>
        <w:rPr>
          <w:rFonts w:ascii="Calibri" w:cs="Calibri" w:eastAsia="Calibri" w:hAnsi="Calibri"/>
          <w:b/>
          <w:bCs/>
          <w:color w:val="1B2A4A"/>
          <w:sz w:val="26"/>
          <w:szCs w:val="26"/>
        </w:rPr>
        <w:t xml:space="preserve">J.4 The Emergency Acceleration Clause</w:t>
      </w:r>
    </w:p>
    <w:p>
      <w:pPr>
        <w:spacing w:after="200" w:before="0" w:line="288"/>
        <w:jc w:val="both"/>
      </w:pPr>
      <w:r>
        <w:rPr>
          <w:rFonts w:ascii="Calibri" w:cs="Calibri" w:eastAsia="Calibri" w:hAnsi="Calibri"/>
          <w:b w:val="false"/>
          <w:bCs w:val="false"/>
          <w:i w:val="false"/>
          <w:iCs w:val="false"/>
          <w:color w:val="1A1A1A"/>
          <w:sz w:val="22"/>
          <w:szCs w:val="22"/>
        </w:rPr>
        <w:t xml:space="preserve">Upon joint Iran-Oman certification that a given gate’s underlying metrics clear ahead of schedule, the Council compresses the remaining schedule by fifty percent for that track, without altering the metrics themselves. This Annex excludes any acceleration that skips a certification step; acceleration compresses time between steps, never the steps required.</w:t>
      </w:r>
    </w:p>
    <w:p>
      <w:pPr>
        <w:pStyle w:val="Heading2"/>
        <w:spacing w:after="180" w:before="360"/>
      </w:pPr>
      <w:r>
        <w:rPr>
          <w:rFonts w:ascii="Calibri" w:cs="Calibri" w:eastAsia="Calibri" w:hAnsi="Calibri"/>
          <w:b/>
          <w:bCs/>
          <w:color w:val="1B2A4A"/>
          <w:sz w:val="26"/>
          <w:szCs w:val="26"/>
        </w:rPr>
        <w:t xml:space="preserve">J.5 The Sixty-Day Stability Audit</w:t>
      </w:r>
    </w:p>
    <w:p>
      <w:pPr>
        <w:spacing w:after="200" w:before="0" w:line="288"/>
        <w:jc w:val="both"/>
      </w:pPr>
      <w:r>
        <w:rPr>
          <w:rFonts w:ascii="Calibri" w:cs="Calibri" w:eastAsia="Calibri" w:hAnsi="Calibri"/>
          <w:b w:val="false"/>
          <w:bCs w:val="false"/>
          <w:i w:val="false"/>
          <w:iCs w:val="false"/>
          <w:color w:val="1A1A1A"/>
          <w:sz w:val="22"/>
          <w:szCs w:val="22"/>
        </w:rPr>
        <w:t xml:space="preserve">At Gate Four, the Council reviews five domains: navigation and AIS compliance, security and deconfliction performance, monitoring and transparency, environmental and safety performance, and fee and payment-routing reliability, using the metrics Annex F’s technical schedule defines for each domain. The Audit produces one of three outcomes: Pass, activating the schedule’s continuation without adjustment; Conditional Pass, triggering targeted Annex adjustment in the affected domain only; or Fail, extending the current gate’s timeline without reopening the Core Accord or any gate already certified.</w:t>
      </w:r>
    </w:p>
    <w:p>
      <w:pPr>
        <w:pStyle w:val="Heading2"/>
        <w:spacing w:after="180" w:before="360"/>
      </w:pPr>
      <w:r>
        <w:rPr>
          <w:rFonts w:ascii="Calibri" w:cs="Calibri" w:eastAsia="Calibri" w:hAnsi="Calibri"/>
          <w:b/>
          <w:bCs/>
          <w:color w:val="1B2A4A"/>
          <w:sz w:val="26"/>
          <w:szCs w:val="26"/>
        </w:rPr>
        <w:t xml:space="preserve">J.6 The United States Rebalancing Timeline</w:t>
      </w:r>
    </w:p>
    <w:p>
      <w:pPr>
        <w:spacing w:after="200" w:before="0" w:line="288"/>
        <w:jc w:val="both"/>
      </w:pPr>
      <w:r>
        <w:rPr>
          <w:rFonts w:ascii="Calibri" w:cs="Calibri" w:eastAsia="Calibri" w:hAnsi="Calibri"/>
          <w:b w:val="false"/>
          <w:bCs w:val="false"/>
          <w:i w:val="false"/>
          <w:iCs w:val="false"/>
          <w:color w:val="1A1A1A"/>
          <w:sz w:val="22"/>
          <w:szCs w:val="22"/>
        </w:rPr>
        <w:t xml:space="preserve">Article 10’s three-stage rebalancing sequence runs on its own month-based clock, independent of the day-based Gate Schedule above, beginning at Gate Two: Stage One, months one through twelve, soft presence reduction and remote overwatch adoption; Stage Two, months twelve through twenty-four, full Integrated Patrol Rotation assumption of maritime-security tasking; Stage Three, months twenty-four through thirty-six, drawdown of dedicated United States assets to a standing logistics and rapid-response posture. A completed stage locks under this Annex’s Forward Drift principle: once the Council certifies a stage complete, that stage does not reopen due to a change of government in any capital, and any future adjustment to United States posture routes through the standing Maritime Coordination Center channel rather than through unilateral national action.</w:t>
      </w:r>
    </w:p>
    <w:p>
      <w:pPr>
        <w:pStyle w:val="Heading2"/>
        <w:spacing w:after="180" w:before="360"/>
      </w:pPr>
      <w:r>
        <w:rPr>
          <w:rFonts w:ascii="Calibri" w:cs="Calibri" w:eastAsia="Calibri" w:hAnsi="Calibri"/>
          <w:b/>
          <w:bCs/>
          <w:color w:val="1B2A4A"/>
          <w:sz w:val="26"/>
          <w:szCs w:val="26"/>
        </w:rPr>
        <w:t xml:space="preserve">J.7 Corridor Sequencing Rationale Mapped to the Negotiating Record</w:t>
      </w:r>
    </w:p>
    <w:p>
      <w:pPr>
        <w:spacing w:after="200" w:before="0" w:line="288"/>
        <w:jc w:val="both"/>
      </w:pPr>
      <w:r>
        <w:rPr>
          <w:rFonts w:ascii="Calibri" w:cs="Calibri" w:eastAsia="Calibri" w:hAnsi="Calibri"/>
          <w:b w:val="false"/>
          <w:bCs w:val="false"/>
          <w:i w:val="false"/>
          <w:iCs w:val="false"/>
          <w:color w:val="1A1A1A"/>
          <w:sz w:val="22"/>
          <w:szCs w:val="22"/>
        </w:rPr>
        <w:t xml:space="preserve">This Annex’s sequencing choices map directly onto the specific state of the public negotiating record at the time of this Accord’s drafting. Iran and Oman’s foreign ministries reported "almost all issues" agreed on entry and exit routing by early August 2026, with the geographic coordinates of a new safe shipping route already settled between the two coastal states, leaving security authority, fee structure, the reopening mechanism, and multilateral acceptance as the four genuinely unresolved components. This Annex’s Gate Schedule targets those four components specifically, rather than reopening the corridor geometry question the working-group process had already resolved.</w:t>
      </w:r>
    </w:p>
    <w:p>
      <w:pPr>
        <w:spacing w:after="200" w:before="0" w:line="288"/>
        <w:jc w:val="both"/>
      </w:pPr>
      <w:r>
        <w:rPr>
          <w:rFonts w:ascii="Calibri" w:cs="Calibri" w:eastAsia="Calibri" w:hAnsi="Calibri"/>
          <w:b w:val="false"/>
          <w:bCs w:val="false"/>
          <w:i w:val="false"/>
          <w:iCs w:val="false"/>
          <w:color w:val="1A1A1A"/>
          <w:sz w:val="22"/>
          <w:szCs w:val="22"/>
        </w:rPr>
        <w:t xml:space="preserve">The decision to open the Buffer Corridor first, then the Outbound Corridor, then the Inbound Corridor last, responds directly to the asymmetry in the public record between Omani-administered routing, which drew broad multilateral comfort throughout the process, and Iranian-administered inbound routing, which the United States position explicitly excluded from unilateral Iranian control. Sequencing the politically comfortable corridor first and the politically sensitive corridor last, once the surrounding safety architecture already demonstrates a working track record, reduces the chance that the most contested element of the system becomes its first and only test.</w:t>
      </w:r>
    </w:p>
    <w:p>
      <w:pPr>
        <w:spacing w:after="200" w:before="0" w:line="288"/>
        <w:jc w:val="both"/>
      </w:pPr>
      <w:r>
        <w:rPr>
          <w:rFonts w:ascii="Calibri" w:cs="Calibri" w:eastAsia="Calibri" w:hAnsi="Calibri"/>
          <w:b w:val="false"/>
          <w:bCs w:val="false"/>
          <w:i w:val="false"/>
          <w:iCs w:val="false"/>
          <w:color w:val="1A1A1A"/>
          <w:sz w:val="22"/>
          <w:szCs w:val="22"/>
        </w:rPr>
        <w:t xml:space="preserve">The Escalator’s week-based cadence, rather than a single Day-5 grant of full Iranian functional control, responds to the explicit United States position that Iranian unilateral control of any corridor is unacceptable, and to the equally explicit Iranian position that its coastal management role deserves continuous, formal recognition rather than a temporary or revocable arrangement. A thirty-three percent baseline satisfies the immediate recognition Iran seeks; growth to a sixty percent floor, gated behind seven weeks of verified performance and permanently bounded short of majority control, satisfies the ceiling the United States position requires.</w:t>
      </w:r>
    </w:p>
    <w:p>
      <w:pPr>
        <w:spacing w:after="200" w:before="0" w:line="288"/>
        <w:jc w:val="both"/>
      </w:pPr>
      <w:r>
        <w:rPr>
          <w:rFonts w:ascii="Calibri" w:cs="Calibri" w:eastAsia="Calibri" w:hAnsi="Calibri"/>
          <w:b w:val="false"/>
          <w:bCs w:val="false"/>
          <w:i w:val="false"/>
          <w:iCs w:val="false"/>
          <w:color w:val="1A1A1A"/>
          <w:sz w:val="22"/>
          <w:szCs w:val="22"/>
        </w:rPr>
        <w:t xml:space="preserve">The fee architecture’s Tri-Channel design responds to the explicit and repeated Gulf Cooperation Council and European Union joint position rejecting any transit fee, clearance requirement, or service-related condition on international maritime traffic, alongside the equally explicit Iranian position that a functioning corridor system requires a real revenue base. Structuring the charge so that it never attaches to the vessel at the point of transit, routing instead through insurance premiums and port-of-origin documentation the vessel already pays, resolves the apparent contradiction between these two positions without requiring either side to abandon its stated position.</w:t>
      </w:r>
    </w:p>
    <w:p>
      <w:pPr>
        <w:pStyle w:val="Heading2"/>
        <w:spacing w:after="180" w:before="360"/>
      </w:pPr>
      <w:r>
        <w:rPr>
          <w:rFonts w:ascii="Calibri" w:cs="Calibri" w:eastAsia="Calibri" w:hAnsi="Calibri"/>
          <w:b/>
          <w:bCs/>
          <w:color w:val="1B2A4A"/>
          <w:sz w:val="26"/>
          <w:szCs w:val="26"/>
        </w:rPr>
        <w:t xml:space="preserve">J.8 A Quick-Reference Card for Ship Masters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Question</w:t>
            </w:r>
          </w:p>
        </w:tc>
        <w:tc>
          <w:tcPr>
            <w:tcW w:type="dxa" w:w="61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Answer</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What do I file, and where?</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One Form HTP-1 filing through the Hormuz Transit Portal, Annex O and Annex B</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How soon does my vessel proceed?</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Sixty minutes of silence after a complete filing constitutes acknowledgment, Article 6</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Do I pay anything to pass?</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Passage carries no charge. A requested optional service carries a published reimbursement, Annex D</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What if I have an emergency?</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Contact the Joint Coordination Center immediately; the Absolute Non-Interdiction Protocol’s distress and rescue exceptions apply at once, Annex C Section C.1</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What if my AIS fails?</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Report the failure; an interruption under four hours with no pattern carries no penalty, Annex F Section F.3 and Annex Q Section Q.1</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Which corridor do I use?</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Inbound for Gulf-entering traffic, Outbound for Gulf-exiting traffic, Buffer for emergency or diversion routing, Annex A</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Who do I call if something looks wrong nearby?</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Maritime Coordination Center hotline, fifteen-minute answer standard, Annex C Section C.4</w:t>
            </w:r>
          </w:p>
        </w:tc>
      </w:tr>
    </w:tbl>
    <w:p>
      <w:pPr>
        <w:pStyle w:val="Heading2"/>
        <w:spacing w:after="180" w:before="360"/>
      </w:pPr>
      <w:r>
        <w:rPr>
          <w:rFonts w:ascii="Calibri" w:cs="Calibri" w:eastAsia="Calibri" w:hAnsi="Calibri"/>
          <w:b/>
          <w:bCs/>
          <w:color w:val="1B2A4A"/>
          <w:sz w:val="26"/>
          <w:szCs w:val="26"/>
        </w:rPr>
        <w:t xml:space="preserve">J.9 Concurrent Activation Doctrine</w:t>
      </w:r>
    </w:p>
    <w:p>
      <w:pPr>
        <w:spacing w:after="200" w:before="0" w:line="288"/>
        <w:jc w:val="both"/>
      </w:pPr>
      <w:r>
        <w:rPr>
          <w:rFonts w:ascii="Calibri" w:cs="Calibri" w:eastAsia="Calibri" w:hAnsi="Calibri"/>
          <w:b w:val="false"/>
          <w:bCs w:val="false"/>
          <w:i w:val="false"/>
          <w:iCs w:val="false"/>
          <w:color w:val="1A1A1A"/>
          <w:sz w:val="22"/>
          <w:szCs w:val="22"/>
        </w:rPr>
        <w:t xml:space="preserve">Every track in Section J.3 begins moving from Day 0, in parallel, rather than in sequence. This Annex excludes a design in which the fee architecture, the verification system, or the governance institutions wait for the corridor system to finish opening before they begin standing up. By Day 5, when the last corridor opens, every other institutional track already carries five days of operating history, so the system that greets the first full day of unrestricted commercial traffic is not a system starting from zero.</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K</w:t>
      </w:r>
      <w:r>
        <w:rPr>
          <w:rFonts w:ascii="Calibri" w:cs="Calibri" w:eastAsia="Calibri" w:hAnsi="Calibri"/>
          <w:b/>
          <w:bCs/>
          <w:color w:val="1B2A4A"/>
          <w:sz w:val="30"/>
          <w:szCs w:val="30"/>
        </w:rPr>
        <w:br/>
        <w:t xml:space="preserve">  Red Lines Register</w:t>
      </w:r>
    </w:p>
    <w:p>
      <w:pPr>
        <w:spacing w:after="200" w:before="0" w:line="288"/>
        <w:jc w:val="both"/>
      </w:pPr>
      <w:r>
        <w:rPr>
          <w:rFonts w:ascii="Calibri" w:cs="Calibri" w:eastAsia="Calibri" w:hAnsi="Calibri"/>
          <w:b w:val="false"/>
          <w:bCs w:val="false"/>
          <w:i w:val="false"/>
          <w:iCs w:val="false"/>
          <w:color w:val="1A1A1A"/>
          <w:sz w:val="22"/>
          <w:szCs w:val="22"/>
        </w:rPr>
        <w:t xml:space="preserve">This Annex records every Party’s non-negotiable interests in a single, transparent register. Each line names the interest and the holder or holders whose consent activates any amendment touching it. The Perimeter Test in Section K.2 screens every proposed measure against this Register before adoption.</w:t>
      </w:r>
    </w:p>
    <w:p>
      <w:pPr>
        <w:pStyle w:val="Heading2"/>
        <w:spacing w:after="180" w:before="360"/>
      </w:pPr>
      <w:r>
        <w:rPr>
          <w:rFonts w:ascii="Calibri" w:cs="Calibri" w:eastAsia="Calibri" w:hAnsi="Calibri"/>
          <w:b/>
          <w:bCs/>
          <w:color w:val="1B2A4A"/>
          <w:sz w:val="26"/>
          <w:szCs w:val="26"/>
        </w:rPr>
        <w:t xml:space="preserve">K.1 The Register</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500"/>
        <w:gridCol w:w="5900"/>
        <w:gridCol w:w="2950"/>
      </w:tblGrid>
      <w:tr>
        <w:trPr>
          <w:tblHeader/>
        </w:trPr>
        <w:tc>
          <w:tcPr>
            <w:tcW w:type="dxa" w:w="5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w:t>
            </w:r>
          </w:p>
        </w:tc>
        <w:tc>
          <w:tcPr>
            <w:tcW w:type="dxa" w:w="59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Protected Line</w:t>
            </w:r>
          </w:p>
        </w:tc>
        <w:tc>
          <w:tcPr>
            <w:tcW w:type="dxa" w:w="29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Holder(s)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toll on passage, under any label</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 GCC, shipping industry</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permission-based transit regime</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 shipping industry</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unilateral control of the Strait by any single Party</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 GCC</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4</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Recognition of Iran and Oman’s continuous coastal-management role</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Oman</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foreign command authority over the corridor architecture</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Oman, GCC</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6</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End of the naval blockade of Iranian ports</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7</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End of strikes on Iranian territory</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8</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End of attacks on commercial shipping</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 GCC, shipping industry</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9</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Lawful reimbursement for genuine, audited services</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10</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Sanctions-compatible payment channels for every contributor</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 Oman, Fund contributors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11</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Sovereignty, territorial waters, and maritime boundaries untouched</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All littoral states</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12</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mines in the Governance Area</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All Parties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13</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Humanitarian cargo moves first, under every condition</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All Parties</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14</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Monitoring data serves technical verification only, never kinetic action</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all Parties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15</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Transparency and a seat at the table for GCC and Iraq</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GCC, Iraq</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16</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verification architecture acceptable to both Founding Parties</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United States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17</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Neutrality and a quiet, non-escalatory process</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Oman</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18</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precedent for tolls in other international straits</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Shipping industry, maritime states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19</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Cost certainty and predictability for operators</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Shipping industry</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20</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Continuity of operations regardless of bilateral political tension</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All Parties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21</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Strait does not revert to unmanaged, ad hoc wartime routing</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22</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third-state clearance activity without the relevant coastal state’s invitation</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Oman</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23</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Acknowledgment and a hearing before any consequence attaches to an alleged violation</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24</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requirement of direct Iran-United States contact for this Accord’s operation</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United States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25</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Immediate relief and repatriation support for stranded mariners</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All Parties</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26</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crisis-speed timeline that never trades proof for haste</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All Parties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27</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This Accord addresses maritime governance only, excluding the nuclear file entirely</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United States, all Parties</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28</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United States command authority over Iranian or Omani forces</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Oman</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29</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characterization of the United States rebalancing as expulsion or defeat</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30</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Twin-Key requirement applies at every Escalator weight level, including 100%</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 GCC</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31</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Good-Behavior Escalator operates automatically, without a fresh political vote each week</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32</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direct United States Treasury payment obligation to Iran</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w:t>
            </w:r>
          </w:p>
        </w:tc>
      </w:tr>
      <w:tr>
        <w:tc>
          <w:tcPr>
            <w:tcW w:type="dxa" w:w="5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33</w:t>
            </w:r>
          </w:p>
        </w:tc>
        <w:tc>
          <w:tcPr>
            <w:tcW w:type="dxa" w:w="5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Verification without humiliation, conducted on reciprocal terms</w:t>
            </w:r>
          </w:p>
        </w:tc>
        <w:tc>
          <w:tcPr>
            <w:tcW w:type="dxa" w:w="2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w:t>
            </w:r>
          </w:p>
        </w:tc>
      </w:tr>
      <w:tr>
        <w:tc>
          <w:tcPr>
            <w:tcW w:type="dxa" w:w="5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34</w:t>
            </w:r>
          </w:p>
        </w:tc>
        <w:tc>
          <w:tcPr>
            <w:tcW w:type="dxa" w:w="5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 regime-change objective embedded in this Accord’s architecture</w:t>
            </w:r>
          </w:p>
        </w:tc>
        <w:tc>
          <w:tcPr>
            <w:tcW w:type="dxa" w:w="2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all Parties</w:t>
            </w:r>
          </w:p>
        </w:tc>
      </w:tr>
    </w:tbl>
    <w:p>
      <w:pPr>
        <w:pStyle w:val="Heading2"/>
        <w:spacing w:after="180" w:before="360"/>
      </w:pPr>
      <w:r>
        <w:rPr>
          <w:rFonts w:ascii="Calibri" w:cs="Calibri" w:eastAsia="Calibri" w:hAnsi="Calibri"/>
          <w:b/>
          <w:bCs/>
          <w:color w:val="1B2A4A"/>
          <w:sz w:val="26"/>
          <w:szCs w:val="26"/>
        </w:rPr>
        <w:t xml:space="preserve">K.2 The Perimeter Test</w:t>
      </w:r>
    </w:p>
    <w:p>
      <w:pPr>
        <w:spacing w:after="200" w:before="0" w:line="288"/>
        <w:jc w:val="both"/>
      </w:pPr>
      <w:r>
        <w:rPr>
          <w:rFonts w:ascii="Calibri" w:cs="Calibri" w:eastAsia="Calibri" w:hAnsi="Calibri"/>
          <w:b w:val="false"/>
          <w:bCs w:val="false"/>
          <w:i w:val="false"/>
          <w:iCs w:val="false"/>
          <w:color w:val="1A1A1A"/>
          <w:sz w:val="22"/>
          <w:szCs w:val="22"/>
        </w:rPr>
        <w:t xml:space="preserve">Before the Council adopts any amendment, Annex, or operational measure under this Accord, the proposing body screens the measure against every line in Section K.1: does the measure touch a protected line, and if so, does it cross it. A measure that touches a line without crossing it proceeds through the ordinary amendment procedure of Article 23. A measure that crosses a line activates only with the affirmative consensus of that line’s named holder or holders, regardless of the general voting rule that would otherwise apply. A measure failing this Test at either stage carries no legal effect under this Accord.</w:t>
      </w:r>
    </w:p>
    <w:p>
      <w:pPr>
        <w:pStyle w:val="Heading2"/>
        <w:spacing w:after="180" w:before="360"/>
      </w:pPr>
      <w:r>
        <w:rPr>
          <w:rFonts w:ascii="Calibri" w:cs="Calibri" w:eastAsia="Calibri" w:hAnsi="Calibri"/>
          <w:b/>
          <w:bCs/>
          <w:color w:val="1B2A4A"/>
          <w:sz w:val="26"/>
          <w:szCs w:val="26"/>
        </w:rPr>
        <w:t xml:space="preserve">K.3 No Trading of Lines</w:t>
      </w:r>
    </w:p>
    <w:p>
      <w:pPr>
        <w:spacing w:after="200" w:before="0" w:line="288"/>
        <w:jc w:val="both"/>
      </w:pPr>
      <w:r>
        <w:rPr>
          <w:rFonts w:ascii="Calibri" w:cs="Calibri" w:eastAsia="Calibri" w:hAnsi="Calibri"/>
          <w:b w:val="false"/>
          <w:bCs w:val="false"/>
          <w:i w:val="false"/>
          <w:iCs w:val="false"/>
          <w:color w:val="1A1A1A"/>
          <w:sz w:val="22"/>
          <w:szCs w:val="22"/>
        </w:rPr>
        <w:t xml:space="preserve">This Annex excludes any arrangement that trades one Party’s protected line against another Party’s protected line as a negotiating concession. Each line in the Register stands independently, and the Council resolves an apparent tension between two lines through redesign of the specific measure at issue, not through sacrifice of either line.</w:t>
      </w:r>
    </w:p>
    <w:p>
      <w:pPr>
        <w:pStyle w:val="Heading2"/>
        <w:spacing w:after="180" w:before="360"/>
      </w:pPr>
      <w:r>
        <w:rPr>
          <w:rFonts w:ascii="Calibri" w:cs="Calibri" w:eastAsia="Calibri" w:hAnsi="Calibri"/>
          <w:b/>
          <w:bCs/>
          <w:color w:val="1B2A4A"/>
          <w:sz w:val="26"/>
          <w:szCs w:val="26"/>
        </w:rPr>
        <w:t xml:space="preserve">K.4 Illustrative Perimeter Test Walkthrough</w:t>
      </w:r>
    </w:p>
    <w:p>
      <w:pPr>
        <w:spacing w:after="200" w:before="0" w:line="288"/>
        <w:jc w:val="both"/>
      </w:pPr>
      <w:r>
        <w:rPr>
          <w:rFonts w:ascii="Calibri" w:cs="Calibri" w:eastAsia="Calibri" w:hAnsi="Calibri"/>
          <w:b w:val="false"/>
          <w:bCs w:val="false"/>
          <w:i w:val="false"/>
          <w:iCs w:val="false"/>
          <w:color w:val="1A1A1A"/>
          <w:sz w:val="22"/>
          <w:szCs w:val="22"/>
        </w:rPr>
        <w:t xml:space="preserve">The following illustrative example shows the Perimeter Test in operation. A proposed measure would let the Fund publish each contributing vessel’s individual payment history on the Transparency Portal, in the interest of maximal transparency. The Test proceeds as follows: the measure touches Line 19, cost certainty and predictability for operators, since public disclosure of individual payment data could expose a shipping line’s commercial routing strategy to competitors. The measure does not cross Line 19 outright, since aggregate and category-level transparency already satisfies the underlying predictability interest without individual disclosure. The Council redesigns the measure accordingly: the Portal publishes aggregate Channel-level totals and category-level averages, satisfying the transparency objective the original proposal sought, without the individual-disclosure feature that would have crossed a Red Line. This is the ordinary operation of the Test: most measures touch a line without needing to cross it, and redesign resolves the tension without invoking the higher consensus threshold Section K.2 reserves for a measure that genuinely cannot avoid crossing a protected line.</w:t>
      </w:r>
    </w:p>
    <w:p>
      <w:pPr>
        <w:pStyle w:val="Heading2"/>
        <w:spacing w:after="180" w:before="360"/>
      </w:pPr>
      <w:r>
        <w:rPr>
          <w:rFonts w:ascii="Calibri" w:cs="Calibri" w:eastAsia="Calibri" w:hAnsi="Calibri"/>
          <w:b/>
          <w:bCs/>
          <w:color w:val="1B2A4A"/>
          <w:sz w:val="26"/>
          <w:szCs w:val="26"/>
        </w:rPr>
        <w:t xml:space="preserve">K.5 Illustrative Example: Two Lines in Apparent Tension</w:t>
      </w:r>
    </w:p>
    <w:p>
      <w:pPr>
        <w:spacing w:after="200" w:before="0" w:line="288"/>
        <w:jc w:val="both"/>
      </w:pPr>
      <w:r>
        <w:rPr>
          <w:rFonts w:ascii="Calibri" w:cs="Calibri" w:eastAsia="Calibri" w:hAnsi="Calibri"/>
          <w:b w:val="false"/>
          <w:bCs w:val="false"/>
          <w:i w:val="false"/>
          <w:iCs w:val="false"/>
          <w:color w:val="1A1A1A"/>
          <w:sz w:val="22"/>
          <w:szCs w:val="22"/>
        </w:rPr>
        <w:t xml:space="preserve">A harder case shows how the Test handles two lines that appear to pull in opposite directions. A proposed measure would let the Maritime Coordination Center share raw sensor data directly with a single Party’s national intelligence service for a period surrounding a specific security incident, in the interest of faster attribution. This measure touches Line 14, the principle that monitoring data serves technical verification only and never feeds kinetic action, and it also touches Line 16, the requirement of a verification architecture acceptable to both Founding Parties. Rather than treating this as a case where one line yields to the other, the Council redesigns the measure under Section K.3’s no-trading principle: the Directorate itself conducts the attribution analysis under the existing False-Flag and Attribution Protocol of Annex C Section C.8, using the same data, and shares only the finished, jointly reviewed determination with every Party simultaneously, rather than routing raw sensor feeds to any single Party’s national intelligence apparatus. This redesign satisfies the original speed concern that motivated the proposal without crossing either line, illustrating that an apparent conflict between two Red Lines is usually a sign that the proposed measure needs redesign, not a sign that the Register itself contains an internal contradiction.</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L</w:t>
      </w:r>
      <w:r>
        <w:rPr>
          <w:rFonts w:ascii="Calibri" w:cs="Calibri" w:eastAsia="Calibri" w:hAnsi="Calibri"/>
          <w:b/>
          <w:bCs/>
          <w:color w:val="1B2A4A"/>
          <w:sz w:val="30"/>
          <w:szCs w:val="30"/>
        </w:rPr>
        <w:br/>
        <w:t xml:space="preserve">  Accession Protocol</w:t>
      </w:r>
    </w:p>
    <w:p>
      <w:pPr>
        <w:spacing w:after="200" w:before="0" w:line="288"/>
        <w:jc w:val="both"/>
      </w:pPr>
      <w:r>
        <w:rPr>
          <w:rFonts w:ascii="Calibri" w:cs="Calibri" w:eastAsia="Calibri" w:hAnsi="Calibri"/>
          <w:b w:val="false"/>
          <w:bCs w:val="false"/>
          <w:i w:val="false"/>
          <w:iCs w:val="false"/>
          <w:color w:val="1A1A1A"/>
          <w:sz w:val="22"/>
          <w:szCs w:val="22"/>
        </w:rPr>
        <w:t xml:space="preserve">This Annex operationalizes Article 21, setting the sequence through which this Accord grows from its Founding-Party core into a durable, region-wide governance system, without destabilizing the core relationship between Iran and Oman that the whole architecture rests upon.</w:t>
      </w:r>
    </w:p>
    <w:p>
      <w:pPr>
        <w:pStyle w:val="Heading2"/>
        <w:spacing w:after="180" w:before="360"/>
      </w:pPr>
      <w:r>
        <w:rPr>
          <w:rFonts w:ascii="Calibri" w:cs="Calibri" w:eastAsia="Calibri" w:hAnsi="Calibri"/>
          <w:b/>
          <w:bCs/>
          <w:color w:val="1B2A4A"/>
          <w:sz w:val="26"/>
          <w:szCs w:val="26"/>
        </w:rPr>
        <w:t xml:space="preserve">L.1 The Layered Participant Structure</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900"/>
        <w:gridCol w:w="3800"/>
        <w:gridCol w:w="3600"/>
      </w:tblGrid>
      <w:tr>
        <w:trPr>
          <w:tblHeader/>
        </w:trPr>
        <w:tc>
          <w:tcPr>
            <w:tcW w:type="dxa" w:w="19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Layer</w:t>
            </w:r>
          </w:p>
        </w:tc>
        <w:tc>
          <w:tcPr>
            <w:tcW w:type="dxa" w:w="38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Participants</w:t>
            </w:r>
          </w:p>
        </w:tc>
        <w:tc>
          <w:tcPr>
            <w:tcW w:type="dxa" w:w="3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Status</w:t>
            </w:r>
          </w:p>
        </w:tc>
      </w:tr>
      <w:tr>
        <w:tc>
          <w:tcPr>
            <w:tcW w:type="dxa" w:w="1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Core Littoral</w:t>
            </w:r>
          </w:p>
        </w:tc>
        <w:tc>
          <w:tcPr>
            <w:tcW w:type="dxa" w:w="3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Oman</w:t>
            </w:r>
          </w:p>
        </w:tc>
        <w:tc>
          <w:tcPr>
            <w:tcW w:type="dxa" w:w="3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Founding Parties, Twin Key</w:t>
            </w:r>
          </w:p>
        </w:tc>
      </w:tr>
      <w:tr>
        <w:tc>
          <w:tcPr>
            <w:tcW w:type="dxa" w:w="1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Secondary Littoral</w:t>
            </w:r>
          </w:p>
        </w:tc>
        <w:tc>
          <w:tcPr>
            <w:tcW w:type="dxa" w:w="3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Arab Emirates, Saudi Arabia, Qatar, Bahrain</w:t>
            </w:r>
          </w:p>
        </w:tc>
        <w:tc>
          <w:tcPr>
            <w:tcW w:type="dxa" w:w="3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Associate Parties, Annex L Fast-Track</w:t>
            </w:r>
          </w:p>
        </w:tc>
      </w:tr>
      <w:tr>
        <w:tc>
          <w:tcPr>
            <w:tcW w:type="dxa" w:w="1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External Users</w:t>
            </w:r>
          </w:p>
        </w:tc>
        <w:tc>
          <w:tcPr>
            <w:tcW w:type="dxa" w:w="3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India, China, Japan, South Korea, European Union member states</w:t>
            </w:r>
          </w:p>
        </w:tc>
        <w:tc>
          <w:tcPr>
            <w:tcW w:type="dxa" w:w="3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Observers</w:t>
            </w:r>
          </w:p>
        </w:tc>
      </w:tr>
      <w:tr>
        <w:tc>
          <w:tcPr>
            <w:tcW w:type="dxa" w:w="1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International Organizations</w:t>
            </w:r>
          </w:p>
        </w:tc>
        <w:tc>
          <w:tcPr>
            <w:tcW w:type="dxa" w:w="3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IMO, IHO, UNMAS, P&amp;I Clubs</w:t>
            </w:r>
          </w:p>
        </w:tc>
        <w:tc>
          <w:tcPr>
            <w:tcW w:type="dxa" w:w="3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Technical Participants</w:t>
            </w:r>
          </w:p>
        </w:tc>
      </w:tr>
      <w:tr>
        <w:tc>
          <w:tcPr>
            <w:tcW w:type="dxa" w:w="1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Guarantor</w:t>
            </w:r>
          </w:p>
        </w:tc>
        <w:tc>
          <w:tcPr>
            <w:tcW w:type="dxa" w:w="3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w:t>
            </w:r>
          </w:p>
        </w:tc>
        <w:tc>
          <w:tcPr>
            <w:tcW w:type="dxa" w:w="3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Guarantor and Endorsing Stakeholder, no vote, no command</w:t>
            </w:r>
          </w:p>
        </w:tc>
      </w:tr>
      <w:tr>
        <w:tc>
          <w:tcPr>
            <w:tcW w:type="dxa" w:w="19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Commercial Actors</w:t>
            </w:r>
          </w:p>
        </w:tc>
        <w:tc>
          <w:tcPr>
            <w:tcW w:type="dxa" w:w="38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Shipping lines, energy companies, maritime insurers, port authorities</w:t>
            </w:r>
          </w:p>
        </w:tc>
        <w:tc>
          <w:tcPr>
            <w:tcW w:type="dxa" w:w="3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Non-State Participants</w:t>
            </w:r>
          </w:p>
        </w:tc>
      </w:tr>
      <w:tr>
        <w:tc>
          <w:tcPr>
            <w:tcW w:type="dxa" w:w="19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Future Participants</w:t>
            </w:r>
          </w:p>
        </w:tc>
        <w:tc>
          <w:tcPr>
            <w:tcW w:type="dxa" w:w="38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Pakistan, Iraq, Kuwait</w:t>
            </w:r>
          </w:p>
        </w:tc>
        <w:tc>
          <w:tcPr>
            <w:tcW w:type="dxa" w:w="3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Eligible for Standard Track accession</w:t>
            </w:r>
          </w:p>
        </w:tc>
      </w:tr>
    </w:tbl>
    <w:p>
      <w:pPr>
        <w:pStyle w:val="Heading2"/>
        <w:spacing w:after="180" w:before="360"/>
      </w:pPr>
      <w:r>
        <w:rPr>
          <w:rFonts w:ascii="Calibri" w:cs="Calibri" w:eastAsia="Calibri" w:hAnsi="Calibri"/>
          <w:b/>
          <w:bCs/>
          <w:color w:val="1B2A4A"/>
          <w:sz w:val="26"/>
          <w:szCs w:val="26"/>
        </w:rPr>
        <w:t xml:space="preserve">L.2 The Accession Sequence</w:t>
      </w:r>
    </w:p>
    <w:p>
      <w:pPr>
        <w:spacing w:after="200" w:before="0" w:line="288"/>
        <w:jc w:val="both"/>
      </w:pPr>
      <w:r>
        <w:rPr>
          <w:rFonts w:ascii="Calibri" w:cs="Calibri" w:eastAsia="Calibri" w:hAnsi="Calibri"/>
          <w:b w:val="false"/>
          <w:bCs w:val="false"/>
          <w:i w:val="false"/>
          <w:iCs w:val="false"/>
          <w:color w:val="1A1A1A"/>
          <w:sz w:val="22"/>
          <w:szCs w:val="22"/>
        </w:rPr>
        <w:t xml:space="preserve">This Annex sequences accession to minimize political friction while maximizing early operational function, on the following schedule:</w:t>
      </w:r>
    </w:p>
    <w:p>
      <w:pPr>
        <w:pStyle w:val="ListParagraph"/>
        <w:numPr>
          <w:ilvl w:val="0"/>
          <w:numId w:val="1"/>
        </w:numPr>
        <w:spacing w:after="120" w:line="276"/>
      </w:pPr>
      <w:r>
        <w:rPr>
          <w:rFonts w:ascii="Calibri" w:cs="Calibri" w:eastAsia="Calibri" w:hAnsi="Calibri"/>
          <w:b/>
          <w:bCs/>
          <w:i w:val="false"/>
          <w:iCs w:val="false"/>
          <w:color w:val="1A1A1A"/>
          <w:sz w:val="22"/>
          <w:szCs w:val="22"/>
        </w:rPr>
        <w:t xml:space="preserve">Phase 1 (Months 0-6): </w:t>
      </w:r>
      <w:r>
        <w:rPr>
          <w:rFonts w:ascii="Calibri" w:cs="Calibri" w:eastAsia="Calibri" w:hAnsi="Calibri"/>
          <w:b w:val="false"/>
          <w:bCs w:val="false"/>
          <w:i w:val="false"/>
          <w:iCs w:val="false"/>
          <w:color w:val="1A1A1A"/>
          <w:sz w:val="22"/>
          <w:szCs w:val="22"/>
        </w:rPr>
        <w:t xml:space="preserve">Iran and Oman activate as Founding Parties at signature. The United Arab Emirates joins as an Associate Party within the first month, anchoring the system’s commercial and insurance credibility from the outset.</w:t>
      </w:r>
    </w:p>
    <w:p>
      <w:pPr>
        <w:pStyle w:val="ListParagraph"/>
        <w:numPr>
          <w:ilvl w:val="0"/>
          <w:numId w:val="1"/>
        </w:numPr>
        <w:spacing w:after="120" w:line="276"/>
      </w:pPr>
      <w:r>
        <w:rPr>
          <w:rFonts w:ascii="Calibri" w:cs="Calibri" w:eastAsia="Calibri" w:hAnsi="Calibri"/>
          <w:b/>
          <w:bCs/>
          <w:i w:val="false"/>
          <w:iCs w:val="false"/>
          <w:color w:val="1A1A1A"/>
          <w:sz w:val="22"/>
          <w:szCs w:val="22"/>
        </w:rPr>
        <w:t xml:space="preserve">Phase 2 (Months 6-18): </w:t>
      </w:r>
      <w:r>
        <w:rPr>
          <w:rFonts w:ascii="Calibri" w:cs="Calibri" w:eastAsia="Calibri" w:hAnsi="Calibri"/>
          <w:b w:val="false"/>
          <w:bCs w:val="false"/>
          <w:i w:val="false"/>
          <w:iCs w:val="false"/>
          <w:color w:val="1A1A1A"/>
          <w:sz w:val="22"/>
          <w:szCs w:val="22"/>
        </w:rPr>
        <w:t xml:space="preserve">Qatar, Saudi Arabia, and Bahrain join as Associate Parties in sequence, each accession framed around that state’s specific commercial interest, LNG flow protection for Qatar, upstream export stability for Saudi Arabia, and low-cost symbolic alignment for Bahrain.</w:t>
      </w:r>
    </w:p>
    <w:p>
      <w:pPr>
        <w:pStyle w:val="ListParagraph"/>
        <w:numPr>
          <w:ilvl w:val="0"/>
          <w:numId w:val="1"/>
        </w:numPr>
        <w:spacing w:after="120" w:line="276"/>
      </w:pPr>
      <w:r>
        <w:rPr>
          <w:rFonts w:ascii="Calibri" w:cs="Calibri" w:eastAsia="Calibri" w:hAnsi="Calibri"/>
          <w:b/>
          <w:bCs/>
          <w:i w:val="false"/>
          <w:iCs w:val="false"/>
          <w:color w:val="1A1A1A"/>
          <w:sz w:val="22"/>
          <w:szCs w:val="22"/>
        </w:rPr>
        <w:t xml:space="preserve">Phase 3 (Months 12-24): </w:t>
      </w:r>
      <w:r>
        <w:rPr>
          <w:rFonts w:ascii="Calibri" w:cs="Calibri" w:eastAsia="Calibri" w:hAnsi="Calibri"/>
          <w:b w:val="false"/>
          <w:bCs w:val="false"/>
          <w:i w:val="false"/>
          <w:iCs w:val="false"/>
          <w:color w:val="1A1A1A"/>
          <w:sz w:val="22"/>
          <w:szCs w:val="22"/>
        </w:rPr>
        <w:t xml:space="preserve">The IMO formalizes technical cooperation and registers the certified corridor coordinates. Major insurers publicly recognize Accord compliance as a war-risk-premium reduction factor. India, China, Japan, South Korea, and the European Union join as Observers, gaining technical-committee access without voting or security obligations.</w:t>
      </w:r>
    </w:p>
    <w:p>
      <w:pPr>
        <w:pStyle w:val="ListParagraph"/>
        <w:numPr>
          <w:ilvl w:val="0"/>
          <w:numId w:val="1"/>
        </w:numPr>
        <w:spacing w:after="120" w:line="276"/>
      </w:pPr>
      <w:r>
        <w:rPr>
          <w:rFonts w:ascii="Calibri" w:cs="Calibri" w:eastAsia="Calibri" w:hAnsi="Calibri"/>
          <w:b/>
          <w:bCs/>
          <w:i w:val="false"/>
          <w:iCs w:val="false"/>
          <w:color w:val="1A1A1A"/>
          <w:sz w:val="22"/>
          <w:szCs w:val="22"/>
        </w:rPr>
        <w:t xml:space="preserve">Phase 4 (Months 18-36): </w:t>
      </w:r>
      <w:r>
        <w:rPr>
          <w:rFonts w:ascii="Calibri" w:cs="Calibri" w:eastAsia="Calibri" w:hAnsi="Calibri"/>
          <w:b w:val="false"/>
          <w:bCs w:val="false"/>
          <w:i w:val="false"/>
          <w:iCs w:val="false"/>
          <w:color w:val="1A1A1A"/>
          <w:sz w:val="22"/>
          <w:szCs w:val="22"/>
        </w:rPr>
        <w:t xml:space="preserve">The Core Littoral states finalize the Tri-Channel funding allocation in detail. The United States, the United Kingdom, and France formalize their security-liaison arrangements under Annex C, tied specifically to deconfliction and crisis response rather than to governance votes.</w:t>
      </w:r>
    </w:p>
    <w:p>
      <w:pPr>
        <w:pStyle w:val="ListParagraph"/>
        <w:numPr>
          <w:ilvl w:val="0"/>
          <w:numId w:val="1"/>
        </w:numPr>
        <w:spacing w:after="120" w:line="276"/>
      </w:pPr>
      <w:r>
        <w:rPr>
          <w:rFonts w:ascii="Calibri" w:cs="Calibri" w:eastAsia="Calibri" w:hAnsi="Calibri"/>
          <w:b/>
          <w:bCs/>
          <w:i w:val="false"/>
          <w:iCs w:val="false"/>
          <w:color w:val="1A1A1A"/>
          <w:sz w:val="22"/>
          <w:szCs w:val="22"/>
        </w:rPr>
        <w:t xml:space="preserve">Phase 5 (Months 24-48): </w:t>
      </w:r>
      <w:r>
        <w:rPr>
          <w:rFonts w:ascii="Calibri" w:cs="Calibri" w:eastAsia="Calibri" w:hAnsi="Calibri"/>
          <w:b w:val="false"/>
          <w:bCs w:val="false"/>
          <w:i w:val="false"/>
          <w:iCs w:val="false"/>
          <w:color w:val="1A1A1A"/>
          <w:sz w:val="22"/>
          <w:szCs w:val="22"/>
        </w:rPr>
        <w:t xml:space="preserve">Pakistan, Kuwait, and Iraq join as Future Participants once the Council certifies the core regime’s stability, framed as regional maritime coherence rather than alignment with any single Party.</w:t>
      </w:r>
    </w:p>
    <w:p>
      <w:pPr>
        <w:pStyle w:val="Heading2"/>
        <w:spacing w:after="180" w:before="360"/>
      </w:pPr>
      <w:r>
        <w:rPr>
          <w:rFonts w:ascii="Calibri" w:cs="Calibri" w:eastAsia="Calibri" w:hAnsi="Calibri"/>
          <w:b/>
          <w:bCs/>
          <w:color w:val="1B2A4A"/>
          <w:sz w:val="26"/>
          <w:szCs w:val="26"/>
        </w:rPr>
        <w:t xml:space="preserve">L.3 The Gulf Fast-Track</w:t>
      </w:r>
    </w:p>
    <w:p>
      <w:pPr>
        <w:spacing w:after="200" w:before="0" w:line="288"/>
        <w:jc w:val="both"/>
      </w:pPr>
      <w:r>
        <w:rPr>
          <w:rFonts w:ascii="Calibri" w:cs="Calibri" w:eastAsia="Calibri" w:hAnsi="Calibri"/>
          <w:b w:val="false"/>
          <w:bCs w:val="false"/>
          <w:i w:val="false"/>
          <w:iCs w:val="false"/>
          <w:color w:val="1A1A1A"/>
          <w:sz w:val="22"/>
          <w:szCs w:val="22"/>
        </w:rPr>
        <w:t xml:space="preserve">A GCC state electing to join under the Gulf Fast-Track gains provisional participation immediately upon its accession instrument’s deposit with the Muscat Depositary, and full Associate Party status automatically at the twelve-month mark absent an objection the Council sustains under the Perimeter Test of Annex K.</w:t>
      </w:r>
    </w:p>
    <w:p>
      <w:pPr>
        <w:pStyle w:val="Heading2"/>
        <w:spacing w:after="180" w:before="360"/>
      </w:pPr>
      <w:r>
        <w:rPr>
          <w:rFonts w:ascii="Calibri" w:cs="Calibri" w:eastAsia="Calibri" w:hAnsi="Calibri"/>
          <w:b/>
          <w:bCs/>
          <w:color w:val="1B2A4A"/>
          <w:sz w:val="26"/>
          <w:szCs w:val="26"/>
        </w:rPr>
        <w:t xml:space="preserve">L.4 The Standard Track</w:t>
      </w:r>
    </w:p>
    <w:p>
      <w:pPr>
        <w:spacing w:after="200" w:before="0" w:line="288"/>
        <w:jc w:val="both"/>
      </w:pPr>
      <w:r>
        <w:rPr>
          <w:rFonts w:ascii="Calibri" w:cs="Calibri" w:eastAsia="Calibri" w:hAnsi="Calibri"/>
          <w:b w:val="false"/>
          <w:bCs w:val="false"/>
          <w:i w:val="false"/>
          <w:iCs w:val="false"/>
          <w:color w:val="1A1A1A"/>
          <w:sz w:val="22"/>
          <w:szCs w:val="22"/>
        </w:rPr>
        <w:t xml:space="preserve">A state outside the GCC seeking accession under the Standard Track enters a twelve-month provisional period, participating with voice but without vote, and gains full status upon the Council’s certification that the provisional period concluded without an outstanding Tier 2 or Tier 3 compliance concern attributable to that state’s conduct.</w:t>
      </w:r>
    </w:p>
    <w:p>
      <w:pPr>
        <w:pStyle w:val="Heading2"/>
        <w:spacing w:after="180" w:before="360"/>
      </w:pPr>
      <w:r>
        <w:rPr>
          <w:rFonts w:ascii="Calibri" w:cs="Calibri" w:eastAsia="Calibri" w:hAnsi="Calibri"/>
          <w:b/>
          <w:bCs/>
          <w:color w:val="1B2A4A"/>
          <w:sz w:val="26"/>
          <w:szCs w:val="26"/>
        </w:rPr>
        <w:t xml:space="preserve">L.5 Non-Discrimination</w:t>
      </w:r>
    </w:p>
    <w:p>
      <w:pPr>
        <w:spacing w:after="200" w:before="0" w:line="288"/>
        <w:jc w:val="both"/>
      </w:pPr>
      <w:r>
        <w:rPr>
          <w:rFonts w:ascii="Calibri" w:cs="Calibri" w:eastAsia="Calibri" w:hAnsi="Calibri"/>
          <w:b w:val="false"/>
          <w:bCs w:val="false"/>
          <w:i w:val="false"/>
          <w:iCs w:val="false"/>
          <w:color w:val="1A1A1A"/>
          <w:sz w:val="22"/>
          <w:szCs w:val="22"/>
        </w:rPr>
        <w:t xml:space="preserve">This Annex excludes any accession criterion based on a candidate state’s bilateral relationship with any existing Party. Every Middle East and North Africa state qualifies for consideration under either the Fast-Track or Standard Track, on the objective criteria this Annex sets, applied equally.</w:t>
      </w:r>
    </w:p>
    <w:p>
      <w:pPr>
        <w:pStyle w:val="Heading2"/>
        <w:spacing w:after="180" w:before="360"/>
      </w:pPr>
      <w:r>
        <w:rPr>
          <w:rFonts w:ascii="Calibri" w:cs="Calibri" w:eastAsia="Calibri" w:hAnsi="Calibri"/>
          <w:b/>
          <w:bCs/>
          <w:color w:val="1B2A4A"/>
          <w:sz w:val="26"/>
          <w:szCs w:val="26"/>
        </w:rPr>
        <w:t xml:space="preserve">L.6 Non-State Participant Accession</w:t>
      </w:r>
    </w:p>
    <w:p>
      <w:pPr>
        <w:spacing w:after="200" w:before="0" w:line="288"/>
        <w:jc w:val="both"/>
      </w:pPr>
      <w:r>
        <w:rPr>
          <w:rFonts w:ascii="Calibri" w:cs="Calibri" w:eastAsia="Calibri" w:hAnsi="Calibri"/>
          <w:b w:val="false"/>
          <w:bCs w:val="false"/>
          <w:i w:val="false"/>
          <w:iCs w:val="false"/>
          <w:color w:val="1A1A1A"/>
          <w:sz w:val="22"/>
          <w:szCs w:val="22"/>
        </w:rPr>
        <w:t xml:space="preserve">A shipping line, energy company, insurer, or port authority registers as a Non-State Participant through the Secretariat’s commercial-registration desk, gaining technical-committee participation and operational-feedback standing without treaty-signature status. Registration carries an ongoing obligation to comply with Annex B’s notification procedures and Annex D’s fee architecture as a condition of continued Governance Area access.</w:t>
      </w:r>
    </w:p>
    <w:p>
      <w:pPr>
        <w:pStyle w:val="Heading2"/>
        <w:spacing w:after="180" w:before="360"/>
      </w:pPr>
      <w:r>
        <w:rPr>
          <w:rFonts w:ascii="Calibri" w:cs="Calibri" w:eastAsia="Calibri" w:hAnsi="Calibri"/>
          <w:b/>
          <w:bCs/>
          <w:color w:val="1B2A4A"/>
          <w:sz w:val="26"/>
          <w:szCs w:val="26"/>
        </w:rPr>
        <w:t xml:space="preserve">L.7 Illustrative Accession Checklist</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1600"/>
        <w:gridCol w:w="7550"/>
      </w:tblGrid>
      <w:tr>
        <w:trPr>
          <w:tblHeader/>
        </w:trPr>
        <w:tc>
          <w:tcPr>
            <w:tcW w:type="dxa" w:w="1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Step</w:t>
            </w:r>
          </w:p>
        </w:tc>
        <w:tc>
          <w:tcPr>
            <w:tcW w:type="dxa" w:w="75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Requirement</w:t>
            </w:r>
          </w:p>
        </w:tc>
      </w:tr>
      <w:tr>
        <w:tc>
          <w:tcPr>
            <w:tcW w:type="dxa" w:w="1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1</w:t>
            </w:r>
          </w:p>
        </w:tc>
        <w:tc>
          <w:tcPr>
            <w:tcW w:type="dxa" w:w="75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Candidate state files an accession instrument with the Muscat Depositary, stating the intended tier under Section L.1</w:t>
            </w:r>
          </w:p>
        </w:tc>
      </w:tr>
      <w:tr>
        <w:tc>
          <w:tcPr>
            <w:tcW w:type="dxa" w:w="1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2</w:t>
            </w:r>
          </w:p>
        </w:tc>
        <w:tc>
          <w:tcPr>
            <w:tcW w:type="dxa" w:w="75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Depositary confirms receipt and circulates the instrument to the Council within seven days</w:t>
            </w:r>
          </w:p>
        </w:tc>
      </w:tr>
      <w:tr>
        <w:tc>
          <w:tcPr>
            <w:tcW w:type="dxa" w:w="1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3</w:t>
            </w:r>
          </w:p>
        </w:tc>
        <w:tc>
          <w:tcPr>
            <w:tcW w:type="dxa" w:w="75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Council screens the accession request against the Perimeter Test of Annex K, confirming no protected line requires a holder-specific consensus for this candidate</w:t>
            </w:r>
          </w:p>
        </w:tc>
      </w:tr>
      <w:tr>
        <w:tc>
          <w:tcPr>
            <w:tcW w:type="dxa" w:w="1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4</w:t>
            </w:r>
          </w:p>
        </w:tc>
        <w:tc>
          <w:tcPr>
            <w:tcW w:type="dxa" w:w="75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Candidate designates a compliance point of contact for coordination with the Secretariat and, where relevant, the Maritime Coordination Center</w:t>
            </w:r>
          </w:p>
        </w:tc>
      </w:tr>
      <w:tr>
        <w:tc>
          <w:tcPr>
            <w:tcW w:type="dxa" w:w="1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5</w:t>
            </w:r>
          </w:p>
        </w:tc>
        <w:tc>
          <w:tcPr>
            <w:tcW w:type="dxa" w:w="75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Provisional participation activates immediately (Gulf Fast-Track) or upon Council acknowledgment (Standard Track)</w:t>
            </w:r>
          </w:p>
        </w:tc>
      </w:tr>
      <w:tr>
        <w:tc>
          <w:tcPr>
            <w:tcW w:type="dxa" w:w="1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6</w:t>
            </w:r>
          </w:p>
        </w:tc>
        <w:tc>
          <w:tcPr>
            <w:tcW w:type="dxa" w:w="75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Council reviews the candidate’s provisional-period conduct at the twelve-month mark and confirms full status absent an outstanding Tier 2 or Tier 3 concern</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checklist is illustrative and procedural; it creates no obligation beyond those Sections L.1 through L.6 already establish, and exists solely to give a candidate state a clear, self-service map of what accession actually involves in practice.</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M</w:t>
      </w:r>
      <w:r>
        <w:rPr>
          <w:rFonts w:ascii="Calibri" w:cs="Calibri" w:eastAsia="Calibri" w:hAnsi="Calibri"/>
          <w:b/>
          <w:bCs/>
          <w:color w:val="1B2A4A"/>
          <w:sz w:val="30"/>
          <w:szCs w:val="30"/>
        </w:rPr>
        <w:br/>
        <w:t xml:space="preserve">  Definitions</w:t>
      </w:r>
    </w:p>
    <w:p>
      <w:pPr>
        <w:spacing w:after="200" w:before="0" w:line="288"/>
        <w:jc w:val="both"/>
      </w:pPr>
      <w:r>
        <w:rPr>
          <w:rFonts w:ascii="Calibri" w:cs="Calibri" w:eastAsia="Calibri" w:hAnsi="Calibri"/>
          <w:b w:val="false"/>
          <w:bCs w:val="false"/>
          <w:i w:val="false"/>
          <w:iCs w:val="false"/>
          <w:color w:val="1A1A1A"/>
          <w:sz w:val="22"/>
          <w:szCs w:val="22"/>
        </w:rPr>
        <w:t xml:space="preserve">This Annex defines every capitalized operational term this Accord uses. A definition in this Annex controls the term’s meaning wherever it appears, capitalized, in any Article or Annex.</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950"/>
      </w:tblGrid>
      <w:tr>
        <w:trPr>
          <w:tblHeader/>
        </w:trPr>
        <w:tc>
          <w:tcPr>
            <w:tcW w:type="dxa" w:w="2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Term</w:t>
            </w:r>
          </w:p>
        </w:tc>
        <w:tc>
          <w:tcPr>
            <w:tcW w:type="dxa" w:w="69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Definition</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Governance Area</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waters of the Strait of Hormuz and its immediate approaches, bounded by the coordinates Annex A publishes.</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Corridor</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One of the three designated traffic lanes, Inbound, Outbound, or Buffer, established under Article 5 and Annex A.</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Notification</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single electronic filing a vessel submits under Annex B prior to Governance Area entry.</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Acknowledgment</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Joint Coordination Center’s affirmative or silence-based clearance of a complete Notification under Article 6 and Annex B.</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Service Charge</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reimbursement for a specific, published, and audited service under Annex D, distinct from a toll on passage.</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Toll</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charge functioning as a condition or price of passage itself, categorically excluded under the Zero-Toll Rule of Article 13.</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Deconfliction Event</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Any interaction between military or commercial vessels requiring Incident Ladder response under Annex C.</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Twin-Key Rule</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concurrence requirement of Annex C Section C.2 governing every consequential security action.</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Functional Control Weight</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Iran’s percentage weight across the four dimensions Annex G Section G.3 sets, governed by the Good-Behavior Escalator.</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Tier</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classification level, 0 through 3, assigned to a compliance event under Annex F.</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Escalator Week</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seven-day period evaluated for clean-week status under Annex G Section G.4.</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Clean Week</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An Escalator Week containing zero verified Tier 2 or Tier 3 events, as defined in Annex G Section G.4.</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Material Breach</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category of conduct Annex F Section F.8 defines, triggering emergency Council mediation.</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Architectural Breach</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Tier 3 event under Annex F, covering interdiction, mine-laying, toll imposition, or deliberate data tampering.</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Verification Panel</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three-member body Annex F Section F.4 establishes to resolve contested compliance claims.</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Shared Digital Registry</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cryptographically logged data system recording tracks, filings, and incidents under Annex F Section F.2.</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Third-Party Telemetry Tie-Breaker</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independent commercial data provider activating automatically on data conflict, under Annex F Section F.2.</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Hormuz Services Fund</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neutral Swiss-administered escrow facility established under Article 14 and Annex D.</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Hormuz Reconstruction and Development Facility</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investment-for-transit instrument established under Article 15 and Annex N.</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Tri-Channel Funding Architecture</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Insurance, Port and Commercial, and Sovereign Channels defined in Annex D Section D.3.</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Humanitarian Bridge</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absolute-priority regime for food, medicine, and relief cargo under Article 18 and Annex I.</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Hormuz Council</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senior political governing body established under Article 19 and Annex E.</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Secretariat</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Muscat-seated operational body running daily coordination under Annex E Section E.4.</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Maritime Coordination Center</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body operating the fused monitoring picture and security tasking under Annex E Section E.5.</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Verification and Surveillance Directorate</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body administering the Cothrom-Hormuz Method under Annex E Section E.7.</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Regional Tribunal</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five-judge dispute-resolution body established under Annex E Section E.8.</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Ombudsman</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independent complaint-investigation office established under Annex E Section E.8.</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Guarantor</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status the United States holds under Article 10 and Annex E, carrying verification and deconfliction functions without vote or command.</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Integrated Patrol Rotation</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multinational security-tasking rotation described in Annex C Section C.11.</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Founding Party</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Iran or Oman, each holding Twin-Key authority under this Accord.</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Associate Party</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state acceding under Annex L with geographically or functionally scoped rights.</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Observer Member</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GCC state or Iraq holding seat and monitoring access without vote, under Annex E Section E.2.</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Non-State Participant</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commercial or technical actor bound by operational compliance obligations without treaty-signature status.</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Red Line</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protected interest recorded in Annex K, immune to trading against another provision.</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Perimeter Test</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screening procedure of Annex K Section K.2 applied to every proposed measure.</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w:t>
            </w:r>
          </w:p>
        </w:tc>
        <w:tc>
          <w:tcPr>
            <w:tcW w:type="dxa" w:w="69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certified milestone in the activation sequence of Annex J.</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Standstill Declaration</w:t>
            </w:r>
          </w:p>
        </w:tc>
        <w:tc>
          <w:tcPr>
            <w:tcW w:type="dxa" w:w="69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Day-0 freeze on military and enforcement postures under Annex J Section J.1.</w:t>
            </w:r>
          </w:p>
        </w:tc>
      </w:tr>
    </w:tbl>
    <w:p>
      <w:pPr>
        <w:pStyle w:val="Heading1"/>
        <w:pBdr>
          <w:bottom w:val="single" w:color="A9862F" w:sz="8" w:space="6"/>
        </w:pBdr>
        <w:spacing w:after="240" w:before="600"/>
      </w:pPr>
      <w:r>
        <w:rPr>
          <w:rFonts w:ascii="Calibri" w:cs="Calibri" w:eastAsia="Calibri" w:hAnsi="Calibri"/>
          <w:b/>
          <w:bCs/>
          <w:color w:val="A9862F"/>
          <w:sz w:val="22"/>
          <w:szCs w:val="22"/>
        </w:rPr>
        <w:t xml:space="preserve">Annex N</w:t>
      </w:r>
      <w:r>
        <w:rPr>
          <w:rFonts w:ascii="Calibri" w:cs="Calibri" w:eastAsia="Calibri" w:hAnsi="Calibri"/>
          <w:b/>
          <w:bCs/>
          <w:color w:val="1B2A4A"/>
          <w:sz w:val="30"/>
          <w:szCs w:val="30"/>
        </w:rPr>
        <w:br/>
        <w:t xml:space="preserve">  Hormuz Reconstruction and Development Facility Charter</w:t>
      </w:r>
    </w:p>
    <w:p>
      <w:pPr>
        <w:spacing w:after="200" w:before="0" w:line="288"/>
        <w:jc w:val="both"/>
      </w:pPr>
      <w:r>
        <w:rPr>
          <w:rFonts w:ascii="Calibri" w:cs="Calibri" w:eastAsia="Calibri" w:hAnsi="Calibri"/>
          <w:b w:val="false"/>
          <w:bCs w:val="false"/>
          <w:i w:val="false"/>
          <w:iCs w:val="false"/>
          <w:color w:val="1A1A1A"/>
          <w:sz w:val="22"/>
          <w:szCs w:val="22"/>
        </w:rPr>
        <w:t xml:space="preserve">This Annex charters the Facility Article 15 establishes. The Facility addresses the economic dimension of Iran’s position, that a coastal state absorbing wartime damage and hosting a demanding new governance system deserves a tangible economic return, through an investment structure engineered specifically to avoid the political friction a direct state-to-state compensation payment would generate in Washington.</w:t>
      </w:r>
    </w:p>
    <w:p>
      <w:pPr>
        <w:pStyle w:val="Heading2"/>
        <w:spacing w:after="180" w:before="360"/>
      </w:pPr>
      <w:r>
        <w:rPr>
          <w:rFonts w:ascii="Calibri" w:cs="Calibri" w:eastAsia="Calibri" w:hAnsi="Calibri"/>
          <w:b/>
          <w:bCs/>
          <w:color w:val="1B2A4A"/>
          <w:sz w:val="26"/>
          <w:szCs w:val="26"/>
        </w:rPr>
        <w:t xml:space="preserve">N.1 Structural Principle: Investment, Not Compensation</w:t>
      </w:r>
    </w:p>
    <w:p>
      <w:pPr>
        <w:spacing w:after="200" w:before="0" w:line="288"/>
        <w:jc w:val="both"/>
      </w:pPr>
      <w:r>
        <w:rPr>
          <w:rFonts w:ascii="Calibri" w:cs="Calibri" w:eastAsia="Calibri" w:hAnsi="Calibri"/>
          <w:b w:val="false"/>
          <w:bCs w:val="false"/>
          <w:i w:val="false"/>
          <w:iCs w:val="false"/>
          <w:color w:val="1A1A1A"/>
          <w:sz w:val="22"/>
          <w:szCs w:val="22"/>
        </w:rPr>
        <w:t xml:space="preserve">The Facility operates as an investment vehicle, not a reparations mechanism. Every dollar entering the Facility funds a specific, auditable infrastructure, environmental, or development project along the Governance Area’s coastline, and every contributor receives a defined governance and reporting stake in return, on ordinary development-finance terms. This structure gives Iran a substantial, durable economic benefit tied directly to sustained corridor performance, while this Annex excludes any Facility mechanism resembling a direct payment obligation from the United States government or the United States Treasury to Iran, consistent with Red Line 32 of Annex K.</w:t>
      </w:r>
    </w:p>
    <w:p>
      <w:pPr>
        <w:pStyle w:val="Heading2"/>
        <w:spacing w:after="180" w:before="360"/>
      </w:pPr>
      <w:r>
        <w:rPr>
          <w:rFonts w:ascii="Calibri" w:cs="Calibri" w:eastAsia="Calibri" w:hAnsi="Calibri"/>
          <w:b/>
          <w:bCs/>
          <w:color w:val="1B2A4A"/>
          <w:sz w:val="26"/>
          <w:szCs w:val="26"/>
        </w:rPr>
        <w:t xml:space="preserve">N.2 Capitalization Sources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750"/>
      </w:tblGrid>
      <w:tr>
        <w:trPr>
          <w:tblHeader/>
        </w:trPr>
        <w:tc>
          <w:tcPr>
            <w:tcW w:type="dxa" w:w="2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Source</w:t>
            </w:r>
          </w:p>
        </w:tc>
        <w:tc>
          <w:tcPr>
            <w:tcW w:type="dxa" w:w="67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Character of Contribution</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GCC sovereign wealth funds</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Direct equity investment in designated coastal infrastructure projects, on commercial development-finance terms</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European Union development instruments</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Concessional financing for environmental remediation and port modernization</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Private commercial capital</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Equity and debt investment in port, logistics, and energy-adjacent infrastructure, attracted by the corridor system’s improved risk profile</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Multilateral development institutions</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Technical assistance and blended finance for coastal community development</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The wider Islamabad-track reconstruction mechanism</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Coordinated but administratively separate contribution, synchronized on the Gate Schedule of Annex J without merging governance structures</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Hormuz Services Fund Sovereign Channel</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defined percentage of Sovereign Channel inflow directed to the Facility rather than to corridor operating costs, under the allocation Annex D Section D.3 sets</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Annex excludes United States federal appropriation as a Facility capitalization source. The United States role in the Facility, where the United States elects to participate at all, runs through private-sector investment facilitation and multilateral-institution channels the United States already participates in, never through a bilateral payment instrument.</w:t>
      </w:r>
    </w:p>
    <w:p>
      <w:pPr>
        <w:pStyle w:val="Heading2"/>
        <w:spacing w:after="180" w:before="360"/>
      </w:pPr>
      <w:r>
        <w:rPr>
          <w:rFonts w:ascii="Calibri" w:cs="Calibri" w:eastAsia="Calibri" w:hAnsi="Calibri"/>
          <w:b/>
          <w:bCs/>
          <w:color w:val="1B2A4A"/>
          <w:sz w:val="26"/>
          <w:szCs w:val="26"/>
        </w:rPr>
        <w:t xml:space="preserve">N.3 Governance</w:t>
      </w:r>
    </w:p>
    <w:p>
      <w:pPr>
        <w:spacing w:after="200" w:before="0" w:line="288"/>
        <w:jc w:val="both"/>
      </w:pPr>
      <w:r>
        <w:rPr>
          <w:rFonts w:ascii="Calibri" w:cs="Calibri" w:eastAsia="Calibri" w:hAnsi="Calibri"/>
          <w:b w:val="false"/>
          <w:bCs w:val="false"/>
          <w:i w:val="false"/>
          <w:iCs w:val="false"/>
          <w:color w:val="1A1A1A"/>
          <w:sz w:val="22"/>
          <w:szCs w:val="22"/>
        </w:rPr>
        <w:t xml:space="preserve">The Facility’s board carries representation from Iran, Oman, the contributing GCC states, and an independent chair the Fund’s Swiss administrator nominates, mirroring the Hormuz Services Fund’s governance model while operating as a legally distinct entity with its own charter, accounts, and audit cycle.</w:t>
      </w:r>
    </w:p>
    <w:p>
      <w:pPr>
        <w:pStyle w:val="Heading2"/>
        <w:spacing w:after="180" w:before="360"/>
      </w:pPr>
      <w:r>
        <w:rPr>
          <w:rFonts w:ascii="Calibri" w:cs="Calibri" w:eastAsia="Calibri" w:hAnsi="Calibri"/>
          <w:b/>
          <w:bCs/>
          <w:color w:val="1B2A4A"/>
          <w:sz w:val="26"/>
          <w:szCs w:val="26"/>
        </w:rPr>
        <w:t xml:space="preserve">N.4 Project Categories</w:t>
      </w:r>
    </w:p>
    <w:p>
      <w:pPr>
        <w:pStyle w:val="ListParagraph"/>
        <w:numPr>
          <w:ilvl w:val="0"/>
          <w:numId w:val="1"/>
        </w:numPr>
        <w:spacing w:after="120" w:line="276"/>
      </w:pPr>
      <w:r>
        <w:rPr>
          <w:rFonts w:ascii="Calibri" w:cs="Calibri" w:eastAsia="Calibri" w:hAnsi="Calibri"/>
          <w:color w:val="1A1A1A"/>
          <w:sz w:val="22"/>
          <w:szCs w:val="22"/>
        </w:rPr>
        <w:t xml:space="preserve">Port modernization and capacity expansion at Bandar Abbas and secondary Iranian Gulf ports</w:t>
      </w:r>
    </w:p>
    <w:p>
      <w:pPr>
        <w:pStyle w:val="ListParagraph"/>
        <w:numPr>
          <w:ilvl w:val="0"/>
          <w:numId w:val="1"/>
        </w:numPr>
        <w:spacing w:after="120" w:line="276"/>
      </w:pPr>
      <w:r>
        <w:rPr>
          <w:rFonts w:ascii="Calibri" w:cs="Calibri" w:eastAsia="Calibri" w:hAnsi="Calibri"/>
          <w:color w:val="1A1A1A"/>
          <w:sz w:val="22"/>
          <w:szCs w:val="22"/>
        </w:rPr>
        <w:t xml:space="preserve">Environmental remediation of coastal areas affected by wartime damage or by decades of heavy tanker traffic</w:t>
      </w:r>
    </w:p>
    <w:p>
      <w:pPr>
        <w:pStyle w:val="ListParagraph"/>
        <w:numPr>
          <w:ilvl w:val="0"/>
          <w:numId w:val="1"/>
        </w:numPr>
        <w:spacing w:after="120" w:line="276"/>
      </w:pPr>
      <w:r>
        <w:rPr>
          <w:rFonts w:ascii="Calibri" w:cs="Calibri" w:eastAsia="Calibri" w:hAnsi="Calibri"/>
          <w:color w:val="1A1A1A"/>
          <w:sz w:val="22"/>
          <w:szCs w:val="22"/>
        </w:rPr>
        <w:t xml:space="preserve">Renewable-energy infrastructure supporting Joint Coordination Center and Maritime Coordination Center facilities</w:t>
      </w:r>
    </w:p>
    <w:p>
      <w:pPr>
        <w:pStyle w:val="ListParagraph"/>
        <w:numPr>
          <w:ilvl w:val="0"/>
          <w:numId w:val="1"/>
        </w:numPr>
        <w:spacing w:after="120" w:line="276"/>
      </w:pPr>
      <w:r>
        <w:rPr>
          <w:rFonts w:ascii="Calibri" w:cs="Calibri" w:eastAsia="Calibri" w:hAnsi="Calibri"/>
          <w:color w:val="1A1A1A"/>
          <w:sz w:val="22"/>
          <w:szCs w:val="22"/>
        </w:rPr>
        <w:t xml:space="preserve">Fisheries and coastal-community economic development along both the Iranian and Omani coastlines</w:t>
      </w:r>
    </w:p>
    <w:p>
      <w:pPr>
        <w:pStyle w:val="ListParagraph"/>
        <w:numPr>
          <w:ilvl w:val="0"/>
          <w:numId w:val="1"/>
        </w:numPr>
        <w:spacing w:after="120" w:line="276"/>
      </w:pPr>
      <w:r>
        <w:rPr>
          <w:rFonts w:ascii="Calibri" w:cs="Calibri" w:eastAsia="Calibri" w:hAnsi="Calibri"/>
          <w:color w:val="1A1A1A"/>
          <w:sz w:val="22"/>
          <w:szCs w:val="22"/>
        </w:rPr>
        <w:t xml:space="preserve">Search-and-rescue and spill-response equipment procurement, coordinated with the Sovereign Channel allocation under Annex D</w:t>
      </w:r>
    </w:p>
    <w:p>
      <w:pPr>
        <w:pStyle w:val="Heading2"/>
        <w:spacing w:after="180" w:before="360"/>
      </w:pPr>
      <w:r>
        <w:rPr>
          <w:rFonts w:ascii="Calibri" w:cs="Calibri" w:eastAsia="Calibri" w:hAnsi="Calibri"/>
          <w:b/>
          <w:bCs/>
          <w:color w:val="1B2A4A"/>
          <w:sz w:val="26"/>
          <w:szCs w:val="26"/>
        </w:rPr>
        <w:t xml:space="preserve">N.5 Disbursement Schedule</w:t>
      </w:r>
    </w:p>
    <w:p>
      <w:pPr>
        <w:spacing w:after="200" w:before="0" w:line="288"/>
        <w:jc w:val="both"/>
      </w:pPr>
      <w:r>
        <w:rPr>
          <w:rFonts w:ascii="Calibri" w:cs="Calibri" w:eastAsia="Calibri" w:hAnsi="Calibri"/>
          <w:b w:val="false"/>
          <w:bCs w:val="false"/>
          <w:i w:val="false"/>
          <w:iCs w:val="false"/>
          <w:color w:val="1A1A1A"/>
          <w:sz w:val="22"/>
          <w:szCs w:val="22"/>
        </w:rPr>
        <w:t xml:space="preserve">The Facility releases its first tranche at Gate Two of the activation sequence, Day 30, synchronized with the Escalator’s week-four milestone under Annex G, and releases subsequent tranches at Gate Five, Day 75, and at each anniversary of Gate Eight afterward, subject to the Facility board’s standard project-milestone review. This Annex excludes any Facility disbursement tied to a Party’s political concession outside the objective project-milestone criteria the board publishes.</w:t>
      </w:r>
    </w:p>
    <w:p>
      <w:pPr>
        <w:pStyle w:val="Heading2"/>
        <w:spacing w:after="180" w:before="360"/>
      </w:pPr>
      <w:r>
        <w:rPr>
          <w:rFonts w:ascii="Calibri" w:cs="Calibri" w:eastAsia="Calibri" w:hAnsi="Calibri"/>
          <w:b/>
          <w:bCs/>
          <w:color w:val="1B2A4A"/>
          <w:sz w:val="26"/>
          <w:szCs w:val="26"/>
        </w:rPr>
        <w:t xml:space="preserve">N.6 Transparency</w:t>
      </w:r>
    </w:p>
    <w:p>
      <w:pPr>
        <w:spacing w:after="200" w:before="0" w:line="288"/>
        <w:jc w:val="both"/>
      </w:pPr>
      <w:r>
        <w:rPr>
          <w:rFonts w:ascii="Calibri" w:cs="Calibri" w:eastAsia="Calibri" w:hAnsi="Calibri"/>
          <w:b w:val="false"/>
          <w:bCs w:val="false"/>
          <w:i w:val="false"/>
          <w:iCs w:val="false"/>
          <w:color w:val="1A1A1A"/>
          <w:sz w:val="22"/>
          <w:szCs w:val="22"/>
        </w:rPr>
        <w:t xml:space="preserve">The Facility publishes its full project portfolio, disbursement record, and audit findings on the Transparency Portal, on the same quarterly and annual cycle Annex D sets for the Services Fund, keeping the investment-for-transit structure as visible to the public as the fee architecture it complements.</w:t>
      </w:r>
    </w:p>
    <w:p>
      <w:pPr>
        <w:pStyle w:val="Heading2"/>
        <w:spacing w:after="180" w:before="360"/>
      </w:pPr>
      <w:r>
        <w:rPr>
          <w:rFonts w:ascii="Calibri" w:cs="Calibri" w:eastAsia="Calibri" w:hAnsi="Calibri"/>
          <w:b/>
          <w:bCs/>
          <w:color w:val="1B2A4A"/>
          <w:sz w:val="26"/>
          <w:szCs w:val="26"/>
        </w:rPr>
        <w:t xml:space="preserve">N.7 Relationship to Sanctions Relief</w:t>
      </w:r>
    </w:p>
    <w:p>
      <w:pPr>
        <w:spacing w:after="200" w:before="0" w:line="288"/>
        <w:jc w:val="both"/>
      </w:pPr>
      <w:r>
        <w:rPr>
          <w:rFonts w:ascii="Calibri" w:cs="Calibri" w:eastAsia="Calibri" w:hAnsi="Calibri"/>
          <w:b w:val="false"/>
          <w:bCs w:val="false"/>
          <w:i w:val="false"/>
          <w:iCs w:val="false"/>
          <w:color w:val="1A1A1A"/>
          <w:sz w:val="22"/>
          <w:szCs w:val="22"/>
        </w:rPr>
        <w:t xml:space="preserve">This Annex records, without incorporating by reference, that the wider Islamabad-track process addresses sanctions relief and frozen-asset disposition on its own schedule, tied to that process’s own verification milestones rather than to this Accord’s Gate Schedule. The Facility’s function is additive to, not a substitute for, that separate relief track, and this Annex excludes any provision making Facility disbursement contingent on the pace of sanctions relief or vice versa, preserving the firewall principle Article 11 establishes for the nuclear file and extending it here to the sanctions file.</w:t>
      </w:r>
    </w:p>
    <w:p>
      <w:pPr>
        <w:pStyle w:val="Heading2"/>
        <w:spacing w:after="180" w:before="360"/>
      </w:pPr>
      <w:r>
        <w:rPr>
          <w:rFonts w:ascii="Calibri" w:cs="Calibri" w:eastAsia="Calibri" w:hAnsi="Calibri"/>
          <w:b/>
          <w:bCs/>
          <w:color w:val="1B2A4A"/>
          <w:sz w:val="26"/>
          <w:szCs w:val="26"/>
        </w:rPr>
        <w:t xml:space="preserve">N.8 Illustrative First-Year Capitalization Timeline</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750"/>
      </w:tblGrid>
      <w:tr>
        <w:trPr>
          <w:tblHeader/>
        </w:trPr>
        <w:tc>
          <w:tcPr>
            <w:tcW w:type="dxa" w:w="2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Milestone</w:t>
            </w:r>
          </w:p>
        </w:tc>
        <w:tc>
          <w:tcPr>
            <w:tcW w:type="dxa" w:w="67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Illustrative Action</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Two (Day 30)</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First tranche releases from the Sovereign Channel allocation and any GCC sovereign wealth fund contribution already committed at signature</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Month 3</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Board completes its first project-portfolio review, prioritizing port-modernization and spill-response equipment procurement under Section N.4</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Five (Day 75)</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Second tranche releases; European Union concessional financing instruments, where engaged, complete their first disbursement cycle</w:t>
            </w:r>
          </w:p>
        </w:tc>
      </w:tr>
      <w:tr>
        <w:tc>
          <w:tcPr>
            <w:tcW w:type="dxa" w:w="2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Month 6</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Private commercial capital begins entering designated projects, drawn by the corridor system’s improved risk profile and the Green Discount’s demonstrated effect on insurance costs</w:t>
            </w:r>
          </w:p>
        </w:tc>
      </w:tr>
      <w:tr>
        <w:tc>
          <w:tcPr>
            <w:tcW w:type="dxa" w:w="2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Eight anniversary (Day 120 plus twelve months)</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Board publishes the Facility’s first annual report, alongside the Fund’s own annual audit under Annex D, giving contributors and the public a single, synchronized annual accounting moment for both instruments</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timeline is illustrative rather than binding; the Facility board sets the operative disbursement calendar under Section N.5, calibrated to actual project readiness and actual capitalization commitments as they materialize.</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O</w:t>
      </w:r>
      <w:r>
        <w:rPr>
          <w:rFonts w:ascii="Calibri" w:cs="Calibri" w:eastAsia="Calibri" w:hAnsi="Calibri"/>
          <w:b/>
          <w:bCs/>
          <w:color w:val="1B2A4A"/>
          <w:sz w:val="30"/>
          <w:szCs w:val="30"/>
        </w:rPr>
        <w:br/>
        <w:t xml:space="preserve">  Standard Forms</w:t>
      </w:r>
    </w:p>
    <w:p>
      <w:pPr>
        <w:spacing w:after="200" w:before="0" w:line="288"/>
        <w:jc w:val="both"/>
      </w:pPr>
      <w:r>
        <w:rPr>
          <w:rFonts w:ascii="Calibri" w:cs="Calibri" w:eastAsia="Calibri" w:hAnsi="Calibri"/>
          <w:b w:val="false"/>
          <w:bCs w:val="false"/>
          <w:i w:val="false"/>
          <w:iCs w:val="false"/>
          <w:color w:val="1A1A1A"/>
          <w:sz w:val="22"/>
          <w:szCs w:val="22"/>
        </w:rPr>
        <w:t xml:space="preserve">This Annex publishes the standard forms this Accord’s procedures reference, keeping every filing simple enough for routine use by a ship’s master or a corridor administrator without specialized legal drafting.</w:t>
      </w:r>
    </w:p>
    <w:p>
      <w:pPr>
        <w:spacing w:after="200" w:before="0" w:line="288"/>
        <w:jc w:val="both"/>
      </w:pPr>
      <w:r>
        <w:rPr>
          <w:rFonts w:ascii="Calibri" w:cs="Calibri" w:eastAsia="Calibri" w:hAnsi="Calibri"/>
          <w:b w:val="false"/>
          <w:bCs w:val="false"/>
          <w:i w:val="false"/>
          <w:iCs w:val="false"/>
          <w:color w:val="1A1A1A"/>
          <w:sz w:val="22"/>
          <w:szCs w:val="22"/>
        </w:rPr>
        <w:t xml:space="preserve">Every form in this Annex draws its field list directly from the minimum information the relevant Article and Annex actually requires, and this Annex excludes any field not tied to a specific operative use elsewhere in this Accord. The Hormuz Transit Portal renders each form as a short electronic input screen; the paper layout below exists for reference, training, and offline contingency use only, and this Annex excludes any requirement that a vessel complete a paper form where electronic filing remains available.</w:t>
      </w:r>
    </w:p>
    <w:p>
      <w:pPr>
        <w:pStyle w:val="Heading2"/>
        <w:spacing w:after="180" w:before="360"/>
      </w:pPr>
      <w:r>
        <w:rPr>
          <w:rFonts w:ascii="Calibri" w:cs="Calibri" w:eastAsia="Calibri" w:hAnsi="Calibri"/>
          <w:b/>
          <w:bCs/>
          <w:color w:val="1B2A4A"/>
          <w:sz w:val="26"/>
          <w:szCs w:val="26"/>
        </w:rPr>
        <w:t xml:space="preserve">O.1 Form HTP-1: Transit Notification</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750"/>
      </w:tblGrid>
      <w:tr>
        <w:trPr>
          <w:tblHeader/>
        </w:trPr>
        <w:tc>
          <w:tcPr>
            <w:tcW w:type="dxa" w:w="2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Field</w:t>
            </w:r>
          </w:p>
        </w:tc>
        <w:tc>
          <w:tcPr>
            <w:tcW w:type="dxa" w:w="67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Entry</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Vessel name</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Flag</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IMO number</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Vessel class (Annex B Section B.3)</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Cargo category</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Intended corridor</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Estimated entry time</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Master’s contact channel</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AIS transponder status</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Insurance confirmation</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Service requested, if any (Annex D catalog)</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bl>
    <w:p>
      <w:pPr>
        <w:pStyle w:val="Heading2"/>
        <w:spacing w:after="180" w:before="360"/>
      </w:pPr>
      <w:r>
        <w:rPr>
          <w:rFonts w:ascii="Calibri" w:cs="Calibri" w:eastAsia="Calibri" w:hAnsi="Calibri"/>
          <w:b/>
          <w:bCs/>
          <w:color w:val="1B2A4A"/>
          <w:sz w:val="26"/>
          <w:szCs w:val="26"/>
        </w:rPr>
        <w:t xml:space="preserve">O.2 Form HTP-2: Incident Report</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750"/>
      </w:tblGrid>
      <w:tr>
        <w:trPr>
          <w:tblHeader/>
        </w:trPr>
        <w:tc>
          <w:tcPr>
            <w:tcW w:type="dxa" w:w="2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Field</w:t>
            </w:r>
          </w:p>
        </w:tc>
        <w:tc>
          <w:tcPr>
            <w:tcW w:type="dxa" w:w="67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Entry</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Reporting vessel / party</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Date and time of event</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Corridor and approximate position</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Event category (collision, near miss, mechanical failure, unsafe proximity, other)</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Narrative description</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Supporting evidence attached (AIS track, photographs, witness statements)</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Immediate response taken</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bl>
    <w:p>
      <w:pPr>
        <w:pStyle w:val="Heading2"/>
        <w:spacing w:after="180" w:before="360"/>
      </w:pPr>
      <w:r>
        <w:rPr>
          <w:rFonts w:ascii="Calibri" w:cs="Calibri" w:eastAsia="Calibri" w:hAnsi="Calibri"/>
          <w:b/>
          <w:bCs/>
          <w:color w:val="1B2A4A"/>
          <w:sz w:val="26"/>
          <w:szCs w:val="26"/>
        </w:rPr>
        <w:t xml:space="preserve">O.3 Form HTP-3: Humanitarian Priority Certification</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750"/>
      </w:tblGrid>
      <w:tr>
        <w:trPr>
          <w:tblHeader/>
        </w:trPr>
        <w:tc>
          <w:tcPr>
            <w:tcW w:type="dxa" w:w="2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Field</w:t>
            </w:r>
          </w:p>
        </w:tc>
        <w:tc>
          <w:tcPr>
            <w:tcW w:type="dxa" w:w="67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Entry</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Vessel name and flag</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Cargo category (food, medicine, medical equipment, coordinated relief)</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Coordinating organization</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Origin and destination</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Requested certification time</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Monitoring Corps contact</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bl>
    <w:p>
      <w:pPr>
        <w:pStyle w:val="Heading2"/>
        <w:spacing w:after="180" w:before="360"/>
      </w:pPr>
      <w:r>
        <w:rPr>
          <w:rFonts w:ascii="Calibri" w:cs="Calibri" w:eastAsia="Calibri" w:hAnsi="Calibri"/>
          <w:b/>
          <w:bCs/>
          <w:color w:val="1B2A4A"/>
          <w:sz w:val="26"/>
          <w:szCs w:val="26"/>
        </w:rPr>
        <w:t xml:space="preserve">O.4 Form HTP-4: Compliance Verification Claim</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750"/>
      </w:tblGrid>
      <w:tr>
        <w:trPr>
          <w:tblHeader/>
        </w:trPr>
        <w:tc>
          <w:tcPr>
            <w:tcW w:type="dxa" w:w="2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Field</w:t>
            </w:r>
          </w:p>
        </w:tc>
        <w:tc>
          <w:tcPr>
            <w:tcW w:type="dxa" w:w="67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Entry</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Claimant Party</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Event or period under claim</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Tier classification asserted</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Supporting Registry evidence reference</w:t>
            </w:r>
          </w:p>
        </w:tc>
        <w:tc>
          <w:tcPr>
            <w:tcW w:type="dxa" w:w="67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Requested outcome (credit, escalator effect, dispute referral)</w:t>
            </w:r>
          </w:p>
        </w:tc>
        <w:tc>
          <w:tcPr>
            <w:tcW w:type="dxa" w:w="67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bl>
    <w:p>
      <w:pPr>
        <w:pStyle w:val="Heading1"/>
        <w:pBdr>
          <w:bottom w:val="single" w:color="A9862F" w:sz="8" w:space="6"/>
        </w:pBdr>
        <w:spacing w:after="240" w:before="600"/>
      </w:pPr>
      <w:r>
        <w:rPr>
          <w:rFonts w:ascii="Calibri" w:cs="Calibri" w:eastAsia="Calibri" w:hAnsi="Calibri"/>
          <w:b/>
          <w:bCs/>
          <w:color w:val="A9862F"/>
          <w:sz w:val="22"/>
          <w:szCs w:val="22"/>
        </w:rPr>
        <w:t xml:space="preserve">Annex P</w:t>
      </w:r>
      <w:r>
        <w:rPr>
          <w:rFonts w:ascii="Calibri" w:cs="Calibri" w:eastAsia="Calibri" w:hAnsi="Calibri"/>
          <w:b/>
          <w:bCs/>
          <w:color w:val="1B2A4A"/>
          <w:sz w:val="30"/>
          <w:szCs w:val="30"/>
        </w:rPr>
        <w:br/>
        <w:t xml:space="preserve">  The Nuclear and Strategic Issues Firewall Statement</w:t>
      </w:r>
    </w:p>
    <w:p>
      <w:pPr>
        <w:spacing w:after="200" w:before="0" w:line="288"/>
        <w:jc w:val="both"/>
      </w:pPr>
      <w:r>
        <w:rPr>
          <w:rFonts w:ascii="Calibri" w:cs="Calibri" w:eastAsia="Calibri" w:hAnsi="Calibri"/>
          <w:b w:val="false"/>
          <w:bCs w:val="false"/>
          <w:i w:val="false"/>
          <w:iCs w:val="false"/>
          <w:color w:val="1A1A1A"/>
          <w:sz w:val="22"/>
          <w:szCs w:val="22"/>
        </w:rPr>
        <w:t xml:space="preserve">This Annex states in full the firewall Article 11 establishes and Red Line 27 of Annex K protects.</w:t>
      </w:r>
    </w:p>
    <w:p>
      <w:pPr>
        <w:pStyle w:val="Heading2"/>
        <w:spacing w:after="180" w:before="360"/>
      </w:pPr>
      <w:r>
        <w:rPr>
          <w:rFonts w:ascii="Calibri" w:cs="Calibri" w:eastAsia="Calibri" w:hAnsi="Calibri"/>
          <w:b/>
          <w:bCs/>
          <w:color w:val="1B2A4A"/>
          <w:sz w:val="26"/>
          <w:szCs w:val="26"/>
        </w:rPr>
        <w:t xml:space="preserve">P.1 Scope Exclusion</w:t>
      </w:r>
    </w:p>
    <w:p>
      <w:pPr>
        <w:spacing w:after="200" w:before="0" w:line="288"/>
        <w:jc w:val="both"/>
      </w:pPr>
      <w:r>
        <w:rPr>
          <w:rFonts w:ascii="Calibri" w:cs="Calibri" w:eastAsia="Calibri" w:hAnsi="Calibri"/>
          <w:b w:val="false"/>
          <w:bCs w:val="false"/>
          <w:i w:val="false"/>
          <w:iCs w:val="false"/>
          <w:color w:val="1A1A1A"/>
          <w:sz w:val="22"/>
          <w:szCs w:val="22"/>
        </w:rPr>
        <w:t xml:space="preserve">This Accord governs maritime navigation, safety, environmental protection, and the associated financial and security architecture of the Governance Area, exclusively. This Annex excludes from this Accord’s scope, entirely and without exception, any provision touching Iran’s nuclear program, uranium enrichment, weapons-capable material, ballistic-missile program, or any related strategic-weapons file.</w:t>
      </w:r>
    </w:p>
    <w:p>
      <w:pPr>
        <w:pStyle w:val="Heading2"/>
        <w:spacing w:after="180" w:before="360"/>
      </w:pPr>
      <w:r>
        <w:rPr>
          <w:rFonts w:ascii="Calibri" w:cs="Calibri" w:eastAsia="Calibri" w:hAnsi="Calibri"/>
          <w:b/>
          <w:bCs/>
          <w:color w:val="1B2A4A"/>
          <w:sz w:val="26"/>
          <w:szCs w:val="26"/>
        </w:rPr>
        <w:t xml:space="preserve">P.2 The Separate Instrument</w:t>
      </w:r>
    </w:p>
    <w:p>
      <w:pPr>
        <w:spacing w:after="200" w:before="0" w:line="288"/>
        <w:jc w:val="both"/>
      </w:pPr>
      <w:r>
        <w:rPr>
          <w:rFonts w:ascii="Calibri" w:cs="Calibri" w:eastAsia="Calibri" w:hAnsi="Calibri"/>
          <w:b w:val="false"/>
          <w:bCs w:val="false"/>
          <w:i w:val="false"/>
          <w:iCs w:val="false"/>
          <w:color w:val="1A1A1A"/>
          <w:sz w:val="22"/>
          <w:szCs w:val="22"/>
        </w:rPr>
        <w:t xml:space="preserve">The Parties address the nuclear and strategic file exclusively through the distinct memorandum, framework, or treaty instrument the relevant Parties negotiate on their own track, with their own participants, their own verification architecture, and their own timeline, entirely independent of this Accord’s Gate Schedule, Escalator, or dispute-resolution system.</w:t>
      </w:r>
    </w:p>
    <w:p>
      <w:pPr>
        <w:pStyle w:val="Heading2"/>
        <w:spacing w:after="180" w:before="360"/>
      </w:pPr>
      <w:r>
        <w:rPr>
          <w:rFonts w:ascii="Calibri" w:cs="Calibri" w:eastAsia="Calibri" w:hAnsi="Calibri"/>
          <w:b/>
          <w:bCs/>
          <w:color w:val="1B2A4A"/>
          <w:sz w:val="26"/>
          <w:szCs w:val="26"/>
        </w:rPr>
        <w:t xml:space="preserve">P.3 No Cross-Linkage</w:t>
      </w:r>
    </w:p>
    <w:p>
      <w:pPr>
        <w:spacing w:after="200" w:before="0" w:line="288"/>
        <w:jc w:val="both"/>
      </w:pPr>
      <w:r>
        <w:rPr>
          <w:rFonts w:ascii="Calibri" w:cs="Calibri" w:eastAsia="Calibri" w:hAnsi="Calibri"/>
          <w:b w:val="false"/>
          <w:bCs w:val="false"/>
          <w:i w:val="false"/>
          <w:iCs w:val="false"/>
          <w:color w:val="1A1A1A"/>
          <w:sz w:val="22"/>
          <w:szCs w:val="22"/>
        </w:rPr>
        <w:t xml:space="preserve">A dispute, a delay, a breach, or a suspension on the nuclear or strategic track carries no automatic effect on this Accord’s corridor operations, fee architecture, security functions, or Escalator progress. A dispute, a delay, a breach, or a suspension under this Accord carries no automatic effect on the nuclear or strategic track. This Annex excludes any Party’s reliance on this Accord as leverage within nuclear-track negotiations, and excludes any Party’s reliance on the nuclear track as leverage within this Accord’s operation.</w:t>
      </w:r>
    </w:p>
    <w:p>
      <w:pPr>
        <w:pStyle w:val="Heading2"/>
        <w:spacing w:after="180" w:before="360"/>
      </w:pPr>
      <w:r>
        <w:rPr>
          <w:rFonts w:ascii="Calibri" w:cs="Calibri" w:eastAsia="Calibri" w:hAnsi="Calibri"/>
          <w:b/>
          <w:bCs/>
          <w:color w:val="1B2A4A"/>
          <w:sz w:val="26"/>
          <w:szCs w:val="26"/>
        </w:rPr>
        <w:t xml:space="preserve">P.4 Rationale</w:t>
      </w:r>
    </w:p>
    <w:p>
      <w:pPr>
        <w:spacing w:after="200" w:before="0" w:line="288"/>
        <w:jc w:val="both"/>
      </w:pPr>
      <w:r>
        <w:rPr>
          <w:rFonts w:ascii="Calibri" w:cs="Calibri" w:eastAsia="Calibri" w:hAnsi="Calibri"/>
          <w:b w:val="false"/>
          <w:bCs w:val="false"/>
          <w:i w:val="false"/>
          <w:iCs w:val="false"/>
          <w:color w:val="1A1A1A"/>
          <w:sz w:val="22"/>
          <w:szCs w:val="22"/>
        </w:rPr>
        <w:t xml:space="preserve">The firewall exists because linking the two files transforms every maritime dispute into a nuclear crisis and every nuclear-track delay into a shipping crisis. Separating them lets the corridor system deliver its indivisible, five-day reopening event on its own merits, and lets the nuclear track proceed at the careful, verification-intensive pace that file genuinely requires, without either track holding hostage a global energy chokepoint or a nonproliferation objective.</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Q</w:t>
      </w:r>
      <w:r>
        <w:rPr>
          <w:rFonts w:ascii="Calibri" w:cs="Calibri" w:eastAsia="Calibri" w:hAnsi="Calibri"/>
          <w:b/>
          <w:bCs/>
          <w:color w:val="1B2A4A"/>
          <w:sz w:val="30"/>
          <w:szCs w:val="30"/>
        </w:rPr>
        <w:br/>
        <w:t xml:space="preserve">  Technical Schedules and Thresholds</w:t>
      </w:r>
    </w:p>
    <w:p>
      <w:pPr>
        <w:spacing w:after="200" w:before="0" w:line="288"/>
        <w:jc w:val="both"/>
      </w:pPr>
      <w:r>
        <w:rPr>
          <w:rFonts w:ascii="Calibri" w:cs="Calibri" w:eastAsia="Calibri" w:hAnsi="Calibri"/>
          <w:b w:val="false"/>
          <w:bCs w:val="false"/>
          <w:i w:val="false"/>
          <w:iCs w:val="false"/>
          <w:color w:val="1A1A1A"/>
          <w:sz w:val="22"/>
          <w:szCs w:val="22"/>
        </w:rPr>
        <w:t xml:space="preserve">This Annex consolidates the numeric standards this Accord’s Articles and Annexes reference, so that a single technical body, the Verification and Surveillance Directorate, maintains and updates them without a Core Accord amendment.</w:t>
      </w:r>
    </w:p>
    <w:p>
      <w:pPr>
        <w:pStyle w:val="Heading2"/>
        <w:spacing w:after="180" w:before="360"/>
      </w:pPr>
      <w:r>
        <w:rPr>
          <w:rFonts w:ascii="Calibri" w:cs="Calibri" w:eastAsia="Calibri" w:hAnsi="Calibri"/>
          <w:b/>
          <w:bCs/>
          <w:color w:val="1B2A4A"/>
          <w:sz w:val="26"/>
          <w:szCs w:val="26"/>
        </w:rPr>
        <w:t xml:space="preserve">Q.1 Data Quality Standards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Parameter</w:t>
            </w:r>
          </w:p>
        </w:tc>
        <w:tc>
          <w:tcPr>
            <w:tcW w:type="dxa" w:w="61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Standard</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Minimum AIS reporting interval</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Every thirty seconds while underway, every three minutes at anchor</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Signal-to-noise ratio floor</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As published in the Directorate’s technical bulletin, reviewed quarterly</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Persistent data-quality failure threshold</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Three or more consecutive formatting alerts or signal-to-noise violations within any seventy-two-hour period</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AIS interruption, Level 2 threshold</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Under four hours, no pattern</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AIS interruption, Level 3 threshold</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Over four hours, or a repeated pattern within a rolling thirty-day window</w:t>
            </w:r>
          </w:p>
        </w:tc>
      </w:tr>
    </w:tbl>
    <w:p>
      <w:pPr>
        <w:pStyle w:val="Heading2"/>
        <w:spacing w:after="180" w:before="360"/>
      </w:pPr>
      <w:r>
        <w:rPr>
          <w:rFonts w:ascii="Calibri" w:cs="Calibri" w:eastAsia="Calibri" w:hAnsi="Calibri"/>
          <w:b/>
          <w:bCs/>
          <w:color w:val="1B2A4A"/>
          <w:sz w:val="26"/>
          <w:szCs w:val="26"/>
        </w:rPr>
        <w:t xml:space="preserve">Q.2 Corridor Safety Parameters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Parameter</w:t>
            </w:r>
          </w:p>
        </w:tc>
        <w:tc>
          <w:tcPr>
            <w:tcW w:type="dxa" w:w="61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Standard</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Corridor width, Inbound and Outbound</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Two nautical miles</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Buffer Corridor width, narrowest point</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Two nautical miles, widening to four nautical miles at the open approaches</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Precautionary area radius at junction points</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One nautical mile</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Peak-traffic density threshold</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As published in the Directorate’s quarterly traffic bulletin, based on rolling thirty-day transit counts</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Safe-speed standard within a precautionary area</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As published in the Hormuz Transit Portal’s corridor guidance, reviewed monthly during the first ninety days</w:t>
            </w:r>
          </w:p>
        </w:tc>
      </w:tr>
    </w:tbl>
    <w:p>
      <w:pPr>
        <w:pStyle w:val="Heading2"/>
        <w:spacing w:after="180" w:before="360"/>
      </w:pPr>
      <w:r>
        <w:rPr>
          <w:rFonts w:ascii="Calibri" w:cs="Calibri" w:eastAsia="Calibri" w:hAnsi="Calibri"/>
          <w:b/>
          <w:bCs/>
          <w:color w:val="1B2A4A"/>
          <w:sz w:val="26"/>
          <w:szCs w:val="26"/>
        </w:rPr>
        <w:t xml:space="preserve">Q.3 Standoff Geometry</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Parameter</w:t>
            </w:r>
          </w:p>
        </w:tc>
        <w:tc>
          <w:tcPr>
            <w:tcW w:type="dxa" w:w="61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Standard</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Military-to-commercial minimum distance, standard hours</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One nautical mile</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Military-to-commercial minimum distance, peak hours</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One and one-half nautical miles</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Military-to-military minimum distance, differing nations</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Two nautical miles, absent a jointly notified exercise</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Live-fire exercise standoff from an active corridor</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Five nautical miles, applicable from Day 120 forward only</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Naval exercise advance notification window</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Forty-eight hours minimum</w:t>
            </w:r>
          </w:p>
        </w:tc>
      </w:tr>
    </w:tbl>
    <w:p>
      <w:pPr>
        <w:pStyle w:val="Heading2"/>
        <w:spacing w:after="180" w:before="360"/>
      </w:pPr>
      <w:r>
        <w:rPr>
          <w:rFonts w:ascii="Calibri" w:cs="Calibri" w:eastAsia="Calibri" w:hAnsi="Calibri"/>
          <w:b/>
          <w:bCs/>
          <w:color w:val="1B2A4A"/>
          <w:sz w:val="26"/>
          <w:szCs w:val="26"/>
        </w:rPr>
        <w:t xml:space="preserve">Q.4 Environmental and Green Discount Standards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Parameter</w:t>
            </w:r>
          </w:p>
        </w:tc>
        <w:tc>
          <w:tcPr>
            <w:tcW w:type="dxa" w:w="61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Standard</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Green Discount qualifying emissions standard</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As certified by a recognized classification society against the Directorate’s published benchmark</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Environmental baseline review cycle</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Quarterly</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Mine-survey re-certification cycle, year one</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Monthly</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Mine-survey re-certification cycle, year two forward</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Quarterly</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Spill-response target activation time</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Two hours from confirmed report</w:t>
            </w:r>
          </w:p>
        </w:tc>
      </w:tr>
    </w:tbl>
    <w:p>
      <w:pPr>
        <w:pStyle w:val="Heading2"/>
        <w:spacing w:after="180" w:before="360"/>
      </w:pPr>
      <w:r>
        <w:rPr>
          <w:rFonts w:ascii="Calibri" w:cs="Calibri" w:eastAsia="Calibri" w:hAnsi="Calibri"/>
          <w:b/>
          <w:bCs/>
          <w:color w:val="1B2A4A"/>
          <w:sz w:val="26"/>
          <w:szCs w:val="26"/>
        </w:rPr>
        <w:t xml:space="preserve">Q.5 Fee and Fund Parameters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Parameter</w:t>
            </w:r>
          </w:p>
        </w:tc>
        <w:tc>
          <w:tcPr>
            <w:tcW w:type="dxa" w:w="61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Standard</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Insurance Channel target share</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Approximately sixty percent of Fund inflow</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Port and Commercial Channel target share</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Approximately twenty-five percent of Fund inflow</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Sovereign Channel target share</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Approximately fifteen percent of Fund inflow</w:t>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Heavy-User annual cap</w:t>
            </w:r>
          </w:p>
        </w:tc>
        <w:tc>
          <w:tcPr>
            <w:tcW w:type="dxa" w:w="61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As published by Council resolution, reviewed annually</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Fund audit cycle</w:t>
            </w:r>
          </w:p>
        </w:tc>
        <w:tc>
          <w:tcPr>
            <w:tcW w:type="dxa" w:w="61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Quarterly accounts, annual independent audit</w:t>
            </w:r>
          </w:p>
        </w:tc>
      </w:tr>
    </w:tbl>
    <w:p>
      <w:pPr>
        <w:pStyle w:val="Heading1"/>
        <w:pBdr>
          <w:bottom w:val="single" w:color="A9862F" w:sz="8" w:space="6"/>
        </w:pBdr>
        <w:spacing w:after="240" w:before="600"/>
      </w:pPr>
      <w:r>
        <w:rPr>
          <w:rFonts w:ascii="Calibri" w:cs="Calibri" w:eastAsia="Calibri" w:hAnsi="Calibri"/>
          <w:b/>
          <w:bCs/>
          <w:color w:val="A9862F"/>
          <w:sz w:val="22"/>
          <w:szCs w:val="22"/>
        </w:rPr>
        <w:t xml:space="preserve">Annex R</w:t>
      </w:r>
      <w:r>
        <w:rPr>
          <w:rFonts w:ascii="Calibri" w:cs="Calibri" w:eastAsia="Calibri" w:hAnsi="Calibri"/>
          <w:b/>
          <w:bCs/>
          <w:color w:val="1B2A4A"/>
          <w:sz w:val="30"/>
          <w:szCs w:val="30"/>
        </w:rPr>
        <w:br/>
        <w:t xml:space="preserve">  Frequently Raised Objections and Responses</w:t>
      </w:r>
    </w:p>
    <w:p>
      <w:pPr>
        <w:spacing w:after="200" w:before="0" w:line="288"/>
        <w:jc w:val="both"/>
      </w:pPr>
      <w:r>
        <w:rPr>
          <w:rFonts w:ascii="Calibri" w:cs="Calibri" w:eastAsia="Calibri" w:hAnsi="Calibri"/>
          <w:b w:val="false"/>
          <w:bCs w:val="false"/>
          <w:i w:val="false"/>
          <w:iCs w:val="false"/>
          <w:color w:val="1A1A1A"/>
          <w:sz w:val="22"/>
          <w:szCs w:val="22"/>
        </w:rPr>
        <w:t xml:space="preserve">This Annex addresses the objections most likely to arise from each Party’s domestic and international audience, in the interest of the transparency this Accord commits to throughout. This Annex carries no operative legal effect; it exists to show the reasoning behind the Core Accord’s design choices.</w:t>
      </w:r>
    </w:p>
    <w:p>
      <w:pPr>
        <w:pStyle w:val="Heading2"/>
        <w:spacing w:after="180" w:before="360"/>
      </w:pPr>
      <w:r>
        <w:rPr>
          <w:rFonts w:ascii="Calibri" w:cs="Calibri" w:eastAsia="Calibri" w:hAnsi="Calibri"/>
          <w:b/>
          <w:bCs/>
          <w:color w:val="1B2A4A"/>
          <w:sz w:val="26"/>
          <w:szCs w:val="26"/>
        </w:rPr>
        <w:t xml:space="preserve">R.1 "This gives Iran control too quickly."</w:t>
      </w:r>
    </w:p>
    <w:p>
      <w:pPr>
        <w:spacing w:after="200" w:before="0" w:line="288"/>
        <w:jc w:val="both"/>
      </w:pPr>
      <w:r>
        <w:rPr>
          <w:rFonts w:ascii="Calibri" w:cs="Calibri" w:eastAsia="Calibri" w:hAnsi="Calibri"/>
          <w:b w:val="false"/>
          <w:bCs w:val="false"/>
          <w:i w:val="false"/>
          <w:iCs w:val="false"/>
          <w:color w:val="1A1A1A"/>
          <w:sz w:val="22"/>
          <w:szCs w:val="22"/>
        </w:rPr>
        <w:t xml:space="preserve">Iran opens at thirty-three percent functional weight, one corridor of three, and earns further weight only through seven consecutive weeks free of a verified Tier 2 or Tier 3 event. A single verified incident pauses or resets the growth. The Twin-Key Rule of Annex C continues to govern every consequential security action at every weight level, including at the one hundred percent ceiling, so no amount of Escalator growth converts into unilateral authority over interdiction, boarding, or force.</w:t>
      </w:r>
    </w:p>
    <w:p>
      <w:pPr>
        <w:pStyle w:val="Heading2"/>
        <w:spacing w:after="180" w:before="360"/>
      </w:pPr>
      <w:r>
        <w:rPr>
          <w:rFonts w:ascii="Calibri" w:cs="Calibri" w:eastAsia="Calibri" w:hAnsi="Calibri"/>
          <w:b/>
          <w:bCs/>
          <w:color w:val="1B2A4A"/>
          <w:sz w:val="26"/>
          <w:szCs w:val="26"/>
        </w:rPr>
        <w:t xml:space="preserve">R.2 "What stops Iran from gaming the verification system?"</w:t>
      </w:r>
    </w:p>
    <w:p>
      <w:pPr>
        <w:spacing w:after="200" w:before="0" w:line="288"/>
        <w:jc w:val="both"/>
      </w:pPr>
      <w:r>
        <w:rPr>
          <w:rFonts w:ascii="Calibri" w:cs="Calibri" w:eastAsia="Calibri" w:hAnsi="Calibri"/>
          <w:b w:val="false"/>
          <w:bCs w:val="false"/>
          <w:i w:val="false"/>
          <w:iCs w:val="false"/>
          <w:color w:val="1A1A1A"/>
          <w:sz w:val="22"/>
          <w:szCs w:val="22"/>
        </w:rPr>
        <w:t xml:space="preserve">The Cothrom-Hormuz Method of Annex F draws on five independent verification channels: the fused radar and AIS picture, the Joint Coordination Center’s direct observation, self-reporting subject to audit, the Third-Party Telemetry Tie-Breaker’s independent commercial feed, and a whistleblower channel open to Non-State Participants. A false claim surfaces through cross-channel inconsistency, and the Verification Panel’s Counter-Evidence Review under Annex F Section F.5 imposes a doubled penalty on a claim the evidence definitively refutes, making a false claim more costly than an honest one.</w:t>
      </w:r>
    </w:p>
    <w:p>
      <w:pPr>
        <w:pStyle w:val="Heading2"/>
        <w:spacing w:after="180" w:before="360"/>
      </w:pPr>
      <w:r>
        <w:rPr>
          <w:rFonts w:ascii="Calibri" w:cs="Calibri" w:eastAsia="Calibri" w:hAnsi="Calibri"/>
          <w:b/>
          <w:bCs/>
          <w:color w:val="1B2A4A"/>
          <w:sz w:val="26"/>
          <w:szCs w:val="26"/>
        </w:rPr>
        <w:t xml:space="preserve">R.3 "Nothing short of full, permanent United States naval primacy in the Gulf is acceptable."</w:t>
      </w:r>
    </w:p>
    <w:p>
      <w:pPr>
        <w:spacing w:after="200" w:before="0" w:line="288"/>
        <w:jc w:val="both"/>
      </w:pPr>
      <w:r>
        <w:rPr>
          <w:rFonts w:ascii="Calibri" w:cs="Calibri" w:eastAsia="Calibri" w:hAnsi="Calibri"/>
          <w:b w:val="false"/>
          <w:bCs w:val="false"/>
          <w:i w:val="false"/>
          <w:iCs w:val="false"/>
          <w:color w:val="1A1A1A"/>
          <w:sz w:val="22"/>
          <w:szCs w:val="22"/>
        </w:rPr>
        <w:t xml:space="preserve">This Accord does not ask the United States to relinquish naval presence in the region; Article 10 preserves full transit rights and a Phase-One security role for United States forces. What changes is the tasking structure: from Stage Two forward, United States assets that continue operating in the Governance Area do so through the Integrated Patrol Rotation’s shared tasking system rather than through an independent unilateral command channel. This Annex frames that shift as the difference between the United States funding and staffing the entire security function alone and the United States sharing that function’s cost and risk with regional partners, a outcome every recent United States regional-security review has identified as the preferred long-term posture.</w:t>
      </w:r>
    </w:p>
    <w:p>
      <w:pPr>
        <w:pStyle w:val="Heading2"/>
        <w:spacing w:after="180" w:before="360"/>
      </w:pPr>
      <w:r>
        <w:rPr>
          <w:rFonts w:ascii="Calibri" w:cs="Calibri" w:eastAsia="Calibri" w:hAnsi="Calibri"/>
          <w:b/>
          <w:bCs/>
          <w:color w:val="1B2A4A"/>
          <w:sz w:val="26"/>
          <w:szCs w:val="26"/>
        </w:rPr>
        <w:t xml:space="preserve">R.4 "Five days is not enough time to verify anything real."</w:t>
      </w:r>
    </w:p>
    <w:p>
      <w:pPr>
        <w:spacing w:after="200" w:before="0" w:line="288"/>
        <w:jc w:val="both"/>
      </w:pPr>
      <w:r>
        <w:rPr>
          <w:rFonts w:ascii="Calibri" w:cs="Calibri" w:eastAsia="Calibri" w:hAnsi="Calibri"/>
          <w:b w:val="false"/>
          <w:bCs w:val="false"/>
          <w:i w:val="false"/>
          <w:iCs w:val="false"/>
          <w:color w:val="1A1A1A"/>
          <w:sz w:val="22"/>
          <w:szCs w:val="22"/>
        </w:rPr>
        <w:t xml:space="preserve">The Five-Day Activation delivers physical reopening, not full institutional maturation. Annex J Section J.7’s Concurrent Activation Doctrine keeps verification, fee auditing, and governance staffing moving in parallel with the corridor openings from Day 0, so that by Day 5 the surrounding system already carries five days of continuous operating history. The Escalator’s substantive weight growth does not begin until Gate Two, and the Sixty-Day Stability Audit of Annex J Section J.5 provides the first comprehensive, multi-domain verification checkpoint, at Day 60, well after the physical reopening itself.</w:t>
      </w:r>
    </w:p>
    <w:p>
      <w:pPr>
        <w:pStyle w:val="Heading2"/>
        <w:spacing w:after="180" w:before="360"/>
      </w:pPr>
      <w:r>
        <w:rPr>
          <w:rFonts w:ascii="Calibri" w:cs="Calibri" w:eastAsia="Calibri" w:hAnsi="Calibri"/>
          <w:b/>
          <w:bCs/>
          <w:color w:val="1B2A4A"/>
          <w:sz w:val="26"/>
          <w:szCs w:val="26"/>
        </w:rPr>
        <w:t xml:space="preserve">R.5 "Gulf states get nothing but an observer seat."</w:t>
      </w:r>
    </w:p>
    <w:p>
      <w:pPr>
        <w:spacing w:after="200" w:before="0" w:line="288"/>
        <w:jc w:val="both"/>
      </w:pPr>
      <w:r>
        <w:rPr>
          <w:rFonts w:ascii="Calibri" w:cs="Calibri" w:eastAsia="Calibri" w:hAnsi="Calibri"/>
          <w:b w:val="false"/>
          <w:bCs w:val="false"/>
          <w:i w:val="false"/>
          <w:iCs w:val="false"/>
          <w:color w:val="1A1A1A"/>
          <w:sz w:val="22"/>
          <w:szCs w:val="22"/>
        </w:rPr>
        <w:t xml:space="preserve">Every GCC state gains full monitoring access to the fused radar and AIS picture, a formal role in the Twin-Key Buffer Corridor concurrence rotation under Annex C Section C.2, standing on the Regional Tribunal’s nomination process under Annex E, and a Fast-Track accession path to full Associate Party status within twelve months under Annex L. A Gulf state’s commercial fleet also gains the predictable, capped, and published fee structure of Annex D, replacing the unpredictable wartime toll exposure of the 2026 conflict period.</w:t>
      </w:r>
    </w:p>
    <w:p>
      <w:pPr>
        <w:pStyle w:val="Heading2"/>
        <w:spacing w:after="180" w:before="360"/>
      </w:pPr>
      <w:r>
        <w:rPr>
          <w:rFonts w:ascii="Calibri" w:cs="Calibri" w:eastAsia="Calibri" w:hAnsi="Calibri"/>
          <w:b/>
          <w:bCs/>
          <w:color w:val="1B2A4A"/>
          <w:sz w:val="26"/>
          <w:szCs w:val="26"/>
        </w:rPr>
        <w:t xml:space="preserve">R.6 "The fee structure is just a toll with extra steps."</w:t>
      </w:r>
    </w:p>
    <w:p>
      <w:pPr>
        <w:spacing w:after="200" w:before="0" w:line="288"/>
        <w:jc w:val="both"/>
      </w:pPr>
      <w:r>
        <w:rPr>
          <w:rFonts w:ascii="Calibri" w:cs="Calibri" w:eastAsia="Calibri" w:hAnsi="Calibri"/>
          <w:b w:val="false"/>
          <w:bCs w:val="false"/>
          <w:i w:val="false"/>
          <w:iCs w:val="false"/>
          <w:color w:val="1A1A1A"/>
          <w:sz w:val="22"/>
          <w:szCs w:val="22"/>
        </w:rPr>
        <w:t xml:space="preserve">The Anti-Circumvention Test of Annex D Section D.1 applies a substance test precisely to prevent this outcome: a charge a vessel avoids by declining an optional, published service is a service fee; a charge attaching automatically to transit itself is a toll, and this Annex imposes an automatic strike on any Party or institution that imposes one. The closed service catalog of Annex D Section D.2 excludes the possibility of expanding chargeable "services" into a disguised toll through incremental redefinition.</w:t>
      </w:r>
    </w:p>
    <w:p>
      <w:pPr>
        <w:pStyle w:val="Heading2"/>
        <w:spacing w:after="180" w:before="360"/>
      </w:pPr>
      <w:r>
        <w:rPr>
          <w:rFonts w:ascii="Calibri" w:cs="Calibri" w:eastAsia="Calibri" w:hAnsi="Calibri"/>
          <w:b/>
          <w:bCs/>
          <w:color w:val="1B2A4A"/>
          <w:sz w:val="26"/>
          <w:szCs w:val="26"/>
        </w:rPr>
        <w:t xml:space="preserve">R.7 "Why not just call the reconstruction facility compensation?"</w:t>
      </w:r>
    </w:p>
    <w:p>
      <w:pPr>
        <w:spacing w:after="200" w:before="0" w:line="288"/>
        <w:jc w:val="both"/>
      </w:pPr>
      <w:r>
        <w:rPr>
          <w:rFonts w:ascii="Calibri" w:cs="Calibri" w:eastAsia="Calibri" w:hAnsi="Calibri"/>
          <w:b w:val="false"/>
          <w:bCs w:val="false"/>
          <w:i w:val="false"/>
          <w:iCs w:val="false"/>
          <w:color w:val="1A1A1A"/>
          <w:sz w:val="22"/>
          <w:szCs w:val="22"/>
        </w:rPr>
        <w:t xml:space="preserve">Annex N structures the Facility as an investment vehicle with defined projects, milestone-based disbursement, and multilateral governance, categorically distinct from a payment triggered by a liability finding. This distinction carries real political weight in Washington, where a reparations-style payment crosses a Red Line no administration accepts, while an infrastructure-investment vehicle capitalized by Gulf, European, and private capital does not.</w:t>
      </w:r>
    </w:p>
    <w:p>
      <w:pPr>
        <w:pStyle w:val="Heading2"/>
        <w:spacing w:after="180" w:before="360"/>
      </w:pPr>
      <w:r>
        <w:rPr>
          <w:rFonts w:ascii="Calibri" w:cs="Calibri" w:eastAsia="Calibri" w:hAnsi="Calibri"/>
          <w:b/>
          <w:bCs/>
          <w:color w:val="1B2A4A"/>
          <w:sz w:val="26"/>
          <w:szCs w:val="26"/>
        </w:rPr>
        <w:t xml:space="preserve">R.8 "This is too complex to actually implement."</w:t>
      </w:r>
    </w:p>
    <w:p>
      <w:pPr>
        <w:spacing w:after="200" w:before="0" w:line="288"/>
        <w:jc w:val="both"/>
      </w:pPr>
      <w:r>
        <w:rPr>
          <w:rFonts w:ascii="Calibri" w:cs="Calibri" w:eastAsia="Calibri" w:hAnsi="Calibri"/>
          <w:b w:val="false"/>
          <w:bCs w:val="false"/>
          <w:i w:val="false"/>
          <w:iCs w:val="false"/>
          <w:color w:val="1A1A1A"/>
          <w:sz w:val="22"/>
          <w:szCs w:val="22"/>
        </w:rPr>
        <w:t xml:space="preserve">The Core Accord in Part I runs twenty-four short Articles, each stating one principle in plain language. A ship’s master interacts with exactly one form, Annex O’s Form HTP-1, and one rule, the sixty-minute acknowledgment window. The complexity this Accord’s critics point to sits in the Annexes, where it belongs, available to a specialist when needed and invisible to the vessel using the corridor system on an ordinary transit.</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S</w:t>
      </w:r>
      <w:r>
        <w:rPr>
          <w:rFonts w:ascii="Calibri" w:cs="Calibri" w:eastAsia="Calibri" w:hAnsi="Calibri"/>
          <w:b/>
          <w:bCs/>
          <w:color w:val="1B2A4A"/>
          <w:sz w:val="30"/>
          <w:szCs w:val="30"/>
        </w:rPr>
        <w:br/>
        <w:t xml:space="preserve">  Comparative Precedents in Strait Governance</w:t>
      </w:r>
    </w:p>
    <w:p>
      <w:pPr>
        <w:spacing w:after="200" w:before="0" w:line="288"/>
        <w:jc w:val="both"/>
      </w:pPr>
      <w:r>
        <w:rPr>
          <w:rFonts w:ascii="Calibri" w:cs="Calibri" w:eastAsia="Calibri" w:hAnsi="Calibri"/>
          <w:b w:val="false"/>
          <w:bCs w:val="false"/>
          <w:i w:val="false"/>
          <w:iCs w:val="false"/>
          <w:color w:val="1A1A1A"/>
          <w:sz w:val="22"/>
          <w:szCs w:val="22"/>
        </w:rPr>
        <w:t xml:space="preserve">This Annex records the comparative basis for this Accord’s graduated, phased architecture. Every international chokepoint that stabilized into durable, low-conflict governance did so through a phased model, not through a single-stage authority transfer, and this Annex draws the specific lessons this Accord’s design applies from each precedent.</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3600"/>
        <w:gridCol w:w="3650"/>
      </w:tblGrid>
      <w:tr>
        <w:trPr>
          <w:tblHeader/>
        </w:trPr>
        <w:tc>
          <w:tcPr>
            <w:tcW w:type="dxa" w:w="21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Precedent</w:t>
            </w:r>
          </w:p>
        </w:tc>
        <w:tc>
          <w:tcPr>
            <w:tcW w:type="dxa" w:w="3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Relevant Feature</w:t>
            </w:r>
          </w:p>
        </w:tc>
        <w:tc>
          <w:tcPr>
            <w:tcW w:type="dxa" w:w="36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Application in This Accord</w:t>
            </w:r>
          </w:p>
        </w:tc>
      </w:tr>
      <w:tr>
        <w:tc>
          <w:tcPr>
            <w:tcW w:type="dxa" w:w="21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Strait of Malacca</w:t>
            </w:r>
          </w:p>
        </w:tc>
        <w:tc>
          <w:tcPr>
            <w:tcW w:type="dxa" w:w="3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Voluntary contribution fund for navigation, safety, and environmental services among coastal states, without a mandatory transit toll</w:t>
            </w:r>
          </w:p>
        </w:tc>
        <w:tc>
          <w:tcPr>
            <w:tcW w:type="dxa" w:w="36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Basis for the Insurance and Port Channels of Annex D, adapted with a larger funding base through the Tri-Channel structure</w:t>
            </w:r>
          </w:p>
        </w:tc>
      </w:tr>
      <w:tr>
        <w:tc>
          <w:tcPr>
            <w:tcW w:type="dxa" w:w="21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Bosporus and Dardanelles (Montreux Convention)</w:t>
            </w:r>
          </w:p>
        </w:tc>
        <w:tc>
          <w:tcPr>
            <w:tcW w:type="dxa" w:w="3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single coastal state administers passage under a published, internationally registered regime, with defined categories of vessel and defined notification procedures</w:t>
            </w:r>
          </w:p>
        </w:tc>
        <w:tc>
          <w:tcPr>
            <w:tcW w:type="dxa" w:w="36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Basis for the notification-not-permission regime of Annex B and the vessel-classification system of Annex B Section B.3</w:t>
            </w:r>
          </w:p>
        </w:tc>
      </w:tr>
      <w:tr>
        <w:tc>
          <w:tcPr>
            <w:tcW w:type="dxa" w:w="21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Bab-el-Mandeb</w:t>
            </w:r>
          </w:p>
        </w:tc>
        <w:tc>
          <w:tcPr>
            <w:tcW w:type="dxa" w:w="3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Informal multinational naval coordination without a unified legal authority, illustrating the coordination gap a formal deconfliction architecture closes</w:t>
            </w:r>
          </w:p>
        </w:tc>
        <w:tc>
          <w:tcPr>
            <w:tcW w:type="dxa" w:w="36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Basis for the Twin-Key Rule and the Maritime Coordination Center of Annex C and Annex E, built specifically to formalize what Bab-el-Mandeb coordination left ad hoc</w:t>
            </w:r>
          </w:p>
        </w:tc>
      </w:tr>
      <w:tr>
        <w:tc>
          <w:tcPr>
            <w:tcW w:type="dxa" w:w="21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Suez Canal</w:t>
            </w:r>
          </w:p>
        </w:tc>
        <w:tc>
          <w:tcPr>
            <w:tcW w:type="dxa" w:w="3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single-state-administered waterway with a transparent, published toll schedule accepted by international shipping as the price of a defined, high-value service</w:t>
            </w:r>
          </w:p>
        </w:tc>
        <w:tc>
          <w:tcPr>
            <w:tcW w:type="dxa" w:w="36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Basis for distinguishing a lawful service charge from a prohibited toll under Annex D Section D.1, since Suez charges attach to a canal transit service a vessel cannot avoid, a structurally different case from an open strait’s transit-passage right</w:t>
            </w:r>
          </w:p>
        </w:tc>
      </w:tr>
      <w:tr>
        <w:tc>
          <w:tcPr>
            <w:tcW w:type="dxa" w:w="21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Black Sea Grain Initiative</w:t>
            </w:r>
          </w:p>
        </w:tc>
        <w:tc>
          <w:tcPr>
            <w:tcW w:type="dxa" w:w="3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A time-limited, verification-heavy humanitarian corridor mechanism operating despite active conflict between the coastal states</w:t>
            </w:r>
          </w:p>
        </w:tc>
        <w:tc>
          <w:tcPr>
            <w:tcW w:type="dxa" w:w="36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Basis for the Humanitarian Bridge of Article 18 and Annex I, adapted into a permanent rather than time-limited feature</w:t>
            </w:r>
          </w:p>
        </w:tc>
      </w:tr>
    </w:tbl>
    <w:p>
      <w:pPr>
        <w:pStyle w:val="Heading2"/>
        <w:spacing w:after="180" w:before="360"/>
      </w:pPr>
      <w:r>
        <w:rPr>
          <w:rFonts w:ascii="Calibri" w:cs="Calibri" w:eastAsia="Calibri" w:hAnsi="Calibri"/>
          <w:b/>
          <w:bCs/>
          <w:color w:val="1B2A4A"/>
          <w:sz w:val="26"/>
          <w:szCs w:val="26"/>
        </w:rPr>
        <w:t xml:space="preserve">S.1 The Common Lesson: Phasing Prevents Zero-Sum Conflict</w:t>
      </w:r>
    </w:p>
    <w:p>
      <w:pPr>
        <w:spacing w:after="200" w:before="0" w:line="288"/>
        <w:jc w:val="both"/>
      </w:pPr>
      <w:r>
        <w:rPr>
          <w:rFonts w:ascii="Calibri" w:cs="Calibri" w:eastAsia="Calibri" w:hAnsi="Calibri"/>
          <w:b w:val="false"/>
          <w:bCs w:val="false"/>
          <w:i w:val="false"/>
          <w:iCs w:val="false"/>
          <w:color w:val="1A1A1A"/>
          <w:sz w:val="22"/>
          <w:szCs w:val="22"/>
        </w:rPr>
        <w:t xml:space="preserve">Every precedent in the table above stabilized through incremental, verified steps rather than a single negotiated transfer of authority. Where two states hold incompatible maximal positions, as Iran and Oman held through mid-2026 on inbound-corridor control, a single-stage governance drop forces a winner-loser dynamic that neither side’s domestic audience accepts. A graduated model, by contrast, lets technical systems and trust develop together, at the pace evidence actually supports, which is precisely the design principle behind the Good-Behavior Escalator of Article 8 and the Gate Schedule of Annex J.</w:t>
      </w:r>
    </w:p>
    <w:p>
      <w:pPr>
        <w:pStyle w:val="Heading2"/>
        <w:spacing w:after="180" w:before="360"/>
      </w:pPr>
      <w:r>
        <w:rPr>
          <w:rFonts w:ascii="Calibri" w:cs="Calibri" w:eastAsia="Calibri" w:hAnsi="Calibri"/>
          <w:b/>
          <w:bCs/>
          <w:color w:val="1B2A4A"/>
          <w:sz w:val="26"/>
          <w:szCs w:val="26"/>
        </w:rPr>
        <w:t xml:space="preserve">S.2 Why This Accord Departs From Precedent on Speed</w:t>
      </w:r>
    </w:p>
    <w:p>
      <w:pPr>
        <w:spacing w:after="200" w:before="0" w:line="288"/>
        <w:jc w:val="both"/>
      </w:pPr>
      <w:r>
        <w:rPr>
          <w:rFonts w:ascii="Calibri" w:cs="Calibri" w:eastAsia="Calibri" w:hAnsi="Calibri"/>
          <w:b w:val="false"/>
          <w:bCs w:val="false"/>
          <w:i w:val="false"/>
          <w:iCs w:val="false"/>
          <w:color w:val="1A1A1A"/>
          <w:sz w:val="22"/>
          <w:szCs w:val="22"/>
        </w:rPr>
        <w:t xml:space="preserve">No historical precedent reopened a major chokepoint from a full wartime closure to complete commercial traffic within five days. This Accord’s five-day timeline departs from precedent because the underlying condition differs: unlike a strait developing governance from a cold start, the Governance Area’s corridor geometry, safety protocols, and technical mapping already carried near-complete Iran-Oman convergence before this Accord’s signature. This Accord’s graduated elements, the Escalator, the Gate Schedule, the United States rebalancing sequence, absorb the institutional caution that precedent counsels, while the physical reopening itself proceeds at the pace the underlying technical readiness actually supports.</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T</w:t>
      </w:r>
      <w:r>
        <w:rPr>
          <w:rFonts w:ascii="Calibri" w:cs="Calibri" w:eastAsia="Calibri" w:hAnsi="Calibri"/>
          <w:b/>
          <w:bCs/>
          <w:color w:val="1B2A4A"/>
          <w:sz w:val="30"/>
          <w:szCs w:val="30"/>
        </w:rPr>
        <w:br/>
        <w:t xml:space="preserve">  Trilingual Key-Term Glossary</w:t>
      </w:r>
    </w:p>
    <w:p>
      <w:pPr>
        <w:spacing w:after="200" w:before="0" w:line="288"/>
        <w:jc w:val="both"/>
      </w:pPr>
      <w:r>
        <w:rPr>
          <w:rFonts w:ascii="Calibri" w:cs="Calibri" w:eastAsia="Calibri" w:hAnsi="Calibri"/>
          <w:b w:val="false"/>
          <w:bCs w:val="false"/>
          <w:i w:val="false"/>
          <w:iCs w:val="false"/>
          <w:color w:val="1A1A1A"/>
          <w:sz w:val="22"/>
          <w:szCs w:val="22"/>
        </w:rPr>
        <w:t xml:space="preserve">This Annex supports Article 24’s designation of Arabic, Persian, and English as equally authentic texts. It lists the operational terms most likely to require careful cross-language consistency, alongside the Article 20 Meso-band procedure for resolving any divergence in meaning that arises between the three texts.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3300"/>
        <w:gridCol w:w="3450"/>
      </w:tblGrid>
      <w:tr>
        <w:trPr>
          <w:tblHeader/>
        </w:trPr>
        <w:tc>
          <w:tcPr>
            <w:tcW w:type="dxa" w:w="26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English</w:t>
            </w:r>
          </w:p>
        </w:tc>
        <w:tc>
          <w:tcPr>
            <w:tcW w:type="dxa" w:w="33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Arabic</w:t>
            </w:r>
          </w:p>
        </w:tc>
        <w:tc>
          <w:tcPr>
            <w:tcW w:type="dxa" w:w="34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Persian</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Governance Area</w:t>
            </w:r>
          </w:p>
        </w:tc>
        <w:tc>
          <w:tcPr>
            <w:tcW w:type="dxa" w:w="3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منطقة الحوكمة</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منطقهٔ حاکمیت</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Corridor</w:t>
            </w:r>
          </w:p>
        </w:tc>
        <w:tc>
          <w:tcPr>
            <w:tcW w:type="dxa" w:w="3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الممر</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دالان</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Notification</w:t>
            </w:r>
          </w:p>
        </w:tc>
        <w:tc>
          <w:tcPr>
            <w:tcW w:type="dxa" w:w="3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إخطار</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اطلاعیه</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Twin-Key Rule</w:t>
            </w:r>
          </w:p>
        </w:tc>
        <w:tc>
          <w:tcPr>
            <w:tcW w:type="dxa" w:w="3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قاعدة المفتاحين</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قاعدهٔ دوکلید</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Zero-Toll Rule</w:t>
            </w:r>
          </w:p>
        </w:tc>
        <w:tc>
          <w:tcPr>
            <w:tcW w:type="dxa" w:w="3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قاعدة انعدام الرسوم</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قاعدهٔ عوارض صفر</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Service Charge</w:t>
            </w:r>
          </w:p>
        </w:tc>
        <w:tc>
          <w:tcPr>
            <w:tcW w:type="dxa" w:w="3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رسم الخدمة</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هزینهٔ خدمات</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Good-Behavior Escalator</w:t>
            </w:r>
          </w:p>
        </w:tc>
        <w:tc>
          <w:tcPr>
            <w:tcW w:type="dxa" w:w="3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آلية حسن السلوك التصاعدية</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سازوکار تصاعدی حسن رفتار</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Hormuz Council</w:t>
            </w:r>
          </w:p>
        </w:tc>
        <w:tc>
          <w:tcPr>
            <w:tcW w:type="dxa" w:w="3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مجلس هرمز</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شورای هرمز</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Humanitarian Bridge</w:t>
            </w:r>
          </w:p>
        </w:tc>
        <w:tc>
          <w:tcPr>
            <w:tcW w:type="dxa" w:w="3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الجسر الإنساني</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پل انساندوستانه</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Verification Panel</w:t>
            </w:r>
          </w:p>
        </w:tc>
        <w:tc>
          <w:tcPr>
            <w:tcW w:type="dxa" w:w="3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لجنة التحقق</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هیأت راستی‌آزمایی</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Red Line</w:t>
            </w:r>
          </w:p>
        </w:tc>
        <w:tc>
          <w:tcPr>
            <w:tcW w:type="dxa" w:w="3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الخط الأحمر</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خط قرمز</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Guarantor</w:t>
            </w:r>
          </w:p>
        </w:tc>
        <w:tc>
          <w:tcPr>
            <w:tcW w:type="dxa" w:w="3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الضامن</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ضامن</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Gate (activation milestone)</w:t>
            </w:r>
          </w:p>
        </w:tc>
        <w:tc>
          <w:tcPr>
            <w:tcW w:type="dxa" w:w="3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البوابة</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دروازه</w:t>
            </w:r>
          </w:p>
        </w:tc>
      </w:tr>
      <w:tr>
        <w:tc>
          <w:tcPr>
            <w:tcW w:type="dxa" w:w="26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Standstill Declaration</w:t>
            </w:r>
          </w:p>
        </w:tc>
        <w:tc>
          <w:tcPr>
            <w:tcW w:type="dxa" w:w="3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إعلان التجمد</w:t>
            </w:r>
          </w:p>
        </w:tc>
        <w:tc>
          <w:tcPr>
            <w:tcW w:type="dxa" w:w="34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اعلامیهٔ توقف</w:t>
            </w:r>
          </w:p>
        </w:tc>
      </w:tr>
      <w:tr>
        <w:tc>
          <w:tcPr>
            <w:tcW w:type="dxa" w:w="26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Depositary</w:t>
            </w:r>
          </w:p>
        </w:tc>
        <w:tc>
          <w:tcPr>
            <w:tcW w:type="dxa" w:w="3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الجهة المودعة</w:t>
            </w:r>
          </w:p>
        </w:tc>
        <w:tc>
          <w:tcPr>
            <w:tcW w:type="dxa" w:w="34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امانتدار</w:t>
            </w:r>
          </w:p>
        </w:tc>
      </w:tr>
    </w:tbl>
    <w:p>
      <w:pPr>
        <w:spacing w:after="200" w:before="0" w:line="288"/>
        <w:jc w:val="both"/>
      </w:pPr>
      <w:r>
        <w:rPr>
          <w:rFonts w:ascii="Calibri" w:cs="Calibri" w:eastAsia="Calibri" w:hAnsi="Calibri"/>
          <w:b w:val="false"/>
          <w:bCs w:val="false"/>
          <w:i w:val="false"/>
          <w:iCs w:val="false"/>
          <w:color w:val="1A1A1A"/>
          <w:sz w:val="22"/>
          <w:szCs w:val="22"/>
        </w:rPr>
        <w:t xml:space="preserve">A divergence between the Arabic, Persian, or English rendering of a term in this Annex, or any other term this Accord uses, resolves through the Meso-band dispute procedure of Article 20, drawing on the Secretariat’s trilingual drafting record as the primary interpretive evidence. This Annex excludes any presumption that one language text controls over another by default; the three texts stand as equally authentic unless the Meso-band procedure determines otherwise for the specific term in dispute.</w:t>
      </w:r>
    </w:p>
    <w:p>
      <w:pPr>
        <w:spacing w:after="200" w:before="0" w:line="288"/>
        <w:jc w:val="both"/>
      </w:pPr>
      <w:r>
        <w:rPr>
          <w:rFonts w:ascii="Calibri" w:cs="Calibri" w:eastAsia="Calibri" w:hAnsi="Calibri"/>
          <w:b w:val="false"/>
          <w:bCs w:val="false"/>
          <w:i w:val="false"/>
          <w:iCs w:val="false"/>
          <w:color w:val="1A1A1A"/>
          <w:sz w:val="22"/>
          <w:szCs w:val="22"/>
        </w:rPr>
        <w:t xml:space="preserve">The Secretariat maintains and expands this glossary as new operational terms enter use, publishing each addition to the Transparency Portal within seven days of the Council confirming the term’s standard trilingual rendering.</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U</w:t>
      </w:r>
      <w:r>
        <w:rPr>
          <w:rFonts w:ascii="Calibri" w:cs="Calibri" w:eastAsia="Calibri" w:hAnsi="Calibri"/>
          <w:b/>
          <w:bCs/>
          <w:color w:val="1B2A4A"/>
          <w:sz w:val="30"/>
          <w:szCs w:val="30"/>
        </w:rPr>
        <w:br/>
        <w:t xml:space="preserve">  The Cost of Closure Compared to the Cost of This Accord</w:t>
      </w:r>
    </w:p>
    <w:p>
      <w:pPr>
        <w:spacing w:after="200" w:before="0" w:line="288"/>
        <w:jc w:val="both"/>
      </w:pPr>
      <w:r>
        <w:rPr>
          <w:rFonts w:ascii="Calibri" w:cs="Calibri" w:eastAsia="Calibri" w:hAnsi="Calibri"/>
          <w:b w:val="false"/>
          <w:bCs w:val="false"/>
          <w:i w:val="false"/>
          <w:iCs w:val="false"/>
          <w:color w:val="1A1A1A"/>
          <w:sz w:val="22"/>
          <w:szCs w:val="22"/>
        </w:rPr>
        <w:t xml:space="preserve">This Annex sets out, in illustrative terms, why the institutional cost this Accord creates is small relative to the cost of the status quo it replaces. The comparison grounds this Accord’s repeated commitment to cost-effectiveness in a concrete order-of-magnitude argument rather than an abstract preference for thrift.</w:t>
      </w:r>
    </w:p>
    <w:p>
      <w:pPr>
        <w:pStyle w:val="Heading2"/>
        <w:spacing w:after="180" w:before="360"/>
      </w:pPr>
      <w:r>
        <w:rPr>
          <w:rFonts w:ascii="Calibri" w:cs="Calibri" w:eastAsia="Calibri" w:hAnsi="Calibri"/>
          <w:b/>
          <w:bCs/>
          <w:color w:val="1B2A4A"/>
          <w:sz w:val="26"/>
          <w:szCs w:val="26"/>
        </w:rPr>
        <w:t xml:space="preserve">U.1 The Cost of Continued Closure</w:t>
      </w:r>
    </w:p>
    <w:p>
      <w:pPr>
        <w:spacing w:after="200" w:before="0" w:line="288"/>
        <w:jc w:val="both"/>
      </w:pPr>
      <w:r>
        <w:rPr>
          <w:rFonts w:ascii="Calibri" w:cs="Calibri" w:eastAsia="Calibri" w:hAnsi="Calibri"/>
          <w:b w:val="false"/>
          <w:bCs w:val="false"/>
          <w:i w:val="false"/>
          <w:iCs w:val="false"/>
          <w:color w:val="1A1A1A"/>
          <w:sz w:val="22"/>
          <w:szCs w:val="22"/>
        </w:rPr>
        <w:t xml:space="preserve">A fifth of the world’s seaborne oil and a substantial share of its liquefied natural gas moves through the Governance Area in ordinary conditions. The closure since 28 February 2026 registered in elevated global fuel prices, in a global fuel crisis that this Accord’s Preamble records, in a formal United States naval blockade and escort operation carrying its own sustained cost, and in direct commercial losses, including damaged, abandoned, and captured vessels and lost seafarer lives, that this Annex does not attempt to quantify precisely but that every Party’s own reporting acknowledges as severe and ongoing.</w:t>
      </w:r>
    </w:p>
    <w:p>
      <w:pPr>
        <w:spacing w:after="200" w:before="0" w:line="288"/>
        <w:jc w:val="both"/>
      </w:pPr>
      <w:r>
        <w:rPr>
          <w:rFonts w:ascii="Calibri" w:cs="Calibri" w:eastAsia="Calibri" w:hAnsi="Calibri"/>
          <w:b w:val="false"/>
          <w:bCs w:val="false"/>
          <w:i w:val="false"/>
          <w:iCs w:val="false"/>
          <w:color w:val="1A1A1A"/>
          <w:sz w:val="22"/>
          <w:szCs w:val="22"/>
        </w:rPr>
        <w:t xml:space="preserve">Every additional day of closure or of unmanaged, ad hoc wartime routing extends these costs without producing any offsetting institutional value. The four outstanding components this Accord resolves, security authority, fee structure, the reopening mechanism, and multilateral acceptance, are the only remaining obstacles to ending this cost, since the underlying corridor geometry and technical mapping already carry near-complete convergence.</w:t>
      </w:r>
    </w:p>
    <w:p>
      <w:pPr>
        <w:pStyle w:val="Heading2"/>
        <w:spacing w:after="180" w:before="360"/>
      </w:pPr>
      <w:r>
        <w:rPr>
          <w:rFonts w:ascii="Calibri" w:cs="Calibri" w:eastAsia="Calibri" w:hAnsi="Calibri"/>
          <w:b/>
          <w:bCs/>
          <w:color w:val="1B2A4A"/>
          <w:sz w:val="26"/>
          <w:szCs w:val="26"/>
        </w:rPr>
        <w:t xml:space="preserve">U.2 The Cost of This Accord’s Institutions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650"/>
      </w:tblGrid>
      <w:tr>
        <w:trPr>
          <w:tblHeader/>
        </w:trPr>
        <w:tc>
          <w:tcPr>
            <w:tcW w:type="dxa" w:w="23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Institution</w:t>
            </w:r>
          </w:p>
        </w:tc>
        <w:tc>
          <w:tcPr>
            <w:tcW w:type="dxa" w:w="34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Funding Source</w:t>
            </w:r>
          </w:p>
        </w:tc>
        <w:tc>
          <w:tcPr>
            <w:tcW w:type="dxa" w:w="36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Cost-Containment Feature</w:t>
            </w:r>
          </w:p>
        </w:tc>
      </w:tr>
      <w:tr>
        <w:tc>
          <w:tcPr>
            <w:tcW w:type="dxa" w:w="2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Hormuz Services Fund</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Tri-Channel funding, Annex D</w:t>
            </w:r>
          </w:p>
        </w:tc>
        <w:tc>
          <w:tcPr>
            <w:tcW w:type="dxa" w:w="36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Funded by service consumption and existing insurance and port cost structures, not by new state appropriation</w:t>
            </w:r>
          </w:p>
        </w:tc>
      </w:tr>
      <w:tr>
        <w:tc>
          <w:tcPr>
            <w:tcW w:type="dxa" w:w="2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Secretariat and Maritime Coordination Center</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Sovereign Channel, Annex D Section D.3</w:t>
            </w:r>
          </w:p>
        </w:tc>
        <w:tc>
          <w:tcPr>
            <w:tcW w:type="dxa" w:w="36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Five-desk structure with daily coordination calls, deliberately minimal staffing relative to a traditional multilateral bureaucracy</w:t>
            </w:r>
          </w:p>
        </w:tc>
      </w:tr>
      <w:tr>
        <w:tc>
          <w:tcPr>
            <w:tcW w:type="dxa" w:w="2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Verification and Surveillance Directorate</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Sovereign Channel and Fund operating budget</w:t>
            </w:r>
          </w:p>
        </w:tc>
        <w:tc>
          <w:tcPr>
            <w:tcW w:type="dxa" w:w="36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Reuses existing radar, AIS, and commercial telemetry infrastructure rather than commissioning new sensor networks</w:t>
            </w:r>
          </w:p>
        </w:tc>
      </w:tr>
      <w:tr>
        <w:tc>
          <w:tcPr>
            <w:tcW w:type="dxa" w:w="2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Regional Tribunal and Ombudsman</w:t>
            </w:r>
          </w:p>
        </w:tc>
        <w:tc>
          <w:tcPr>
            <w:tcW w:type="dxa" w:w="34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Fund operating budget</w:t>
            </w:r>
          </w:p>
        </w:tc>
        <w:tc>
          <w:tcPr>
            <w:tcW w:type="dxa" w:w="36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Three-band dispute system routes the overwhelming majority of disputes through the fast, low-cost Micro band, reserving the five-judge Tribunal for genuinely structural questions</w:t>
            </w:r>
          </w:p>
        </w:tc>
      </w:tr>
      <w:tr>
        <w:tc>
          <w:tcPr>
            <w:tcW w:type="dxa" w:w="2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Reconstruction and Development Facility</w:t>
            </w:r>
          </w:p>
        </w:tc>
        <w:tc>
          <w:tcPr>
            <w:tcW w:type="dxa" w:w="34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External capitalization, Annex N</w:t>
            </w:r>
          </w:p>
        </w:tc>
        <w:tc>
          <w:tcPr>
            <w:tcW w:type="dxa" w:w="36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Structured as investment carrying its own return, not as a standing state expenditure line</w:t>
            </w:r>
          </w:p>
        </w:tc>
      </w:tr>
    </w:tbl>
    <w:p>
      <w:pPr>
        <w:spacing w:after="200" w:before="0" w:line="288"/>
        <w:jc w:val="both"/>
      </w:pPr>
      <w:r>
        <w:rPr>
          <w:rFonts w:ascii="Calibri" w:cs="Calibri" w:eastAsia="Calibri" w:hAnsi="Calibri"/>
          <w:b w:val="false"/>
          <w:bCs w:val="false"/>
          <w:i w:val="false"/>
          <w:iCs w:val="false"/>
          <w:color w:val="1A1A1A"/>
          <w:sz w:val="22"/>
          <w:szCs w:val="22"/>
        </w:rPr>
        <w:t xml:space="preserve">This Annex excludes any institution funded by a new, uncapped state appropriation. Every institution this Accord creates draws on a funding source that already exists in some form, insurance premiums, port documentation fees, sovereign contributions comparable to existing multilateral dues, or investment capital seeking a commercial return, redirected and formalized rather than newly invented.</w:t>
      </w:r>
    </w:p>
    <w:p>
      <w:pPr>
        <w:pStyle w:val="Heading2"/>
        <w:spacing w:after="180" w:before="360"/>
      </w:pPr>
      <w:r>
        <w:rPr>
          <w:rFonts w:ascii="Calibri" w:cs="Calibri" w:eastAsia="Calibri" w:hAnsi="Calibri"/>
          <w:b/>
          <w:bCs/>
          <w:color w:val="1B2A4A"/>
          <w:sz w:val="26"/>
          <w:szCs w:val="26"/>
        </w:rPr>
        <w:t xml:space="preserve">U.3 Why Simplicity Is Itself a Cost Control</w:t>
      </w:r>
    </w:p>
    <w:p>
      <w:pPr>
        <w:spacing w:after="200" w:before="0" w:line="288"/>
        <w:jc w:val="both"/>
      </w:pPr>
      <w:r>
        <w:rPr>
          <w:rFonts w:ascii="Calibri" w:cs="Calibri" w:eastAsia="Calibri" w:hAnsi="Calibri"/>
          <w:b w:val="false"/>
          <w:bCs w:val="false"/>
          <w:i w:val="false"/>
          <w:iCs w:val="false"/>
          <w:color w:val="1A1A1A"/>
          <w:sz w:val="22"/>
          <w:szCs w:val="22"/>
        </w:rPr>
        <w:t xml:space="preserve">The single-filing notification regime of Annex B, the closed service catalog of Annex D, and the plain-language Core Accord of Part I each function as cost controls in their own right. A complex, discretionary system generates cost through the administrative burden of operating it, the legal cost of interpreting it, and the commercial cost of the delay and uncertainty it introduces into shipping and insurance markets. This Accord’s design choice toward the simplest workable mechanism at every decision point, described in the three design commitments of the Executive Summary, functions as a direct, structural form of cost-effectiveness that a longer or more elaborate instrument does not achieve regardless of its funding structure.</w:t>
      </w:r>
    </w:p>
    <w:p>
      <w:pPr>
        <w:pStyle w:val="Heading1"/>
        <w:pBdr>
          <w:bottom w:val="single" w:color="A9862F" w:sz="8" w:space="6"/>
        </w:pBdr>
        <w:spacing w:after="240" w:before="600"/>
      </w:pPr>
      <w:r>
        <w:rPr>
          <w:rFonts w:ascii="Calibri" w:cs="Calibri" w:eastAsia="Calibri" w:hAnsi="Calibri"/>
          <w:b/>
          <w:bCs/>
          <w:color w:val="A9862F"/>
          <w:sz w:val="22"/>
          <w:szCs w:val="22"/>
        </w:rPr>
        <w:t xml:space="preserve">Annex V</w:t>
      </w:r>
      <w:r>
        <w:rPr>
          <w:rFonts w:ascii="Calibri" w:cs="Calibri" w:eastAsia="Calibri" w:hAnsi="Calibri"/>
          <w:b/>
          <w:bCs/>
          <w:color w:val="1B2A4A"/>
          <w:sz w:val="30"/>
          <w:szCs w:val="30"/>
        </w:rPr>
        <w:br/>
        <w:t xml:space="preserve">  Signature Blocks and Participants List</w:t>
      </w:r>
    </w:p>
    <w:p>
      <w:pPr>
        <w:spacing w:after="200" w:before="0" w:line="288"/>
        <w:jc w:val="both"/>
      </w:pPr>
      <w:r>
        <w:rPr>
          <w:rFonts w:ascii="Calibri" w:cs="Calibri" w:eastAsia="Calibri" w:hAnsi="Calibri"/>
          <w:b w:val="false"/>
          <w:bCs w:val="false"/>
          <w:i w:val="false"/>
          <w:iCs w:val="false"/>
          <w:color w:val="1A1A1A"/>
          <w:sz w:val="22"/>
          <w:szCs w:val="22"/>
        </w:rPr>
        <w:t xml:space="preserve">This Annex records the signature of each Founding Party and the endorsement of each Guarantor and Observer Member at the point of this Accord’s conclusion. The Muscat Depositary maintains the authoritative signed original and updates this Annex as accession under Annex L proceeds.</w:t>
      </w:r>
    </w:p>
    <w:p>
      <w:pPr>
        <w:pStyle w:val="Heading2"/>
        <w:spacing w:after="180" w:before="360"/>
      </w:pPr>
      <w:r>
        <w:rPr>
          <w:rFonts w:ascii="Calibri" w:cs="Calibri" w:eastAsia="Calibri" w:hAnsi="Calibri"/>
          <w:b/>
          <w:bCs/>
          <w:color w:val="1B2A4A"/>
          <w:sz w:val="26"/>
          <w:szCs w:val="26"/>
        </w:rPr>
        <w:t xml:space="preserve">V.1 Founding Parties</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4300"/>
        <w:gridCol w:w="18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Party</w:t>
            </w:r>
          </w:p>
        </w:tc>
        <w:tc>
          <w:tcPr>
            <w:tcW w:type="dxa" w:w="43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Representative</w:t>
            </w:r>
          </w:p>
        </w:tc>
        <w:tc>
          <w:tcPr>
            <w:tcW w:type="dxa" w:w="18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Date</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Islamic Republic of Iran</w:t>
            </w:r>
          </w:p>
        </w:tc>
        <w:tc>
          <w:tcPr>
            <w:tcW w:type="dxa" w:w="4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c>
          <w:tcPr>
            <w:tcW w:type="dxa" w:w="18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Sultanate of Oman</w:t>
            </w:r>
          </w:p>
        </w:tc>
        <w:tc>
          <w:tcPr>
            <w:tcW w:type="dxa" w:w="4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c>
          <w:tcPr>
            <w:tcW w:type="dxa" w:w="18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bl>
    <w:p>
      <w:pPr>
        <w:pStyle w:val="Heading2"/>
        <w:spacing w:after="180" w:before="360"/>
      </w:pPr>
      <w:r>
        <w:rPr>
          <w:rFonts w:ascii="Calibri" w:cs="Calibri" w:eastAsia="Calibri" w:hAnsi="Calibri"/>
          <w:b/>
          <w:bCs/>
          <w:color w:val="1B2A4A"/>
          <w:sz w:val="26"/>
          <w:szCs w:val="26"/>
        </w:rPr>
        <w:t xml:space="preserve">V.2 Guarantor Endorsement</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4300"/>
        <w:gridCol w:w="18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Party</w:t>
            </w:r>
          </w:p>
        </w:tc>
        <w:tc>
          <w:tcPr>
            <w:tcW w:type="dxa" w:w="43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Representative</w:t>
            </w:r>
          </w:p>
        </w:tc>
        <w:tc>
          <w:tcPr>
            <w:tcW w:type="dxa" w:w="18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Date</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States of America</w:t>
            </w:r>
          </w:p>
        </w:tc>
        <w:tc>
          <w:tcPr>
            <w:tcW w:type="dxa" w:w="4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c>
          <w:tcPr>
            <w:tcW w:type="dxa" w:w="18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bl>
    <w:p>
      <w:pPr>
        <w:pStyle w:val="Heading2"/>
        <w:spacing w:after="180" w:before="360"/>
      </w:pPr>
      <w:r>
        <w:rPr>
          <w:rFonts w:ascii="Calibri" w:cs="Calibri" w:eastAsia="Calibri" w:hAnsi="Calibri"/>
          <w:b/>
          <w:bCs/>
          <w:color w:val="1B2A4A"/>
          <w:sz w:val="26"/>
          <w:szCs w:val="26"/>
        </w:rPr>
        <w:t xml:space="preserve">V.3 Observer Member Endorsement</w:t>
      </w:r>
    </w:p>
    <w:tbl>
      <w:tblPr>
        <w:tblW w:type="dxa" w:w="935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4300"/>
        <w:gridCol w:w="1850"/>
      </w:tblGrid>
      <w:tr>
        <w:trPr>
          <w:tblHeader/>
        </w:trPr>
        <w:tc>
          <w:tcPr>
            <w:tcW w:type="dxa" w:w="32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Party</w:t>
            </w:r>
          </w:p>
        </w:tc>
        <w:tc>
          <w:tcPr>
            <w:tcW w:type="dxa" w:w="430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Representative</w:t>
            </w:r>
          </w:p>
        </w:tc>
        <w:tc>
          <w:tcPr>
            <w:tcW w:type="dxa" w:w="1850"/>
            <w:shd w:fill="1B2A4A" w:color="auto" w:val="clear"/>
            <w:tcMar>
              <w:top w:type="dxa" w:w="80"/>
              <w:left w:type="dxa" w:w="100"/>
              <w:bottom w:type="dxa" w:w="80"/>
              <w:right w:type="dxa" w:w="100"/>
            </w:tcMar>
            <w:vAlign w:val="center"/>
          </w:tcPr>
          <w:p>
            <w:pPr>
              <w:spacing w:after="60" w:before="60" w:line="260"/>
              <w:jc w:val="left"/>
            </w:pPr>
            <w:r>
              <w:rPr>
                <w:rFonts w:ascii="Calibri" w:cs="Calibri" w:eastAsia="Calibri" w:hAnsi="Calibri"/>
                <w:b/>
                <w:bCs/>
                <w:color w:val="FFFFFF"/>
                <w:sz w:val="20"/>
                <w:szCs w:val="20"/>
              </w:rPr>
              <w:t xml:space="preserve">Date</w:t>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Kingdom of Saudi Arabia</w:t>
            </w:r>
          </w:p>
        </w:tc>
        <w:tc>
          <w:tcPr>
            <w:tcW w:type="dxa" w:w="4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c>
          <w:tcPr>
            <w:tcW w:type="dxa" w:w="18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United Arab Emirates</w:t>
            </w:r>
          </w:p>
        </w:tc>
        <w:tc>
          <w:tcPr>
            <w:tcW w:type="dxa" w:w="4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c>
          <w:tcPr>
            <w:tcW w:type="dxa" w:w="18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State of Qatar</w:t>
            </w:r>
          </w:p>
        </w:tc>
        <w:tc>
          <w:tcPr>
            <w:tcW w:type="dxa" w:w="4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c>
          <w:tcPr>
            <w:tcW w:type="dxa" w:w="18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Kingdom of Bahrain</w:t>
            </w:r>
          </w:p>
        </w:tc>
        <w:tc>
          <w:tcPr>
            <w:tcW w:type="dxa" w:w="4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c>
          <w:tcPr>
            <w:tcW w:type="dxa" w:w="18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32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State of Kuwait</w:t>
            </w:r>
          </w:p>
        </w:tc>
        <w:tc>
          <w:tcPr>
            <w:tcW w:type="dxa" w:w="430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c>
          <w:tcPr>
            <w:tcW w:type="dxa" w:w="1850"/>
            <w:shd w:fill="FFFFFF"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r>
        <w:tc>
          <w:tcPr>
            <w:tcW w:type="dxa" w:w="32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Republic of Iraq</w:t>
            </w:r>
          </w:p>
        </w:tc>
        <w:tc>
          <w:tcPr>
            <w:tcW w:type="dxa" w:w="430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c>
          <w:tcPr>
            <w:tcW w:type="dxa" w:w="1850"/>
            <w:shd w:fill="F5F3EE" w:color="auto" w:val="clear"/>
            <w:tcMar>
              <w:top w:type="dxa" w:w="70"/>
              <w:left w:type="dxa" w:w="100"/>
              <w:bottom w:type="dxa" w:w="70"/>
              <w:right w:type="dxa" w:w="100"/>
            </w:tcMar>
            <w:vAlign w:val="center"/>
          </w:tcPr>
          <w:p>
            <w:pPr>
              <w:spacing w:after="60" w:before="60" w:line="260"/>
              <w:jc w:val="left"/>
            </w:pPr>
            <w:r>
              <w:rPr>
                <w:rFonts w:ascii="Calibri" w:cs="Calibri" w:eastAsia="Calibri" w:hAnsi="Calibri"/>
                <w:b w:val="false"/>
                <w:bCs w:val="false"/>
                <w:color w:val="1A1A1A"/>
                <w:sz w:val="20"/>
                <w:szCs w:val="20"/>
              </w:rPr>
              <w:t xml:space="preserve"/>
            </w:r>
          </w:p>
        </w:tc>
      </w:tr>
    </w:tbl>
    <w:p>
      <w:pPr>
        <w:pStyle w:val="Heading2"/>
        <w:spacing w:after="180" w:before="360"/>
      </w:pPr>
      <w:r>
        <w:rPr>
          <w:rFonts w:ascii="Calibri" w:cs="Calibri" w:eastAsia="Calibri" w:hAnsi="Calibri"/>
          <w:b/>
          <w:bCs/>
          <w:color w:val="1B2A4A"/>
          <w:sz w:val="26"/>
          <w:szCs w:val="26"/>
        </w:rPr>
        <w:t xml:space="preserve">V.4 Depositary Certification</w:t>
      </w:r>
    </w:p>
    <w:p>
      <w:pPr>
        <w:spacing w:after="200" w:before="0" w:line="288"/>
        <w:jc w:val="both"/>
      </w:pPr>
      <w:r>
        <w:rPr>
          <w:rFonts w:ascii="Calibri" w:cs="Calibri" w:eastAsia="Calibri" w:hAnsi="Calibri"/>
          <w:b w:val="false"/>
          <w:bCs w:val="false"/>
          <w:i w:val="false"/>
          <w:iCs w:val="false"/>
          <w:color w:val="1A1A1A"/>
          <w:sz w:val="22"/>
          <w:szCs w:val="22"/>
        </w:rPr>
        <w:t xml:space="preserve">The Sultanate of Oman, acting as Depositary under Article 24, certifies the completeness of this instrument and its Annexes A through V, and confirms deposit of the original text in Arabic, Persian, and English at Muscat on the date this Annex records above.</w:t>
      </w:r>
    </w:p>
    <w:p>
      <w:pPr>
        <w:pStyle w:val="Heading2"/>
        <w:spacing w:after="180" w:before="360"/>
      </w:pPr>
      <w:r>
        <w:rPr>
          <w:rFonts w:ascii="Calibri" w:cs="Calibri" w:eastAsia="Calibri" w:hAnsi="Calibri"/>
          <w:b/>
          <w:bCs/>
          <w:color w:val="1B2A4A"/>
          <w:sz w:val="26"/>
          <w:szCs w:val="26"/>
        </w:rPr>
        <w:t xml:space="preserve">V.5 Closing Statement</w:t>
      </w:r>
    </w:p>
    <w:p>
      <w:pPr>
        <w:spacing w:after="200" w:before="0" w:line="288"/>
        <w:jc w:val="both"/>
      </w:pPr>
      <w:r>
        <w:rPr>
          <w:rFonts w:ascii="Calibri" w:cs="Calibri" w:eastAsia="Calibri" w:hAnsi="Calibri"/>
          <w:b w:val="false"/>
          <w:bCs w:val="false"/>
          <w:i w:val="false"/>
          <w:iCs w:val="false"/>
          <w:color w:val="1A1A1A"/>
          <w:sz w:val="22"/>
          <w:szCs w:val="22"/>
        </w:rPr>
        <w:t xml:space="preserve">This instrument ends where its Preamble begins: with the recognition that a closed Strait costs every Party more, every day, than an open one governed carefully costs any Party. The architecture above resolves the four components that stood between the corridor convergence Iran and Oman had already achieved and a Strait that carries commercial traffic again. It resolves them through function rather than sovereignty, through verified graduation rather than an untested single grant, through a service charge rather than a toll, and through a firewalled, separate track for the nuclear file rather than a linkage that holds the whole system hostage to a single unresolved question. The remaining work belongs to the Parties themselves: certification, ratification, and the daily operation of a system this text describes but does not yet run.</w:t>
      </w:r>
    </w:p>
    <w:sectPr>
      <w:headerReference w:type="default" r:id="rId7"/>
      <w:footerReference w:type="default" r:id="rId8"/>
      <w:pgSz w:w="12240" w:h="15840" w:orient="portrait"/>
      <w:pgMar w:top="108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spacing w:line="300" w:after="120" w:lineRule="auto"/>
      <w:pBdr>
        <w:top w:val="single" w:color="B0BEC5" w:sz="2"/>
      </w:pBdr>
    </w:pPr>
    <w:r>
      <w:rPr>
        <w:rFonts w:ascii="Calibri" w:cs="Calibri" w:eastAsia="Calibri" w:hAnsi="Calibri"/>
        <w:color w:val="78909C"/>
        <w:sz w:val="18"/>
        <w:szCs w:val="16"/>
      </w:rPr>
      <w:t xml:space="preserve">Page </w:t>
    </w:r>
    <w:r>
      <w:rPr>
        <w:rFonts w:ascii="Calibri" w:hAnsi="Calibri" w:cs="Calibri"/>
        <w:color w:val="78909C"/>
        <w:sz w:val="18"/>
      </w:rPr>
      <w:fldChar w:fldCharType="begin"/>
    </w:r>
    <w:r>
      <w:rPr>
        <w:rFonts w:ascii="Calibri" w:hAnsi="Calibri" w:cs="Calibri"/>
        <w:color w:val="78909C"/>
        <w:sz w:val="18"/>
      </w:rPr>
      <w:instrText>PAGE</w:instrText>
    </w:r>
    <w:r>
      <w:rPr>
        <w:rFonts w:ascii="Calibri" w:hAnsi="Calibri" w:cs="Calibri"/>
        <w:color w:val="78909C"/>
        <w:sz w:val="18"/>
      </w:rPr>
      <w:fldChar w:fldCharType="separate"/>
    </w:r>
    <w:r>
      <w:rPr>
        <w:rFonts w:ascii="Calibri" w:hAnsi="Calibri" w:cs="Calibri"/>
        <w:color w:val="78909C"/>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pBdr>
        <w:bottom w:val="single" w:color="B0BEC5" w:sz="2"/>
      </w:pBdr>
      <w:jc w:val="right"/>
      <w:spacing w:line="300" w:after="120" w:lineRule="auto"/>
    </w:pPr>
    <w:r>
      <w:rPr>
        <w:rFonts w:ascii="Calibri" w:cs="Calibri" w:eastAsia="Calibri" w:hAnsi="Calibri"/>
        <w:i w:val="0"/>
        <w:iCs/>
        <w:color w:val="78909C"/>
        <w:sz w:val="16"/>
        <w:szCs w:val="15"/>
        <w:caps/>
      </w:rPr>
      <w:t xml:space="preserve">The Strait of Hormuz Joint Management Accord  ·  Cooperative Maritime Governance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http://schemas.openxmlformats.org/wordprocessingml/2006/mai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toc1">
    <w:name w:val="toc 1"/>
    <w:pPr>
      <w:tabs>
        <w:tab w:pos="9360" w:val="right" w:leader="dot"/>
      </w:tabs>
      <w:spacing w:before="120" w:after="40"/>
      <w:ind w:left="0"/>
    </w:pPr>
    <w:rPr>
      <w:rFonts w:ascii="Calibri" w:hAnsi="Calibri" w:cs="Calibri"/>
      <w:b/>
      <w:color w:val="000000"/>
      <w:sz w:val="24"/>
    </w:rPr>
  </w:style>
  <w:style w:type="paragraph" w:customStyle="1" w:styleId="toc2">
    <w:name w:val="toc 2"/>
    <w:pPr>
      <w:tabs>
        <w:tab w:pos="9360" w:val="right" w:leader="dot"/>
      </w:tabs>
      <w:spacing w:before="0" w:after="20"/>
      <w:ind w:left="360"/>
    </w:pPr>
    <w:rPr>
      <w:rFonts w:ascii="Calibri" w:hAnsi="Calibri" w:cs="Calibri"/>
      <w:b w:val="0"/>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2026-08-12T21:19:59.689Z</dcterms:created>
  <dcterms:modified xsi:type="dcterms:W3CDTF">2026-08-12T21:19:59.689Z</dcterms:modified>
</cp:coreProperties>
</file>

<file path=docProps/custom.xml><?xml version="1.0" encoding="utf-8"?>
<Properties xmlns="http://schemas.openxmlformats.org/officeDocument/2006/custom-properties" xmlns:vt="http://schemas.openxmlformats.org/officeDocument/2006/docPropsVTypes"/>
</file>