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00" w:before="3000" w:after="0"/>
        <w:jc w:val="center"/>
        <w:rPr/>
      </w:pPr>
      <w:r>
        <w:rPr/>
      </w:r>
    </w:p>
    <w:p>
      <w:pPr>
        <w:pStyle w:val="Normal"/>
        <w:spacing w:lineRule="auto" w:line="300" w:before="0" w:after="0"/>
        <w:jc w:val="center"/>
        <w:rPr/>
      </w:pPr>
      <w:r>
        <w:rPr>
          <w:rFonts w:eastAsia="Calibri" w:cs="Calibri" w:ascii="Calibri" w:hAnsi="Calibri"/>
          <w:b/>
          <w:color w:val="37474F"/>
          <w:spacing w:val="40"/>
          <w:sz w:val="56"/>
          <w:szCs w:val="24"/>
          <w:lang w:val="en-US" w:eastAsia="en-US" w:bidi="ar-SA"/>
        </w:rPr>
        <w:t>THE U.S.-IRAN STRATEGIC FRAMEWORK AGREEMENT</w:t>
      </w:r>
    </w:p>
    <w:p>
      <w:pPr>
        <w:pStyle w:val="Normal"/>
        <w:spacing w:lineRule="auto" w:line="300" w:before="180" w:after="520"/>
        <w:jc w:val="center"/>
        <w:rPr/>
      </w:pPr>
      <w:r>
        <w:rPr>
          <w:rFonts w:eastAsia="Calibri" w:cs="Calibri" w:ascii="Calibri" w:hAnsi="Calibri"/>
          <w:i/>
          <w:color w:val="546E7A"/>
          <w:sz w:val="27"/>
          <w:szCs w:val="24"/>
          <w:lang w:val="en-US" w:eastAsia="en-US" w:bidi="ar-SA"/>
        </w:rPr>
        <w:t>A Permanent Settlement Architecture Between the United States of America and the Islamic Republic of Iran</w:t>
      </w:r>
    </w:p>
    <w:p>
      <w:pPr>
        <w:pStyle w:val="Normal"/>
        <w:pBdr>
          <w:bottom w:val="single" w:sz="6" w:space="0" w:color="546E7A"/>
        </w:pBdr>
        <w:spacing w:lineRule="auto" w:line="300" w:before="0" w:after="520"/>
        <w:ind w:left="2400" w:right="2400" w:hanging="0"/>
        <w:jc w:val="both"/>
        <w:rPr/>
      </w:pPr>
      <w:r>
        <w:rPr/>
      </w:r>
    </w:p>
    <w:p>
      <w:pPr>
        <w:pStyle w:val="Normal"/>
        <w:spacing w:lineRule="auto" w:line="300" w:before="0" w:after="160"/>
        <w:jc w:val="center"/>
        <w:rPr/>
      </w:pPr>
      <w:r>
        <w:rPr>
          <w:rFonts w:eastAsia="Calibri" w:cs="Calibri" w:ascii="Calibri" w:hAnsi="Calibri"/>
          <w:color w:val="212121"/>
          <w:sz w:val="24"/>
          <w:szCs w:val="24"/>
          <w:lang w:val="en-US" w:eastAsia="en-US" w:bidi="ar-SA"/>
        </w:rPr>
        <w:t>Version 1.0  ·  August 2026</w:t>
      </w:r>
    </w:p>
    <w:p>
      <w:pPr>
        <w:pStyle w:val="Normal"/>
        <w:spacing w:lineRule="auto" w:line="300" w:before="0" w:after="160"/>
        <w:jc w:val="center"/>
        <w:rPr/>
      </w:pPr>
      <w:r>
        <w:rPr>
          <w:rFonts w:eastAsia="Calibri" w:cs="Calibri" w:ascii="Calibri" w:hAnsi="Calibri"/>
          <w:color w:val="546E7A"/>
          <w:sz w:val="22"/>
          <w:szCs w:val="24"/>
          <w:lang w:val="en-US" w:eastAsia="en-US" w:bidi="ar-SA"/>
        </w:rPr>
        <w:t>Negotiating Draft for Authorized Participants</w:t>
      </w:r>
    </w:p>
    <w:p>
      <w:pPr>
        <w:pStyle w:val="Normal"/>
        <w:spacing w:lineRule="auto" w:line="300" w:before="0" w:after="2100"/>
        <w:jc w:val="center"/>
        <w:rPr/>
      </w:pPr>
      <w:r>
        <w:rPr>
          <w:rFonts w:eastAsia="Calibri" w:cs="Calibri" w:ascii="Calibri" w:hAnsi="Calibri"/>
          <w:i/>
          <w:color w:val="78909C"/>
          <w:sz w:val="20"/>
          <w:szCs w:val="24"/>
          <w:lang w:val="en-US" w:eastAsia="en-US" w:bidi="ar-SA"/>
        </w:rPr>
        <w:t>Drafted in strict adherence to the Sovereign Present-Tense Standard, with the Continuity Principle first among equals</w:t>
      </w:r>
    </w:p>
    <w:p>
      <w:pPr>
        <w:pStyle w:val="Normal"/>
        <w:spacing w:lineRule="auto" w:line="300" w:before="0" w:after="160"/>
        <w:jc w:val="center"/>
        <w:rPr/>
      </w:pPr>
      <w:r>
        <w:rPr>
          <w:rFonts w:eastAsia="Calibri" w:cs="Calibri" w:ascii="Calibri" w:hAnsi="Calibri"/>
          <w:b/>
          <w:color w:val="37474F"/>
          <w:sz w:val="22"/>
          <w:szCs w:val="24"/>
          <w:lang w:val="en-US" w:eastAsia="en-US" w:bidi="ar-SA"/>
        </w:rPr>
        <w:t>The United States of America  ·  The Islamic Republic of Iran</w:t>
      </w:r>
    </w:p>
    <w:p>
      <w:pPr>
        <w:pStyle w:val="Normal"/>
        <w:spacing w:lineRule="auto" w:line="300" w:before="0" w:after="120"/>
        <w:jc w:val="center"/>
        <w:rPr/>
      </w:pPr>
      <w:r>
        <w:rPr>
          <w:rFonts w:eastAsia="Calibri" w:cs="Calibri" w:ascii="Calibri" w:hAnsi="Calibri"/>
          <w:color w:val="546E7A"/>
          <w:sz w:val="20"/>
          <w:szCs w:val="24"/>
          <w:lang w:val="en-US" w:eastAsia="en-US" w:bidi="ar-SA"/>
        </w:rPr>
        <w:t>Mediator of Record: The Islamic Republic of Pakistan</w:t>
      </w:r>
    </w:p>
    <w:p>
      <w:pPr>
        <w:pStyle w:val="Normal"/>
        <w:spacing w:lineRule="auto" w:line="300" w:before="0" w:after="120"/>
        <w:jc w:val="center"/>
        <w:rPr/>
      </w:pPr>
      <w:r>
        <w:rPr>
          <w:rFonts w:eastAsia="Calibri" w:cs="Calibri" w:ascii="Calibri" w:hAnsi="Calibri"/>
          <w:color w:val="546E7A"/>
          <w:sz w:val="20"/>
          <w:szCs w:val="24"/>
          <w:lang w:val="en-US" w:eastAsia="en-US" w:bidi="ar-SA"/>
        </w:rPr>
        <w:t>Facilitators: The Sultanate of Oman and the State of Qatar</w:t>
      </w:r>
    </w:p>
    <w:p>
      <w:pPr>
        <w:pStyle w:val="Normal"/>
        <w:spacing w:lineRule="auto" w:line="300" w:before="0" w:after="120"/>
        <w:jc w:val="center"/>
        <w:rPr/>
      </w:pPr>
      <w:r>
        <w:rPr>
          <w:rFonts w:eastAsia="Calibri" w:cs="Calibri" w:ascii="Calibri" w:hAnsi="Calibri"/>
          <w:color w:val="546E7A"/>
          <w:sz w:val="20"/>
          <w:szCs w:val="24"/>
          <w:lang w:val="en-US" w:eastAsia="en-US" w:bidi="ar-SA"/>
        </w:rPr>
        <w:t>Executive Mechanism seated at Muscat, with a Mirror Facility of Equal Rank at Geneva</w:t>
      </w:r>
    </w:p>
    <w:p>
      <w:pPr>
        <w:sectPr>
          <w:type w:val="nextPage"/>
          <w:pgSz w:w="12240" w:h="15840"/>
          <w:pgMar w:left="1134" w:right="1134" w:gutter="0" w:header="0" w:top="1134" w:footer="0" w:bottom="1134"/>
          <w:pgNumType w:fmt="decimal"/>
          <w:formProt w:val="false"/>
          <w:textDirection w:val="lrTb"/>
          <w:docGrid w:type="default" w:linePitch="100" w:charSpace="0"/>
        </w:sectPr>
        <w:pStyle w:val="Normal"/>
        <w:spacing w:lineRule="auto" w:line="300" w:before="0" w:after="0"/>
        <w:jc w:val="center"/>
        <w:rPr/>
      </w:pPr>
      <w:r>
        <w:rPr>
          <w:rFonts w:eastAsia="Calibri" w:cs="Calibri" w:ascii="Calibri" w:hAnsi="Calibri"/>
          <w:i/>
          <w:color w:val="78909C"/>
          <w:sz w:val="18"/>
          <w:szCs w:val="24"/>
          <w:lang w:val="en-US" w:eastAsia="en-US" w:bidi="ar-SA"/>
        </w:rPr>
        <w:t>Depositary: The Islamic Republic of Pakistan, Ministry of Foreign Affairs, Islamabad</w:t>
      </w:r>
    </w:p>
    <w:p>
      <w:pPr>
        <w:pStyle w:val="Normal"/>
        <w:keepNext w:val="true"/>
        <w:spacing w:lineRule="auto" w:line="300" w:before="0" w:after="360"/>
        <w:jc w:val="left"/>
        <w:rPr/>
      </w:pPr>
      <w:r>
        <w:rPr>
          <w:rFonts w:eastAsia="Calibri" w:cs="Calibri" w:ascii="Calibri" w:hAnsi="Calibri"/>
          <w:b/>
          <w:caps/>
          <w:color w:val="37474F"/>
          <w:sz w:val="32"/>
          <w:szCs w:val="24"/>
          <w:lang w:val="en-US" w:eastAsia="en-US" w:bidi="ar-SA"/>
        </w:rPr>
        <w:t>Table of Contents</w:t>
      </w:r>
    </w:p>
    <w:sdt>
      <w:sdtPr>
        <w:docPartObj>
          <w:docPartGallery w:val="Table of Contents"/>
          <w:docPartUnique w:val="true"/>
        </w:docPartObj>
      </w:sdtPr>
      <w:sdtContent>
        <w:p>
          <w:pPr>
            <w:pStyle w:val="Contents1"/>
            <w:tabs>
              <w:tab w:val="clear" w:pos="720"/>
              <w:tab w:val="right" w:pos="9360" w:leader="dot"/>
            </w:tabs>
            <w:rPr/>
          </w:pPr>
          <w:r>
            <w:fldChar w:fldCharType="begin"/>
          </w:r>
          <w:r>
            <w:rPr>
              <w:webHidden/>
              <w:rStyle w:val="IndexLink"/>
            </w:rPr>
            <w:instrText xml:space="preserve"> TOC \z \o "1-2" \u \h</w:instrText>
          </w:r>
          <w:r>
            <w:rPr>
              <w:webHidden/>
              <w:rStyle w:val="IndexLink"/>
            </w:rPr>
            <w:fldChar w:fldCharType="separate"/>
          </w:r>
          <w:hyperlink w:anchor="__RefHeading___Toc3543_773522003">
            <w:r>
              <w:rPr>
                <w:webHidden/>
                <w:rStyle w:val="IndexLink"/>
              </w:rPr>
              <w:t>Document Control and Declaration of Principles</w:t>
              <w:tab/>
              <w:t>5</w:t>
            </w:r>
          </w:hyperlink>
        </w:p>
        <w:p>
          <w:pPr>
            <w:pStyle w:val="Contents2"/>
            <w:tabs>
              <w:tab w:val="clear" w:pos="720"/>
              <w:tab w:val="right" w:pos="9360" w:leader="dot"/>
            </w:tabs>
            <w:rPr/>
          </w:pPr>
          <w:hyperlink w:anchor="__RefHeading___Toc3545_773522003">
            <w:r>
              <w:rPr>
                <w:webHidden/>
                <w:rStyle w:val="IndexLink"/>
              </w:rPr>
              <w:t>Document Control</w:t>
              <w:tab/>
              <w:t>5</w:t>
            </w:r>
          </w:hyperlink>
        </w:p>
        <w:p>
          <w:pPr>
            <w:pStyle w:val="Contents2"/>
            <w:tabs>
              <w:tab w:val="clear" w:pos="720"/>
              <w:tab w:val="right" w:pos="9360" w:leader="dot"/>
            </w:tabs>
            <w:rPr/>
          </w:pPr>
          <w:hyperlink w:anchor="__RefHeading___Toc3547_773522003">
            <w:r>
              <w:rPr>
                <w:webHidden/>
                <w:rStyle w:val="IndexLink"/>
              </w:rPr>
              <w:t>Drafting Discipline Note</w:t>
              <w:tab/>
              <w:t>6</w:t>
            </w:r>
          </w:hyperlink>
        </w:p>
        <w:p>
          <w:pPr>
            <w:pStyle w:val="Contents2"/>
            <w:tabs>
              <w:tab w:val="clear" w:pos="720"/>
              <w:tab w:val="right" w:pos="9360" w:leader="dot"/>
            </w:tabs>
            <w:rPr/>
          </w:pPr>
          <w:hyperlink w:anchor="__RefHeading___Toc3549_773522003">
            <w:r>
              <w:rPr>
                <w:webHidden/>
                <w:rStyle w:val="IndexLink"/>
              </w:rPr>
              <w:t>The Declaration of Principles</w:t>
              <w:tab/>
              <w:t>6</w:t>
            </w:r>
          </w:hyperlink>
        </w:p>
        <w:p>
          <w:pPr>
            <w:pStyle w:val="Contents1"/>
            <w:tabs>
              <w:tab w:val="clear" w:pos="720"/>
              <w:tab w:val="right" w:pos="9360" w:leader="dot"/>
            </w:tabs>
            <w:rPr/>
          </w:pPr>
          <w:hyperlink w:anchor="__RefHeading___Toc3551_773522003">
            <w:r>
              <w:rPr>
                <w:webHidden/>
                <w:rStyle w:val="IndexLink"/>
              </w:rPr>
              <w:t>Reader’s Guide and Negotiating History</w:t>
              <w:tab/>
              <w:t>8</w:t>
            </w:r>
          </w:hyperlink>
        </w:p>
        <w:p>
          <w:pPr>
            <w:pStyle w:val="Contents2"/>
            <w:tabs>
              <w:tab w:val="clear" w:pos="720"/>
              <w:tab w:val="right" w:pos="9360" w:leader="dot"/>
            </w:tabs>
            <w:rPr/>
          </w:pPr>
          <w:hyperlink w:anchor="__RefHeading___Toc3553_773522003">
            <w:r>
              <w:rPr>
                <w:webHidden/>
                <w:rStyle w:val="IndexLink"/>
              </w:rPr>
              <w:t>How to Read This Agreement</w:t>
              <w:tab/>
              <w:t>8</w:t>
            </w:r>
          </w:hyperlink>
        </w:p>
        <w:p>
          <w:pPr>
            <w:pStyle w:val="Contents2"/>
            <w:tabs>
              <w:tab w:val="clear" w:pos="720"/>
              <w:tab w:val="right" w:pos="9360" w:leader="dot"/>
            </w:tabs>
            <w:rPr/>
          </w:pPr>
          <w:hyperlink w:anchor="__RefHeading___Toc3555_773522003">
            <w:r>
              <w:rPr>
                <w:webHidden/>
                <w:rStyle w:val="IndexLink"/>
              </w:rPr>
              <w:t>The Negotiating Record This Agreement Completes</w:t>
              <w:tab/>
              <w:t>8</w:t>
            </w:r>
          </w:hyperlink>
        </w:p>
        <w:p>
          <w:pPr>
            <w:pStyle w:val="Contents2"/>
            <w:tabs>
              <w:tab w:val="clear" w:pos="720"/>
              <w:tab w:val="right" w:pos="9360" w:leader="dot"/>
            </w:tabs>
            <w:rPr/>
          </w:pPr>
          <w:hyperlink w:anchor="__RefHeading___Toc3557_773522003">
            <w:r>
              <w:rPr>
                <w:webHidden/>
                <w:rStyle w:val="IndexLink"/>
              </w:rPr>
              <w:t>What This Agreement Deliberately Does Not Do</w:t>
              <w:tab/>
              <w:t>9</w:t>
            </w:r>
          </w:hyperlink>
        </w:p>
        <w:p>
          <w:pPr>
            <w:pStyle w:val="Contents1"/>
            <w:tabs>
              <w:tab w:val="clear" w:pos="720"/>
              <w:tab w:val="right" w:pos="9360" w:leader="dot"/>
            </w:tabs>
            <w:rPr/>
          </w:pPr>
          <w:hyperlink w:anchor="__RefHeading___Toc3559_773522003">
            <w:r>
              <w:rPr>
                <w:webHidden/>
                <w:rStyle w:val="IndexLink"/>
              </w:rPr>
              <w:t>Part I — Foundations, Definitions, and Interpretive Law</w:t>
              <w:tab/>
              <w:t>9</w:t>
            </w:r>
          </w:hyperlink>
        </w:p>
        <w:p>
          <w:pPr>
            <w:pStyle w:val="Contents2"/>
            <w:tabs>
              <w:tab w:val="clear" w:pos="720"/>
              <w:tab w:val="right" w:pos="9360" w:leader="dot"/>
            </w:tabs>
            <w:rPr/>
          </w:pPr>
          <w:hyperlink w:anchor="__RefHeading___Toc3561_773522003">
            <w:r>
              <w:rPr>
                <w:webHidden/>
                <w:rStyle w:val="IndexLink"/>
              </w:rPr>
              <w:t>Article 1 — Purpose and Scope</w:t>
              <w:tab/>
              <w:t>9</w:t>
            </w:r>
          </w:hyperlink>
        </w:p>
        <w:p>
          <w:pPr>
            <w:pStyle w:val="Contents2"/>
            <w:tabs>
              <w:tab w:val="clear" w:pos="720"/>
              <w:tab w:val="right" w:pos="9360" w:leader="dot"/>
            </w:tabs>
            <w:rPr/>
          </w:pPr>
          <w:hyperlink w:anchor="__RefHeading___Toc3563_773522003">
            <w:r>
              <w:rPr>
                <w:webHidden/>
                <w:rStyle w:val="IndexLink"/>
              </w:rPr>
              <w:t>Article 2 — Definitions and the Sovereign Present-Tense Standard</w:t>
              <w:tab/>
              <w:t>10</w:t>
            </w:r>
          </w:hyperlink>
        </w:p>
        <w:p>
          <w:pPr>
            <w:pStyle w:val="Contents2"/>
            <w:tabs>
              <w:tab w:val="clear" w:pos="720"/>
              <w:tab w:val="right" w:pos="9360" w:leader="dot"/>
            </w:tabs>
            <w:rPr/>
          </w:pPr>
          <w:hyperlink w:anchor="__RefHeading___Toc3565_773522003">
            <w:r>
              <w:rPr>
                <w:webHidden/>
                <w:rStyle w:val="IndexLink"/>
              </w:rPr>
              <w:t>Article 3 — Relationship to the Islamabad Memorandum and Other Instruments</w:t>
              <w:tab/>
              <w:t>12</w:t>
            </w:r>
          </w:hyperlink>
        </w:p>
        <w:p>
          <w:pPr>
            <w:pStyle w:val="Contents2"/>
            <w:tabs>
              <w:tab w:val="clear" w:pos="720"/>
              <w:tab w:val="right" w:pos="9360" w:leader="dot"/>
            </w:tabs>
            <w:rPr/>
          </w:pPr>
          <w:hyperlink w:anchor="__RefHeading___Toc3567_773522003">
            <w:r>
              <w:rPr>
                <w:webHidden/>
                <w:rStyle w:val="IndexLink"/>
              </w:rPr>
              <w:t>Article 4 — The Continuity Principle and the Partial Success Doctrine</w:t>
              <w:tab/>
              <w:t>12</w:t>
            </w:r>
          </w:hyperlink>
        </w:p>
        <w:p>
          <w:pPr>
            <w:pStyle w:val="Contents1"/>
            <w:tabs>
              <w:tab w:val="clear" w:pos="720"/>
              <w:tab w:val="right" w:pos="9360" w:leader="dot"/>
            </w:tabs>
            <w:rPr/>
          </w:pPr>
          <w:hyperlink w:anchor="__RefHeading___Toc3569_773522003">
            <w:r>
              <w:rPr>
                <w:webHidden/>
                <w:rStyle w:val="IndexLink"/>
              </w:rPr>
              <w:t>Part II — Termination of Hostilities and Security Assurances</w:t>
              <w:tab/>
              <w:t>14</w:t>
            </w:r>
          </w:hyperlink>
        </w:p>
        <w:p>
          <w:pPr>
            <w:pStyle w:val="Contents2"/>
            <w:tabs>
              <w:tab w:val="clear" w:pos="720"/>
              <w:tab w:val="right" w:pos="9360" w:leader="dot"/>
            </w:tabs>
            <w:rPr/>
          </w:pPr>
          <w:hyperlink w:anchor="__RefHeading___Toc3571_773522003">
            <w:r>
              <w:rPr>
                <w:webHidden/>
                <w:rStyle w:val="IndexLink"/>
              </w:rPr>
              <w:t>Article 5 — Permanent Termination of Military Operations</w:t>
              <w:tab/>
              <w:t>14</w:t>
            </w:r>
          </w:hyperlink>
        </w:p>
        <w:p>
          <w:pPr>
            <w:pStyle w:val="Contents2"/>
            <w:tabs>
              <w:tab w:val="clear" w:pos="720"/>
              <w:tab w:val="right" w:pos="9360" w:leader="dot"/>
            </w:tabs>
            <w:rPr/>
          </w:pPr>
          <w:hyperlink w:anchor="__RefHeading___Toc3573_773522003">
            <w:r>
              <w:rPr>
                <w:webHidden/>
                <w:rStyle w:val="IndexLink"/>
              </w:rPr>
              <w:t>Article 6 — Mutual Security Assurances and the Non-Aggression Architecture</w:t>
              <w:tab/>
              <w:t>15</w:t>
            </w:r>
          </w:hyperlink>
        </w:p>
        <w:p>
          <w:pPr>
            <w:pStyle w:val="Contents2"/>
            <w:tabs>
              <w:tab w:val="clear" w:pos="720"/>
              <w:tab w:val="right" w:pos="9360" w:leader="dot"/>
            </w:tabs>
            <w:rPr/>
          </w:pPr>
          <w:hyperlink w:anchor="__RefHeading___Toc3575_773522003">
            <w:r>
              <w:rPr>
                <w:webHidden/>
                <w:rStyle w:val="IndexLink"/>
              </w:rPr>
              <w:t>Article 7 — Deconfliction and the Standing Military Channel</w:t>
              <w:tab/>
              <w:t>16</w:t>
            </w:r>
          </w:hyperlink>
        </w:p>
        <w:p>
          <w:pPr>
            <w:pStyle w:val="Contents1"/>
            <w:tabs>
              <w:tab w:val="clear" w:pos="720"/>
              <w:tab w:val="right" w:pos="9360" w:leader="dot"/>
            </w:tabs>
            <w:rPr/>
          </w:pPr>
          <w:hyperlink w:anchor="__RefHeading___Toc3577_773522003">
            <w:r>
              <w:rPr>
                <w:webHidden/>
                <w:rStyle w:val="IndexLink"/>
              </w:rPr>
              <w:t>Part III — Structure Note</w:t>
              <w:tab/>
              <w:t>16</w:t>
            </w:r>
          </w:hyperlink>
        </w:p>
        <w:p>
          <w:pPr>
            <w:pStyle w:val="Contents1"/>
            <w:tabs>
              <w:tab w:val="clear" w:pos="720"/>
              <w:tab w:val="right" w:pos="9360" w:leader="dot"/>
            </w:tabs>
            <w:rPr/>
          </w:pPr>
          <w:hyperlink w:anchor="__RefHeading___Toc3579_773522003">
            <w:r>
              <w:rPr>
                <w:webHidden/>
                <w:rStyle w:val="IndexLink"/>
              </w:rPr>
              <w:t>Part IV — The Nuclear Track</w:t>
              <w:tab/>
              <w:t>17</w:t>
            </w:r>
          </w:hyperlink>
        </w:p>
        <w:p>
          <w:pPr>
            <w:pStyle w:val="Contents2"/>
            <w:tabs>
              <w:tab w:val="clear" w:pos="720"/>
              <w:tab w:val="right" w:pos="9360" w:leader="dot"/>
            </w:tabs>
            <w:rPr/>
          </w:pPr>
          <w:hyperlink w:anchor="__RefHeading___Toc3581_773522003">
            <w:r>
              <w:rPr>
                <w:webHidden/>
                <w:rStyle w:val="IndexLink"/>
              </w:rPr>
              <w:t>Article 8 — The Non-Nuclear-Weapon Commitment</w:t>
              <w:tab/>
              <w:t>17</w:t>
            </w:r>
          </w:hyperlink>
        </w:p>
        <w:p>
          <w:pPr>
            <w:pStyle w:val="Contents2"/>
            <w:tabs>
              <w:tab w:val="clear" w:pos="720"/>
              <w:tab w:val="right" w:pos="9360" w:leader="dot"/>
            </w:tabs>
            <w:rPr/>
          </w:pPr>
          <w:hyperlink w:anchor="__RefHeading___Toc3583_773522003">
            <w:r>
              <w:rPr>
                <w:webHidden/>
                <w:rStyle w:val="IndexLink"/>
              </w:rPr>
              <w:t>Article 9 — The Enrichment Architecture</w:t>
              <w:tab/>
              <w:t>17</w:t>
            </w:r>
          </w:hyperlink>
        </w:p>
        <w:p>
          <w:pPr>
            <w:pStyle w:val="Contents2"/>
            <w:tabs>
              <w:tab w:val="clear" w:pos="720"/>
              <w:tab w:val="right" w:pos="9360" w:leader="dot"/>
            </w:tabs>
            <w:rPr/>
          </w:pPr>
          <w:hyperlink w:anchor="__RefHeading___Toc3585_773522003">
            <w:r>
              <w:rPr>
                <w:webHidden/>
                <w:rStyle w:val="IndexLink"/>
              </w:rPr>
              <w:t>Article 10 — Stockpile Disposition</w:t>
              <w:tab/>
              <w:t>19</w:t>
            </w:r>
          </w:hyperlink>
        </w:p>
        <w:p>
          <w:pPr>
            <w:pStyle w:val="Contents2"/>
            <w:tabs>
              <w:tab w:val="clear" w:pos="720"/>
              <w:tab w:val="right" w:pos="9360" w:leader="dot"/>
            </w:tabs>
            <w:rPr/>
          </w:pPr>
          <w:hyperlink w:anchor="__RefHeading___Toc3587_773522003">
            <w:r>
              <w:rPr>
                <w:webHidden/>
                <w:rStyle w:val="IndexLink"/>
              </w:rPr>
              <w:t>Article 11 — The Verification Regime</w:t>
              <w:tab/>
              <w:t>20</w:t>
            </w:r>
          </w:hyperlink>
        </w:p>
        <w:p>
          <w:pPr>
            <w:pStyle w:val="Contents2"/>
            <w:tabs>
              <w:tab w:val="clear" w:pos="720"/>
              <w:tab w:val="right" w:pos="9360" w:leader="dot"/>
            </w:tabs>
            <w:rPr/>
          </w:pPr>
          <w:hyperlink w:anchor="__RefHeading___Toc3589_773522003">
            <w:r>
              <w:rPr>
                <w:webHidden/>
                <w:rStyle w:val="IndexLink"/>
              </w:rPr>
              <w:t>Article 12 — Peaceful Nuclear Program and Fuel Cycle Services</w:t>
              <w:tab/>
              <w:t>21</w:t>
            </w:r>
          </w:hyperlink>
        </w:p>
        <w:p>
          <w:pPr>
            <w:pStyle w:val="Contents1"/>
            <w:tabs>
              <w:tab w:val="clear" w:pos="720"/>
              <w:tab w:val="right" w:pos="9360" w:leader="dot"/>
            </w:tabs>
            <w:rPr/>
          </w:pPr>
          <w:hyperlink w:anchor="__RefHeading___Toc3591_773522003">
            <w:r>
              <w:rPr>
                <w:webHidden/>
                <w:rStyle w:val="IndexLink"/>
              </w:rPr>
              <w:t>Part V — Ballistic Missiles and Self-Defense</w:t>
              <w:tab/>
              <w:t>22</w:t>
            </w:r>
          </w:hyperlink>
        </w:p>
        <w:p>
          <w:pPr>
            <w:pStyle w:val="Contents2"/>
            <w:tabs>
              <w:tab w:val="clear" w:pos="720"/>
              <w:tab w:val="right" w:pos="9360" w:leader="dot"/>
            </w:tabs>
            <w:rPr/>
          </w:pPr>
          <w:hyperlink w:anchor="__RefHeading___Toc3593_773522003">
            <w:r>
              <w:rPr>
                <w:webHidden/>
                <w:rStyle w:val="IndexLink"/>
              </w:rPr>
              <w:t>Article 13 — The Proportionality Standard</w:t>
              <w:tab/>
              <w:t>22</w:t>
            </w:r>
          </w:hyperlink>
        </w:p>
        <w:p>
          <w:pPr>
            <w:pStyle w:val="Contents2"/>
            <w:tabs>
              <w:tab w:val="clear" w:pos="720"/>
              <w:tab w:val="right" w:pos="9360" w:leader="dot"/>
            </w:tabs>
            <w:rPr/>
          </w:pPr>
          <w:hyperlink w:anchor="__RefHeading___Toc3595_773522003">
            <w:r>
              <w:rPr>
                <w:webHidden/>
                <w:rStyle w:val="IndexLink"/>
              </w:rPr>
              <w:t>Article 14 — Transparency and Notification Measures</w:t>
              <w:tab/>
              <w:t>23</w:t>
            </w:r>
          </w:hyperlink>
        </w:p>
        <w:p>
          <w:pPr>
            <w:pStyle w:val="Contents1"/>
            <w:tabs>
              <w:tab w:val="clear" w:pos="720"/>
              <w:tab w:val="right" w:pos="9360" w:leader="dot"/>
            </w:tabs>
            <w:rPr/>
          </w:pPr>
          <w:hyperlink w:anchor="__RefHeading___Toc3597_773522003">
            <w:r>
              <w:rPr>
                <w:webHidden/>
                <w:rStyle w:val="IndexLink"/>
              </w:rPr>
              <w:t>Part VI — Sanctions Relief and Economic Normalization</w:t>
              <w:tab/>
              <w:t>23</w:t>
            </w:r>
          </w:hyperlink>
        </w:p>
        <w:p>
          <w:pPr>
            <w:pStyle w:val="Contents2"/>
            <w:tabs>
              <w:tab w:val="clear" w:pos="720"/>
              <w:tab w:val="right" w:pos="9360" w:leader="dot"/>
            </w:tabs>
            <w:rPr/>
          </w:pPr>
          <w:hyperlink w:anchor="__RefHeading___Toc3599_773522003">
            <w:r>
              <w:rPr>
                <w:webHidden/>
                <w:rStyle w:val="IndexLink"/>
              </w:rPr>
              <w:t>Article 15 — The Relief Architecture</w:t>
              <w:tab/>
              <w:t>23</w:t>
            </w:r>
          </w:hyperlink>
        </w:p>
        <w:p>
          <w:pPr>
            <w:pStyle w:val="Contents2"/>
            <w:tabs>
              <w:tab w:val="clear" w:pos="720"/>
              <w:tab w:val="right" w:pos="9360" w:leader="dot"/>
            </w:tabs>
            <w:rPr/>
          </w:pPr>
          <w:hyperlink w:anchor="__RefHeading___Toc3601_773522003">
            <w:r>
              <w:rPr>
                <w:webHidden/>
                <w:rStyle w:val="IndexLink"/>
              </w:rPr>
              <w:t>Article 16 — Oil Exports, Banking, Insurance, and Transportation</w:t>
              <w:tab/>
              <w:t>24</w:t>
            </w:r>
          </w:hyperlink>
        </w:p>
        <w:p>
          <w:pPr>
            <w:pStyle w:val="Contents2"/>
            <w:tabs>
              <w:tab w:val="clear" w:pos="720"/>
              <w:tab w:val="right" w:pos="9360" w:leader="dot"/>
            </w:tabs>
            <w:rPr/>
          </w:pPr>
          <w:hyperlink w:anchor="__RefHeading___Toc3603_773522003">
            <w:r>
              <w:rPr>
                <w:webHidden/>
                <w:rStyle w:val="IndexLink"/>
              </w:rPr>
              <w:t>Article 17 — Frozen Assets and the Hormuz Account</w:t>
              <w:tab/>
              <w:t>25</w:t>
            </w:r>
          </w:hyperlink>
        </w:p>
        <w:p>
          <w:pPr>
            <w:pStyle w:val="Contents2"/>
            <w:tabs>
              <w:tab w:val="clear" w:pos="720"/>
              <w:tab w:val="right" w:pos="9360" w:leader="dot"/>
            </w:tabs>
            <w:rPr/>
          </w:pPr>
          <w:hyperlink w:anchor="__RefHeading___Toc3605_773522003">
            <w:r>
              <w:rPr>
                <w:webHidden/>
                <w:rStyle w:val="IndexLink"/>
              </w:rPr>
              <w:t>Article 18 — The Reconstruction and Investment Framework</w:t>
              <w:tab/>
              <w:t>26</w:t>
            </w:r>
          </w:hyperlink>
        </w:p>
        <w:p>
          <w:pPr>
            <w:pStyle w:val="Contents2"/>
            <w:tabs>
              <w:tab w:val="clear" w:pos="720"/>
              <w:tab w:val="right" w:pos="9360" w:leader="dot"/>
            </w:tabs>
            <w:rPr/>
          </w:pPr>
          <w:hyperlink w:anchor="__RefHeading___Toc3607_773522003">
            <w:r>
              <w:rPr>
                <w:webHidden/>
                <w:rStyle w:val="IndexLink"/>
              </w:rPr>
              <w:t>Article 19 — Banking of Relief and the No-Snapback Rule</w:t>
              <w:tab/>
              <w:t>27</w:t>
            </w:r>
          </w:hyperlink>
        </w:p>
        <w:p>
          <w:pPr>
            <w:pStyle w:val="Contents1"/>
            <w:tabs>
              <w:tab w:val="clear" w:pos="720"/>
              <w:tab w:val="right" w:pos="9360" w:leader="dot"/>
            </w:tabs>
            <w:rPr/>
          </w:pPr>
          <w:hyperlink w:anchor="__RefHeading___Toc3609_773522003">
            <w:r>
              <w:rPr>
                <w:webHidden/>
                <w:rStyle w:val="IndexLink"/>
              </w:rPr>
              <w:t>Part VII — Blockade Termination and Force Posture</w:t>
              <w:tab/>
              <w:t>27</w:t>
            </w:r>
          </w:hyperlink>
        </w:p>
        <w:p>
          <w:pPr>
            <w:pStyle w:val="Contents2"/>
            <w:tabs>
              <w:tab w:val="clear" w:pos="720"/>
              <w:tab w:val="right" w:pos="9360" w:leader="dot"/>
            </w:tabs>
            <w:rPr/>
          </w:pPr>
          <w:hyperlink w:anchor="__RefHeading___Toc3611_773522003">
            <w:r>
              <w:rPr>
                <w:webHidden/>
                <w:rStyle w:val="IndexLink"/>
              </w:rPr>
              <w:t>Article 20 — Termination of the Naval Blockade</w:t>
              <w:tab/>
              <w:t>27</w:t>
            </w:r>
          </w:hyperlink>
        </w:p>
        <w:p>
          <w:pPr>
            <w:pStyle w:val="Contents2"/>
            <w:tabs>
              <w:tab w:val="clear" w:pos="720"/>
              <w:tab w:val="right" w:pos="9360" w:leader="dot"/>
            </w:tabs>
            <w:rPr/>
          </w:pPr>
          <w:hyperlink w:anchor="__RefHeading___Toc3613_773522003">
            <w:r>
              <w:rPr>
                <w:webHidden/>
                <w:rStyle w:val="IndexLink"/>
              </w:rPr>
              <w:t>Article 21 — Regional Force Posture and Basing</w:t>
              <w:tab/>
              <w:t>28</w:t>
            </w:r>
          </w:hyperlink>
        </w:p>
        <w:p>
          <w:pPr>
            <w:pStyle w:val="Contents1"/>
            <w:tabs>
              <w:tab w:val="clear" w:pos="720"/>
              <w:tab w:val="right" w:pos="9360" w:leader="dot"/>
            </w:tabs>
            <w:rPr/>
          </w:pPr>
          <w:hyperlink w:anchor="__RefHeading___Toc3615_773522003">
            <w:r>
              <w:rPr>
                <w:webHidden/>
                <w:rStyle w:val="IndexLink"/>
              </w:rPr>
              <w:t>Part VIII — Regional De-escalation and the Axis Question</w:t>
              <w:tab/>
              <w:t>29</w:t>
            </w:r>
          </w:hyperlink>
        </w:p>
        <w:p>
          <w:pPr>
            <w:pStyle w:val="Contents2"/>
            <w:tabs>
              <w:tab w:val="clear" w:pos="720"/>
              <w:tab w:val="right" w:pos="9360" w:leader="dot"/>
            </w:tabs>
            <w:rPr/>
          </w:pPr>
          <w:hyperlink w:anchor="__RefHeading___Toc3617_773522003">
            <w:r>
              <w:rPr>
                <w:webHidden/>
                <w:rStyle w:val="IndexLink"/>
              </w:rPr>
              <w:t>Article 22 — Regional Non-Interference Commitments</w:t>
              <w:tab/>
              <w:t>29</w:t>
            </w:r>
          </w:hyperlink>
        </w:p>
        <w:p>
          <w:pPr>
            <w:pStyle w:val="Contents2"/>
            <w:tabs>
              <w:tab w:val="clear" w:pos="720"/>
              <w:tab w:val="right" w:pos="9360" w:leader="dot"/>
            </w:tabs>
            <w:rPr/>
          </w:pPr>
          <w:hyperlink w:anchor="__RefHeading___Toc3619_773522003">
            <w:r>
              <w:rPr>
                <w:webHidden/>
                <w:rStyle w:val="IndexLink"/>
              </w:rPr>
              <w:t>Article 23 — The Lebanon Interface and Proxy Track</w:t>
              <w:tab/>
              <w:t>29</w:t>
            </w:r>
          </w:hyperlink>
        </w:p>
        <w:p>
          <w:pPr>
            <w:pStyle w:val="Contents1"/>
            <w:tabs>
              <w:tab w:val="clear" w:pos="720"/>
              <w:tab w:val="right" w:pos="9360" w:leader="dot"/>
            </w:tabs>
            <w:rPr/>
          </w:pPr>
          <w:hyperlink w:anchor="__RefHeading___Toc3621_773522003">
            <w:r>
              <w:rPr>
                <w:webHidden/>
                <w:rStyle w:val="IndexLink"/>
              </w:rPr>
              <w:t>Part IX — Final Status of Strait Governance</w:t>
              <w:tab/>
              <w:t>30</w:t>
            </w:r>
          </w:hyperlink>
        </w:p>
        <w:p>
          <w:pPr>
            <w:pStyle w:val="Contents2"/>
            <w:tabs>
              <w:tab w:val="clear" w:pos="720"/>
              <w:tab w:val="right" w:pos="9360" w:leader="dot"/>
            </w:tabs>
            <w:rPr/>
          </w:pPr>
          <w:hyperlink w:anchor="__RefHeading___Toc3623_773522003">
            <w:r>
              <w:rPr>
                <w:webHidden/>
                <w:rStyle w:val="IndexLink"/>
              </w:rPr>
              <w:t>Article 24 — The Two-Corridor Interface</w:t>
              <w:tab/>
              <w:t>30</w:t>
            </w:r>
          </w:hyperlink>
        </w:p>
        <w:p>
          <w:pPr>
            <w:pStyle w:val="Contents2"/>
            <w:tabs>
              <w:tab w:val="clear" w:pos="720"/>
              <w:tab w:val="right" w:pos="9360" w:leader="dot"/>
            </w:tabs>
            <w:rPr/>
          </w:pPr>
          <w:hyperlink w:anchor="__RefHeading___Toc3625_773522003">
            <w:r>
              <w:rPr>
                <w:webHidden/>
                <w:rStyle w:val="IndexLink"/>
              </w:rPr>
              <w:t>Article 25 — The No-Toll Guarantee and the Voluntary Services Architecture</w:t>
              <w:tab/>
              <w:t>31</w:t>
            </w:r>
          </w:hyperlink>
        </w:p>
        <w:p>
          <w:pPr>
            <w:pStyle w:val="Contents2"/>
            <w:tabs>
              <w:tab w:val="clear" w:pos="720"/>
              <w:tab w:val="right" w:pos="9360" w:leader="dot"/>
            </w:tabs>
            <w:rPr/>
          </w:pPr>
          <w:hyperlink w:anchor="__RefHeading___Toc3627_773522003">
            <w:r>
              <w:rPr>
                <w:webHidden/>
                <w:rStyle w:val="IndexLink"/>
              </w:rPr>
              <w:t>Article 26 — Relationship to the Bilateral and Regional Instruments</w:t>
              <w:tab/>
              <w:t>32</w:t>
            </w:r>
          </w:hyperlink>
        </w:p>
        <w:p>
          <w:pPr>
            <w:pStyle w:val="Contents1"/>
            <w:tabs>
              <w:tab w:val="clear" w:pos="720"/>
              <w:tab w:val="right" w:pos="9360" w:leader="dot"/>
            </w:tabs>
            <w:rPr/>
          </w:pPr>
          <w:hyperlink w:anchor="__RefHeading___Toc3629_773522003">
            <w:r>
              <w:rPr>
                <w:webHidden/>
                <w:rStyle w:val="IndexLink"/>
              </w:rPr>
              <w:t>Part X — Compensation and Claims</w:t>
              <w:tab/>
              <w:t>32</w:t>
            </w:r>
          </w:hyperlink>
        </w:p>
        <w:p>
          <w:pPr>
            <w:pStyle w:val="Contents2"/>
            <w:tabs>
              <w:tab w:val="clear" w:pos="720"/>
              <w:tab w:val="right" w:pos="9360" w:leader="dot"/>
            </w:tabs>
            <w:rPr/>
          </w:pPr>
          <w:hyperlink w:anchor="__RefHeading___Toc3631_773522003">
            <w:r>
              <w:rPr>
                <w:webHidden/>
                <w:rStyle w:val="IndexLink"/>
              </w:rPr>
              <w:t>Article 27 — The Claims Settlement Architecture</w:t>
              <w:tab/>
              <w:t>32</w:t>
            </w:r>
          </w:hyperlink>
        </w:p>
        <w:p>
          <w:pPr>
            <w:pStyle w:val="Contents2"/>
            <w:tabs>
              <w:tab w:val="clear" w:pos="720"/>
              <w:tab w:val="right" w:pos="9360" w:leader="dot"/>
            </w:tabs>
            <w:rPr/>
          </w:pPr>
          <w:hyperlink w:anchor="__RefHeading___Toc3633_773522003">
            <w:r>
              <w:rPr>
                <w:webHidden/>
                <w:rStyle w:val="IndexLink"/>
              </w:rPr>
              <w:t>Article 28 — Mutual Release and the Balanced Ledger</w:t>
              <w:tab/>
              <w:t>33</w:t>
            </w:r>
          </w:hyperlink>
        </w:p>
        <w:p>
          <w:pPr>
            <w:pStyle w:val="Contents1"/>
            <w:tabs>
              <w:tab w:val="clear" w:pos="720"/>
              <w:tab w:val="right" w:pos="9360" w:leader="dot"/>
            </w:tabs>
            <w:rPr/>
          </w:pPr>
          <w:hyperlink w:anchor="__RefHeading___Toc3635_773522003">
            <w:r>
              <w:rPr>
                <w:webHidden/>
                <w:rStyle w:val="IndexLink"/>
              </w:rPr>
              <w:t>Part XI — Implementation, Compliance, and Final Provisions</w:t>
              <w:tab/>
              <w:t>34</w:t>
            </w:r>
          </w:hyperlink>
        </w:p>
        <w:p>
          <w:pPr>
            <w:pStyle w:val="Contents2"/>
            <w:tabs>
              <w:tab w:val="clear" w:pos="720"/>
              <w:tab w:val="right" w:pos="9360" w:leader="dot"/>
            </w:tabs>
            <w:rPr/>
          </w:pPr>
          <w:hyperlink w:anchor="__RefHeading___Toc3637_773522003">
            <w:r>
              <w:rPr>
                <w:webHidden/>
                <w:rStyle w:val="IndexLink"/>
              </w:rPr>
              <w:t>Article 29 — The Implementation Calendar</w:t>
              <w:tab/>
              <w:t>34</w:t>
            </w:r>
          </w:hyperlink>
        </w:p>
        <w:p>
          <w:pPr>
            <w:pStyle w:val="Contents2"/>
            <w:tabs>
              <w:tab w:val="clear" w:pos="720"/>
              <w:tab w:val="right" w:pos="9360" w:leader="dot"/>
            </w:tabs>
            <w:rPr/>
          </w:pPr>
          <w:hyperlink w:anchor="__RefHeading___Toc3639_773522003">
            <w:r>
              <w:rPr>
                <w:webHidden/>
                <w:rStyle w:val="IndexLink"/>
              </w:rPr>
              <w:t>Article 30 — The Joint Implementation Commission</w:t>
              <w:tab/>
              <w:t>34</w:t>
            </w:r>
          </w:hyperlink>
        </w:p>
        <w:p>
          <w:pPr>
            <w:pStyle w:val="Contents2"/>
            <w:tabs>
              <w:tab w:val="clear" w:pos="720"/>
              <w:tab w:val="right" w:pos="9360" w:leader="dot"/>
            </w:tabs>
            <w:rPr/>
          </w:pPr>
          <w:hyperlink w:anchor="__RefHeading___Toc3641_773522003">
            <w:r>
              <w:rPr>
                <w:webHidden/>
                <w:rStyle w:val="IndexLink"/>
              </w:rPr>
              <w:t>Article 31 — Verification, Reporting, and Transparency</w:t>
              <w:tab/>
              <w:t>35</w:t>
            </w:r>
          </w:hyperlink>
        </w:p>
        <w:p>
          <w:pPr>
            <w:pStyle w:val="Contents2"/>
            <w:tabs>
              <w:tab w:val="clear" w:pos="720"/>
              <w:tab w:val="right" w:pos="9360" w:leader="dot"/>
            </w:tabs>
            <w:rPr/>
          </w:pPr>
          <w:hyperlink w:anchor="__RefHeading___Toc3643_773522003">
            <w:r>
              <w:rPr>
                <w:webHidden/>
                <w:rStyle w:val="IndexLink"/>
              </w:rPr>
              <w:t>Article 32 — The Step-Back and Earn-Back Compliance Engine</w:t>
              <w:tab/>
              <w:t>35</w:t>
            </w:r>
          </w:hyperlink>
        </w:p>
        <w:p>
          <w:pPr>
            <w:pStyle w:val="Contents2"/>
            <w:tabs>
              <w:tab w:val="clear" w:pos="720"/>
              <w:tab w:val="right" w:pos="9360" w:leader="dot"/>
            </w:tabs>
            <w:rPr/>
          </w:pPr>
          <w:hyperlink w:anchor="__RefHeading___Toc3645_773522003">
            <w:r>
              <w:rPr>
                <w:webHidden/>
                <w:rStyle w:val="IndexLink"/>
              </w:rPr>
              <w:t>Article 33 — Protective Architecture: Cooling-Off, False Flags, and the Human-in-the-Loop Rule</w:t>
              <w:tab/>
              <w:t>37</w:t>
            </w:r>
          </w:hyperlink>
        </w:p>
        <w:p>
          <w:pPr>
            <w:pStyle w:val="Contents2"/>
            <w:tabs>
              <w:tab w:val="clear" w:pos="720"/>
              <w:tab w:val="right" w:pos="9360" w:leader="dot"/>
            </w:tabs>
            <w:rPr/>
          </w:pPr>
          <w:hyperlink w:anchor="__RefHeading___Toc3647_773522003">
            <w:r>
              <w:rPr>
                <w:webHidden/>
                <w:rStyle w:val="IndexLink"/>
              </w:rPr>
              <w:t>Article 34 — Dispute Resolution</w:t>
              <w:tab/>
              <w:t>37</w:t>
            </w:r>
          </w:hyperlink>
        </w:p>
        <w:p>
          <w:pPr>
            <w:pStyle w:val="Contents2"/>
            <w:tabs>
              <w:tab w:val="clear" w:pos="720"/>
              <w:tab w:val="right" w:pos="9360" w:leader="dot"/>
            </w:tabs>
            <w:rPr/>
          </w:pPr>
          <w:hyperlink w:anchor="__RefHeading___Toc3649_773522003">
            <w:r>
              <w:rPr>
                <w:webHidden/>
                <w:rStyle w:val="IndexLink"/>
              </w:rPr>
              <w:t>Article 35 — Amendment, Review, and Accession of Guarantors</w:t>
              <w:tab/>
              <w:t>38</w:t>
            </w:r>
          </w:hyperlink>
        </w:p>
        <w:p>
          <w:pPr>
            <w:pStyle w:val="Contents2"/>
            <w:tabs>
              <w:tab w:val="clear" w:pos="720"/>
              <w:tab w:val="right" w:pos="9360" w:leader="dot"/>
            </w:tabs>
            <w:rPr/>
          </w:pPr>
          <w:hyperlink w:anchor="__RefHeading___Toc3651_773522003">
            <w:r>
              <w:rPr>
                <w:webHidden/>
                <w:rStyle w:val="IndexLink"/>
              </w:rPr>
              <w:t>Article 36 — Entry into Force, UN Endorsement, and Depositary Functions</w:t>
              <w:tab/>
              <w:t>38</w:t>
            </w:r>
          </w:hyperlink>
        </w:p>
        <w:p>
          <w:pPr>
            <w:pStyle w:val="Contents2"/>
            <w:tabs>
              <w:tab w:val="clear" w:pos="720"/>
              <w:tab w:val="right" w:pos="9360" w:leader="dot"/>
            </w:tabs>
            <w:rPr/>
          </w:pPr>
          <w:hyperlink w:anchor="__RefHeading___Toc3653_773522003">
            <w:r>
              <w:rPr>
                <w:webHidden/>
                <w:rStyle w:val="IndexLink"/>
              </w:rPr>
              <w:t>Article 37 — Withdrawal</w:t>
              <w:tab/>
              <w:t>39</w:t>
            </w:r>
          </w:hyperlink>
        </w:p>
        <w:p>
          <w:pPr>
            <w:pStyle w:val="Contents1"/>
            <w:tabs>
              <w:tab w:val="clear" w:pos="720"/>
              <w:tab w:val="right" w:pos="9360" w:leader="dot"/>
            </w:tabs>
            <w:rPr/>
          </w:pPr>
          <w:hyperlink w:anchor="__RefHeading___Toc3655_773522003">
            <w:r>
              <w:rPr>
                <w:webHidden/>
                <w:rStyle w:val="IndexLink"/>
              </w:rPr>
              <w:t>Annex A — The Nuclear Verification Protocol</w:t>
              <w:tab/>
              <w:t>40</w:t>
            </w:r>
          </w:hyperlink>
        </w:p>
        <w:p>
          <w:pPr>
            <w:pStyle w:val="Contents2"/>
            <w:tabs>
              <w:tab w:val="clear" w:pos="720"/>
              <w:tab w:val="right" w:pos="9360" w:leader="dot"/>
            </w:tabs>
            <w:rPr/>
          </w:pPr>
          <w:hyperlink w:anchor="__RefHeading___Toc3657_773522003">
            <w:r>
              <w:rPr>
                <w:webHidden/>
                <w:rStyle w:val="IndexLink"/>
              </w:rPr>
              <w:t>Section 1 — Scope and Legal Basis</w:t>
              <w:tab/>
              <w:t>40</w:t>
            </w:r>
          </w:hyperlink>
        </w:p>
        <w:p>
          <w:pPr>
            <w:pStyle w:val="Contents2"/>
            <w:tabs>
              <w:tab w:val="clear" w:pos="720"/>
              <w:tab w:val="right" w:pos="9360" w:leader="dot"/>
            </w:tabs>
            <w:rPr/>
          </w:pPr>
          <w:hyperlink w:anchor="__RefHeading___Toc3659_773522003">
            <w:r>
              <w:rPr>
                <w:webHidden/>
                <w:rStyle w:val="IndexLink"/>
              </w:rPr>
              <w:t>Section 2 — Declared Facilities and Daily Access</w:t>
              <w:tab/>
              <w:t>40</w:t>
            </w:r>
          </w:hyperlink>
        </w:p>
        <w:p>
          <w:pPr>
            <w:pStyle w:val="Contents2"/>
            <w:tabs>
              <w:tab w:val="clear" w:pos="720"/>
              <w:tab w:val="right" w:pos="9360" w:leader="dot"/>
            </w:tabs>
            <w:rPr/>
          </w:pPr>
          <w:hyperlink w:anchor="__RefHeading___Toc3661_773522003">
            <w:r>
              <w:rPr>
                <w:webHidden/>
                <w:rStyle w:val="IndexLink"/>
              </w:rPr>
              <w:t>Section 3 — Surveillance and Monitoring Technology</w:t>
              <w:tab/>
              <w:t>40</w:t>
            </w:r>
          </w:hyperlink>
        </w:p>
        <w:p>
          <w:pPr>
            <w:pStyle w:val="Contents2"/>
            <w:tabs>
              <w:tab w:val="clear" w:pos="720"/>
              <w:tab w:val="right" w:pos="9360" w:leader="dot"/>
            </w:tabs>
            <w:rPr/>
          </w:pPr>
          <w:hyperlink w:anchor="__RefHeading___Toc3663_773522003">
            <w:r>
              <w:rPr>
                <w:webHidden/>
                <w:rStyle w:val="IndexLink"/>
              </w:rPr>
              <w:t>Section 4 — Managed Access Beyond Declared Sites</w:t>
              <w:tab/>
              <w:t>40</w:t>
            </w:r>
          </w:hyperlink>
        </w:p>
        <w:p>
          <w:pPr>
            <w:pStyle w:val="Contents2"/>
            <w:tabs>
              <w:tab w:val="clear" w:pos="720"/>
              <w:tab w:val="right" w:pos="9360" w:leader="dot"/>
            </w:tabs>
            <w:rPr/>
          </w:pPr>
          <w:hyperlink w:anchor="__RefHeading___Toc3665_773522003">
            <w:r>
              <w:rPr>
                <w:webHidden/>
                <w:rStyle w:val="IndexLink"/>
              </w:rPr>
              <w:t>Section 5 — Centrifuge Research and Manufacturing</w:t>
              <w:tab/>
              <w:t>41</w:t>
            </w:r>
          </w:hyperlink>
        </w:p>
        <w:p>
          <w:pPr>
            <w:pStyle w:val="Contents2"/>
            <w:tabs>
              <w:tab w:val="clear" w:pos="720"/>
              <w:tab w:val="right" w:pos="9360" w:leader="dot"/>
            </w:tabs>
            <w:rPr/>
          </w:pPr>
          <w:hyperlink w:anchor="__RefHeading___Toc3667_773522003">
            <w:r>
              <w:rPr>
                <w:webHidden/>
                <w:rStyle w:val="IndexLink"/>
              </w:rPr>
              <w:t>Section 6 — Uranium Mining and Milling</w:t>
              <w:tab/>
              <w:t>41</w:t>
            </w:r>
          </w:hyperlink>
        </w:p>
        <w:p>
          <w:pPr>
            <w:pStyle w:val="Contents2"/>
            <w:tabs>
              <w:tab w:val="clear" w:pos="720"/>
              <w:tab w:val="right" w:pos="9360" w:leader="dot"/>
            </w:tabs>
            <w:rPr/>
          </w:pPr>
          <w:hyperlink w:anchor="__RefHeading___Toc3669_773522003">
            <w:r>
              <w:rPr>
                <w:webHidden/>
                <w:rStyle w:val="IndexLink"/>
              </w:rPr>
              <w:t>Section 7 — The Fordow and Natanz Conversion Protocols</w:t>
              <w:tab/>
              <w:t>41</w:t>
            </w:r>
          </w:hyperlink>
        </w:p>
        <w:p>
          <w:pPr>
            <w:pStyle w:val="Contents2"/>
            <w:tabs>
              <w:tab w:val="clear" w:pos="720"/>
              <w:tab w:val="right" w:pos="9360" w:leader="dot"/>
            </w:tabs>
            <w:rPr/>
          </w:pPr>
          <w:hyperlink w:anchor="__RefHeading___Toc3671_773522003">
            <w:r>
              <w:rPr>
                <w:webHidden/>
                <w:rStyle w:val="IndexLink"/>
              </w:rPr>
              <w:t>Section 8 — Damaged Sites: Access, Assessment, and Salvage</w:t>
              <w:tab/>
              <w:t>41</w:t>
            </w:r>
          </w:hyperlink>
        </w:p>
        <w:p>
          <w:pPr>
            <w:pStyle w:val="Contents2"/>
            <w:tabs>
              <w:tab w:val="clear" w:pos="720"/>
              <w:tab w:val="right" w:pos="9360" w:leader="dot"/>
            </w:tabs>
            <w:rPr/>
          </w:pPr>
          <w:hyperlink w:anchor="__RefHeading___Toc3673_773522003">
            <w:r>
              <w:rPr>
                <w:webHidden/>
                <w:rStyle w:val="IndexLink"/>
              </w:rPr>
              <w:t>Section 9 — Possible Military Dimensions Procedure</w:t>
              <w:tab/>
              <w:t>41</w:t>
            </w:r>
          </w:hyperlink>
        </w:p>
        <w:p>
          <w:pPr>
            <w:pStyle w:val="Contents2"/>
            <w:tabs>
              <w:tab w:val="clear" w:pos="720"/>
              <w:tab w:val="right" w:pos="9360" w:leader="dot"/>
            </w:tabs>
            <w:rPr/>
          </w:pPr>
          <w:hyperlink w:anchor="__RefHeading___Toc3675_773522003">
            <w:r>
              <w:rPr>
                <w:webHidden/>
                <w:rStyle w:val="IndexLink"/>
              </w:rPr>
              <w:t>Section 10 — The Broader Conclusion</w:t>
              <w:tab/>
              <w:t>42</w:t>
            </w:r>
          </w:hyperlink>
        </w:p>
        <w:p>
          <w:pPr>
            <w:pStyle w:val="Contents2"/>
            <w:tabs>
              <w:tab w:val="clear" w:pos="720"/>
              <w:tab w:val="right" w:pos="9360" w:leader="dot"/>
            </w:tabs>
            <w:rPr/>
          </w:pPr>
          <w:hyperlink w:anchor="__RefHeading___Toc3677_773522003">
            <w:r>
              <w:rPr>
                <w:webHidden/>
                <w:rStyle w:val="IndexLink"/>
              </w:rPr>
              <w:t>Section 11 — The Verification Fund</w:t>
              <w:tab/>
              <w:t>42</w:t>
            </w:r>
          </w:hyperlink>
        </w:p>
        <w:p>
          <w:pPr>
            <w:pStyle w:val="Contents2"/>
            <w:tabs>
              <w:tab w:val="clear" w:pos="720"/>
              <w:tab w:val="right" w:pos="9360" w:leader="dot"/>
            </w:tabs>
            <w:rPr/>
          </w:pPr>
          <w:hyperlink w:anchor="__RefHeading___Toc3679_773522003">
            <w:r>
              <w:rPr>
                <w:webHidden/>
                <w:rStyle w:val="IndexLink"/>
              </w:rPr>
              <w:t>Section 12 — Environmental Sampling Protocol</w:t>
              <w:tab/>
              <w:t>42</w:t>
            </w:r>
          </w:hyperlink>
        </w:p>
        <w:p>
          <w:pPr>
            <w:pStyle w:val="Contents2"/>
            <w:tabs>
              <w:tab w:val="clear" w:pos="720"/>
              <w:tab w:val="right" w:pos="9360" w:leader="dot"/>
            </w:tabs>
            <w:rPr/>
          </w:pPr>
          <w:hyperlink w:anchor="__RefHeading___Toc3681_773522003">
            <w:r>
              <w:rPr>
                <w:webHidden/>
                <w:rStyle w:val="IndexLink"/>
              </w:rPr>
              <w:t>Section 13 — The Verification Continuity Dashboard</w:t>
              <w:tab/>
              <w:t>42</w:t>
            </w:r>
          </w:hyperlink>
        </w:p>
        <w:p>
          <w:pPr>
            <w:pStyle w:val="Contents1"/>
            <w:tabs>
              <w:tab w:val="clear" w:pos="720"/>
              <w:tab w:val="right" w:pos="9360" w:leader="dot"/>
            </w:tabs>
            <w:rPr/>
          </w:pPr>
          <w:hyperlink w:anchor="__RefHeading___Toc3683_773522003">
            <w:r>
              <w:rPr>
                <w:webHidden/>
                <w:rStyle w:val="IndexLink"/>
              </w:rPr>
              <w:t>Annex B — The Stockpile Disposition Schedule</w:t>
              <w:tab/>
              <w:t>42</w:t>
            </w:r>
          </w:hyperlink>
        </w:p>
        <w:p>
          <w:pPr>
            <w:pStyle w:val="Contents2"/>
            <w:tabs>
              <w:tab w:val="clear" w:pos="720"/>
              <w:tab w:val="right" w:pos="9360" w:leader="dot"/>
            </w:tabs>
            <w:rPr/>
          </w:pPr>
          <w:hyperlink w:anchor="__RefHeading___Toc3685_773522003">
            <w:r>
              <w:rPr>
                <w:webHidden/>
                <w:rStyle w:val="IndexLink"/>
              </w:rPr>
              <w:t>Section 1 — Declaration</w:t>
              <w:tab/>
              <w:t>42</w:t>
            </w:r>
          </w:hyperlink>
        </w:p>
        <w:p>
          <w:pPr>
            <w:pStyle w:val="Contents2"/>
            <w:tabs>
              <w:tab w:val="clear" w:pos="720"/>
              <w:tab w:val="right" w:pos="9360" w:leader="dot"/>
            </w:tabs>
            <w:rPr/>
          </w:pPr>
          <w:hyperlink w:anchor="__RefHeading___Toc3687_773522003">
            <w:r>
              <w:rPr>
                <w:webHidden/>
                <w:rStyle w:val="IndexLink"/>
              </w:rPr>
              <w:t>Section 2 — Disposition Segments</w:t>
              <w:tab/>
              <w:t>43</w:t>
            </w:r>
          </w:hyperlink>
        </w:p>
        <w:p>
          <w:pPr>
            <w:pStyle w:val="Contents2"/>
            <w:tabs>
              <w:tab w:val="clear" w:pos="720"/>
              <w:tab w:val="right" w:pos="9360" w:leader="dot"/>
            </w:tabs>
            <w:rPr/>
          </w:pPr>
          <w:hyperlink w:anchor="__RefHeading___Toc3689_773522003">
            <w:r>
              <w:rPr>
                <w:webHidden/>
                <w:rStyle w:val="IndexLink"/>
              </w:rPr>
              <w:t>Section 3 — Schedule</w:t>
              <w:tab/>
              <w:t>43</w:t>
            </w:r>
          </w:hyperlink>
        </w:p>
        <w:p>
          <w:pPr>
            <w:pStyle w:val="Contents2"/>
            <w:tabs>
              <w:tab w:val="clear" w:pos="720"/>
              <w:tab w:val="right" w:pos="9360" w:leader="dot"/>
            </w:tabs>
            <w:rPr/>
          </w:pPr>
          <w:hyperlink w:anchor="__RefHeading___Toc3691_773522003">
            <w:r>
              <w:rPr>
                <w:webHidden/>
                <w:rStyle w:val="IndexLink"/>
              </w:rPr>
              <w:t>Section 4 — Compensation for Transferred Material</w:t>
              <w:tab/>
              <w:t>43</w:t>
            </w:r>
          </w:hyperlink>
        </w:p>
        <w:p>
          <w:pPr>
            <w:pStyle w:val="Contents2"/>
            <w:tabs>
              <w:tab w:val="clear" w:pos="720"/>
              <w:tab w:val="right" w:pos="9360" w:leader="dot"/>
            </w:tabs>
            <w:rPr/>
          </w:pPr>
          <w:hyperlink w:anchor="__RefHeading___Toc3693_773522003">
            <w:r>
              <w:rPr>
                <w:webHidden/>
                <w:rStyle w:val="IndexLink"/>
              </w:rPr>
              <w:t>Section 5 — Sealed Inventories</w:t>
              <w:tab/>
              <w:t>43</w:t>
            </w:r>
          </w:hyperlink>
        </w:p>
        <w:p>
          <w:pPr>
            <w:pStyle w:val="Contents2"/>
            <w:tabs>
              <w:tab w:val="clear" w:pos="720"/>
              <w:tab w:val="right" w:pos="9360" w:leader="dot"/>
            </w:tabs>
            <w:rPr/>
          </w:pPr>
          <w:hyperlink w:anchor="__RefHeading___Toc3695_773522003">
            <w:r>
              <w:rPr>
                <w:webHidden/>
                <w:rStyle w:val="IndexLink"/>
              </w:rPr>
              <w:t>Section 6 — The Consortium Site and Construction</w:t>
              <w:tab/>
              <w:t>43</w:t>
            </w:r>
          </w:hyperlink>
        </w:p>
        <w:p>
          <w:pPr>
            <w:pStyle w:val="Contents2"/>
            <w:tabs>
              <w:tab w:val="clear" w:pos="720"/>
              <w:tab w:val="right" w:pos="9360" w:leader="dot"/>
            </w:tabs>
            <w:rPr/>
          </w:pPr>
          <w:hyperlink w:anchor="__RefHeading___Toc3697_773522003">
            <w:r>
              <w:rPr>
                <w:webHidden/>
                <w:rStyle w:val="IndexLink"/>
              </w:rPr>
              <w:t>Section 7 — Heavy Water</w:t>
              <w:tab/>
              <w:t>44</w:t>
            </w:r>
          </w:hyperlink>
        </w:p>
        <w:p>
          <w:pPr>
            <w:pStyle w:val="Contents1"/>
            <w:tabs>
              <w:tab w:val="clear" w:pos="720"/>
              <w:tab w:val="right" w:pos="9360" w:leader="dot"/>
            </w:tabs>
            <w:rPr/>
          </w:pPr>
          <w:hyperlink w:anchor="__RefHeading___Toc3699_773522003">
            <w:r>
              <w:rPr>
                <w:webHidden/>
                <w:rStyle w:val="IndexLink"/>
              </w:rPr>
              <w:t>Annex C — The Sanctions Relief Sequencing Tables</w:t>
              <w:tab/>
              <w:t>44</w:t>
            </w:r>
          </w:hyperlink>
        </w:p>
        <w:p>
          <w:pPr>
            <w:pStyle w:val="Contents2"/>
            <w:tabs>
              <w:tab w:val="clear" w:pos="720"/>
              <w:tab w:val="right" w:pos="9360" w:leader="dot"/>
            </w:tabs>
            <w:rPr/>
          </w:pPr>
          <w:hyperlink w:anchor="__RefHeading___Toc3701_773522003">
            <w:r>
              <w:rPr>
                <w:webHidden/>
                <w:rStyle w:val="IndexLink"/>
              </w:rPr>
              <w:t>Table C-1 — Day 0 Relief (Interim Measures Made Permanent)</w:t>
              <w:tab/>
              <w:t>44</w:t>
            </w:r>
          </w:hyperlink>
        </w:p>
        <w:p>
          <w:pPr>
            <w:pStyle w:val="Contents2"/>
            <w:tabs>
              <w:tab w:val="clear" w:pos="720"/>
              <w:tab w:val="right" w:pos="9360" w:leader="dot"/>
            </w:tabs>
            <w:rPr/>
          </w:pPr>
          <w:hyperlink w:anchor="__RefHeading___Toc3703_773522003">
            <w:r>
              <w:rPr>
                <w:webHidden/>
                <w:rStyle w:val="IndexLink"/>
              </w:rPr>
              <w:t>Table C-2 — Milestone-Paired Relief</w:t>
              <w:tab/>
              <w:t>44</w:t>
            </w:r>
          </w:hyperlink>
        </w:p>
        <w:p>
          <w:pPr>
            <w:pStyle w:val="Contents2"/>
            <w:tabs>
              <w:tab w:val="clear" w:pos="720"/>
              <w:tab w:val="right" w:pos="9360" w:leader="dot"/>
            </w:tabs>
            <w:rPr/>
          </w:pPr>
          <w:hyperlink w:anchor="__RefHeading___Toc3705_773522003">
            <w:r>
              <w:rPr>
                <w:webHidden/>
                <w:rStyle w:val="IndexLink"/>
              </w:rPr>
              <w:t>Table C-3 — Terminal Relief</w:t>
              <w:tab/>
              <w:t>45</w:t>
            </w:r>
          </w:hyperlink>
        </w:p>
        <w:p>
          <w:pPr>
            <w:pStyle w:val="Contents2"/>
            <w:tabs>
              <w:tab w:val="clear" w:pos="720"/>
              <w:tab w:val="right" w:pos="9360" w:leader="dot"/>
            </w:tabs>
            <w:rPr/>
          </w:pPr>
          <w:hyperlink w:anchor="__RefHeading___Toc3707_773522003">
            <w:r>
              <w:rPr>
                <w:webHidden/>
                <w:rStyle w:val="IndexLink"/>
              </w:rPr>
              <w:t>Table C-4 — Iranian Regulatory Normalization</w:t>
              <w:tab/>
              <w:t>45</w:t>
            </w:r>
          </w:hyperlink>
        </w:p>
        <w:p>
          <w:pPr>
            <w:pStyle w:val="Contents2"/>
            <w:tabs>
              <w:tab w:val="clear" w:pos="720"/>
              <w:tab w:val="right" w:pos="9360" w:leader="dot"/>
            </w:tabs>
            <w:rPr/>
          </w:pPr>
          <w:hyperlink w:anchor="__RefHeading___Toc3709_773522003">
            <w:r>
              <w:rPr>
                <w:webHidden/>
                <w:rStyle w:val="IndexLink"/>
              </w:rPr>
              <w:t>Section 5 — The Banking Rule</w:t>
              <w:tab/>
              <w:t>46</w:t>
            </w:r>
          </w:hyperlink>
        </w:p>
        <w:p>
          <w:pPr>
            <w:pStyle w:val="Contents1"/>
            <w:tabs>
              <w:tab w:val="clear" w:pos="720"/>
              <w:tab w:val="right" w:pos="9360" w:leader="dot"/>
            </w:tabs>
            <w:rPr/>
          </w:pPr>
          <w:hyperlink w:anchor="__RefHeading___Toc3711_773522003">
            <w:r>
              <w:rPr>
                <w:webHidden/>
                <w:rStyle w:val="IndexLink"/>
              </w:rPr>
              <w:t>Annex D — The Deconfliction and Force Posture Protocol</w:t>
              <w:tab/>
              <w:t>46</w:t>
            </w:r>
          </w:hyperlink>
        </w:p>
        <w:p>
          <w:pPr>
            <w:pStyle w:val="Contents2"/>
            <w:tabs>
              <w:tab w:val="clear" w:pos="720"/>
              <w:tab w:val="right" w:pos="9360" w:leader="dot"/>
            </w:tabs>
            <w:rPr/>
          </w:pPr>
          <w:hyperlink w:anchor="__RefHeading___Toc3713_773522003">
            <w:r>
              <w:rPr>
                <w:webHidden/>
                <w:rStyle w:val="IndexLink"/>
              </w:rPr>
              <w:t>Section 1 — The Standing Channel</w:t>
              <w:tab/>
              <w:t>46</w:t>
            </w:r>
          </w:hyperlink>
        </w:p>
        <w:p>
          <w:pPr>
            <w:pStyle w:val="Contents2"/>
            <w:tabs>
              <w:tab w:val="clear" w:pos="720"/>
              <w:tab w:val="right" w:pos="9360" w:leader="dot"/>
            </w:tabs>
            <w:rPr/>
          </w:pPr>
          <w:hyperlink w:anchor="__RefHeading___Toc3715_773522003">
            <w:r>
              <w:rPr>
                <w:webHidden/>
                <w:rStyle w:val="IndexLink"/>
              </w:rPr>
              <w:t>Section 2 — Maritime Deconfliction</w:t>
              <w:tab/>
              <w:t>46</w:t>
            </w:r>
          </w:hyperlink>
        </w:p>
        <w:p>
          <w:pPr>
            <w:pStyle w:val="Contents2"/>
            <w:tabs>
              <w:tab w:val="clear" w:pos="720"/>
              <w:tab w:val="right" w:pos="9360" w:leader="dot"/>
            </w:tabs>
            <w:rPr/>
          </w:pPr>
          <w:hyperlink w:anchor="__RefHeading___Toc3717_773522003">
            <w:r>
              <w:rPr>
                <w:webHidden/>
                <w:rStyle w:val="IndexLink"/>
              </w:rPr>
              <w:t>Section 3 — Incident Management Ladder</w:t>
              <w:tab/>
              <w:t>47</w:t>
            </w:r>
          </w:hyperlink>
        </w:p>
        <w:p>
          <w:pPr>
            <w:pStyle w:val="Contents2"/>
            <w:tabs>
              <w:tab w:val="clear" w:pos="720"/>
              <w:tab w:val="right" w:pos="9360" w:leader="dot"/>
            </w:tabs>
            <w:rPr/>
          </w:pPr>
          <w:hyperlink w:anchor="__RefHeading___Toc3719_773522003">
            <w:r>
              <w:rPr>
                <w:webHidden/>
                <w:rStyle w:val="IndexLink"/>
              </w:rPr>
              <w:t>Section 4 — Cyber Deconfliction</w:t>
              <w:tab/>
              <w:t>47</w:t>
            </w:r>
          </w:hyperlink>
        </w:p>
        <w:p>
          <w:pPr>
            <w:pStyle w:val="Contents2"/>
            <w:tabs>
              <w:tab w:val="clear" w:pos="720"/>
              <w:tab w:val="right" w:pos="9360" w:leader="dot"/>
            </w:tabs>
            <w:rPr/>
          </w:pPr>
          <w:hyperlink w:anchor="__RefHeading___Toc3721_773522003">
            <w:r>
              <w:rPr>
                <w:webHidden/>
                <w:rStyle w:val="IndexLink"/>
              </w:rPr>
              <w:t>Section 5 — Missile Transparency Protocol</w:t>
              <w:tab/>
              <w:t>47</w:t>
            </w:r>
          </w:hyperlink>
        </w:p>
        <w:p>
          <w:pPr>
            <w:pStyle w:val="Contents2"/>
            <w:tabs>
              <w:tab w:val="clear" w:pos="720"/>
              <w:tab w:val="right" w:pos="9360" w:leader="dot"/>
            </w:tabs>
            <w:rPr/>
          </w:pPr>
          <w:hyperlink w:anchor="__RefHeading___Toc3723_773522003">
            <w:r>
              <w:rPr>
                <w:webHidden/>
                <w:rStyle w:val="IndexLink"/>
              </w:rPr>
              <w:t>Section 6 — The Reciprocity Register</w:t>
              <w:tab/>
              <w:t>47</w:t>
            </w:r>
          </w:hyperlink>
        </w:p>
        <w:p>
          <w:pPr>
            <w:pStyle w:val="Contents2"/>
            <w:tabs>
              <w:tab w:val="clear" w:pos="720"/>
              <w:tab w:val="right" w:pos="9360" w:leader="dot"/>
            </w:tabs>
            <w:rPr/>
          </w:pPr>
          <w:hyperlink w:anchor="__RefHeading___Toc3725_773522003">
            <w:r>
              <w:rPr>
                <w:webHidden/>
                <w:rStyle w:val="IndexLink"/>
              </w:rPr>
              <w:t>Section 7 — Air Incident Protocol</w:t>
              <w:tab/>
              <w:t>47</w:t>
            </w:r>
          </w:hyperlink>
        </w:p>
        <w:p>
          <w:pPr>
            <w:pStyle w:val="Contents2"/>
            <w:tabs>
              <w:tab w:val="clear" w:pos="720"/>
              <w:tab w:val="right" w:pos="9360" w:leader="dot"/>
            </w:tabs>
            <w:rPr/>
          </w:pPr>
          <w:hyperlink w:anchor="__RefHeading___Toc3727_773522003">
            <w:r>
              <w:rPr>
                <w:webHidden/>
                <w:rStyle w:val="IndexLink"/>
              </w:rPr>
              <w:t>Section 8 — The Annual Capstone Exercise</w:t>
              <w:tab/>
              <w:t>47</w:t>
            </w:r>
          </w:hyperlink>
        </w:p>
        <w:p>
          <w:pPr>
            <w:pStyle w:val="Contents1"/>
            <w:tabs>
              <w:tab w:val="clear" w:pos="720"/>
              <w:tab w:val="right" w:pos="9360" w:leader="dot"/>
            </w:tabs>
            <w:rPr/>
          </w:pPr>
          <w:hyperlink w:anchor="__RefHeading___Toc3729_773522003">
            <w:r>
              <w:rPr>
                <w:webHidden/>
                <w:rStyle w:val="IndexLink"/>
              </w:rPr>
              <w:t>Annex E — The Hormuz Corridor Interface Specification</w:t>
              <w:tab/>
              <w:t>48</w:t>
            </w:r>
          </w:hyperlink>
        </w:p>
        <w:p>
          <w:pPr>
            <w:pStyle w:val="Contents2"/>
            <w:tabs>
              <w:tab w:val="clear" w:pos="720"/>
              <w:tab w:val="right" w:pos="9360" w:leader="dot"/>
            </w:tabs>
            <w:rPr/>
          </w:pPr>
          <w:hyperlink w:anchor="__RefHeading___Toc3731_773522003">
            <w:r>
              <w:rPr>
                <w:webHidden/>
                <w:rStyle w:val="IndexLink"/>
              </w:rPr>
              <w:t>Section 1 — The Governance Area</w:t>
              <w:tab/>
              <w:t>48</w:t>
            </w:r>
          </w:hyperlink>
        </w:p>
        <w:p>
          <w:pPr>
            <w:pStyle w:val="Contents2"/>
            <w:tabs>
              <w:tab w:val="clear" w:pos="720"/>
              <w:tab w:val="right" w:pos="9360" w:leader="dot"/>
            </w:tabs>
            <w:rPr/>
          </w:pPr>
          <w:hyperlink w:anchor="__RefHeading___Toc3733_773522003">
            <w:r>
              <w:rPr>
                <w:webHidden/>
                <w:rStyle w:val="IndexLink"/>
              </w:rPr>
              <w:t>Section 2 — Corridor Interface Points</w:t>
              <w:tab/>
              <w:t>48</w:t>
            </w:r>
          </w:hyperlink>
        </w:p>
        <w:p>
          <w:pPr>
            <w:pStyle w:val="Contents2"/>
            <w:tabs>
              <w:tab w:val="clear" w:pos="720"/>
              <w:tab w:val="right" w:pos="9360" w:leader="dot"/>
            </w:tabs>
            <w:rPr/>
          </w:pPr>
          <w:hyperlink w:anchor="__RefHeading___Toc3735_773522003">
            <w:r>
              <w:rPr>
                <w:webHidden/>
                <w:rStyle w:val="IndexLink"/>
              </w:rPr>
              <w:t>Section 3 — The No-Toll Baseline</w:t>
              <w:tab/>
              <w:t>48</w:t>
            </w:r>
          </w:hyperlink>
        </w:p>
        <w:p>
          <w:pPr>
            <w:pStyle w:val="Contents2"/>
            <w:tabs>
              <w:tab w:val="clear" w:pos="720"/>
              <w:tab w:val="right" w:pos="9360" w:leader="dot"/>
            </w:tabs>
            <w:rPr/>
          </w:pPr>
          <w:hyperlink w:anchor="__RefHeading___Toc3737_773522003">
            <w:r>
              <w:rPr>
                <w:webHidden/>
                <w:rStyle w:val="IndexLink"/>
              </w:rPr>
              <w:t>Section 4 — Notification-Based Transit</w:t>
              <w:tab/>
              <w:t>48</w:t>
            </w:r>
          </w:hyperlink>
        </w:p>
        <w:p>
          <w:pPr>
            <w:pStyle w:val="Contents2"/>
            <w:tabs>
              <w:tab w:val="clear" w:pos="720"/>
              <w:tab w:val="right" w:pos="9360" w:leader="dot"/>
            </w:tabs>
            <w:rPr/>
          </w:pPr>
          <w:hyperlink w:anchor="__RefHeading___Toc3739_773522003">
            <w:r>
              <w:rPr>
                <w:webHidden/>
                <w:rStyle w:val="IndexLink"/>
              </w:rPr>
              <w:t>Section 5 — Humanitarian Priority</w:t>
              <w:tab/>
              <w:t>48</w:t>
            </w:r>
          </w:hyperlink>
        </w:p>
        <w:p>
          <w:pPr>
            <w:pStyle w:val="Contents2"/>
            <w:tabs>
              <w:tab w:val="clear" w:pos="720"/>
              <w:tab w:val="right" w:pos="9360" w:leader="dot"/>
            </w:tabs>
            <w:rPr/>
          </w:pPr>
          <w:hyperlink w:anchor="__RefHeading___Toc3741_773522003">
            <w:r>
              <w:rPr>
                <w:webHidden/>
                <w:rStyle w:val="IndexLink"/>
              </w:rPr>
              <w:t>Section 6 — Mine Clearance Interface</w:t>
              <w:tab/>
              <w:t>48</w:t>
            </w:r>
          </w:hyperlink>
        </w:p>
        <w:p>
          <w:pPr>
            <w:pStyle w:val="Contents2"/>
            <w:tabs>
              <w:tab w:val="clear" w:pos="720"/>
              <w:tab w:val="right" w:pos="9360" w:leader="dot"/>
            </w:tabs>
            <w:rPr/>
          </w:pPr>
          <w:hyperlink w:anchor="__RefHeading___Toc3743_773522003">
            <w:r>
              <w:rPr>
                <w:webHidden/>
                <w:rStyle w:val="IndexLink"/>
              </w:rPr>
              <w:t>Section 7 — Environmental Interface</w:t>
              <w:tab/>
              <w:t>49</w:t>
            </w:r>
          </w:hyperlink>
        </w:p>
        <w:p>
          <w:pPr>
            <w:pStyle w:val="Contents2"/>
            <w:tabs>
              <w:tab w:val="clear" w:pos="720"/>
              <w:tab w:val="right" w:pos="9360" w:leader="dot"/>
            </w:tabs>
            <w:rPr/>
          </w:pPr>
          <w:hyperlink w:anchor="__RefHeading___Toc3745_773522003">
            <w:r>
              <w:rPr>
                <w:webHidden/>
                <w:rStyle w:val="IndexLink"/>
              </w:rPr>
              <w:t>Section 8 — The Insurance-Stabilization Facility</w:t>
              <w:tab/>
              <w:t>49</w:t>
            </w:r>
          </w:hyperlink>
        </w:p>
        <w:p>
          <w:pPr>
            <w:pStyle w:val="Contents1"/>
            <w:tabs>
              <w:tab w:val="clear" w:pos="720"/>
              <w:tab w:val="right" w:pos="9360" w:leader="dot"/>
            </w:tabs>
            <w:rPr/>
          </w:pPr>
          <w:hyperlink w:anchor="__RefHeading___Toc3747_773522003">
            <w:r>
              <w:rPr>
                <w:webHidden/>
                <w:rStyle w:val="IndexLink"/>
              </w:rPr>
              <w:t>Annex F — The Red Lines Register (Full Form)</w:t>
              <w:tab/>
              <w:t>49</w:t>
            </w:r>
          </w:hyperlink>
        </w:p>
        <w:p>
          <w:pPr>
            <w:pStyle w:val="Contents1"/>
            <w:tabs>
              <w:tab w:val="clear" w:pos="720"/>
              <w:tab w:val="right" w:pos="9360" w:leader="dot"/>
            </w:tabs>
            <w:rPr/>
          </w:pPr>
          <w:hyperlink w:anchor="__RefHeading___Toc3749_773522003">
            <w:r>
              <w:rPr>
                <w:webHidden/>
                <w:rStyle w:val="IndexLink"/>
              </w:rPr>
              <w:t>Annex G — The Claims and Compensation Procedures</w:t>
              <w:tab/>
              <w:t>50</w:t>
            </w:r>
          </w:hyperlink>
        </w:p>
        <w:p>
          <w:pPr>
            <w:pStyle w:val="Contents2"/>
            <w:tabs>
              <w:tab w:val="clear" w:pos="720"/>
              <w:tab w:val="right" w:pos="9360" w:leader="dot"/>
            </w:tabs>
            <w:rPr/>
          </w:pPr>
          <w:hyperlink w:anchor="__RefHeading___Toc3751_773522003">
            <w:r>
              <w:rPr>
                <w:webHidden/>
                <w:rStyle w:val="IndexLink"/>
              </w:rPr>
              <w:t>Section 1 — The Claims Commission</w:t>
              <w:tab/>
              <w:t>50</w:t>
            </w:r>
          </w:hyperlink>
        </w:p>
        <w:p>
          <w:pPr>
            <w:pStyle w:val="Contents2"/>
            <w:tabs>
              <w:tab w:val="clear" w:pos="720"/>
              <w:tab w:val="right" w:pos="9360" w:leader="dot"/>
            </w:tabs>
            <w:rPr/>
          </w:pPr>
          <w:hyperlink w:anchor="__RefHeading___Toc3753_773522003">
            <w:r>
              <w:rPr>
                <w:webHidden/>
                <w:rStyle w:val="IndexLink"/>
              </w:rPr>
              <w:t>Section 2 — Jurisdiction</w:t>
              <w:tab/>
              <w:t>51</w:t>
            </w:r>
          </w:hyperlink>
        </w:p>
        <w:p>
          <w:pPr>
            <w:pStyle w:val="Contents2"/>
            <w:tabs>
              <w:tab w:val="clear" w:pos="720"/>
              <w:tab w:val="right" w:pos="9360" w:leader="dot"/>
            </w:tabs>
            <w:rPr/>
          </w:pPr>
          <w:hyperlink w:anchor="__RefHeading___Toc3755_773522003">
            <w:r>
              <w:rPr>
                <w:webHidden/>
                <w:rStyle w:val="IndexLink"/>
              </w:rPr>
              <w:t>Section 3 — Procedure</w:t>
              <w:tab/>
              <w:t>51</w:t>
            </w:r>
          </w:hyperlink>
        </w:p>
        <w:p>
          <w:pPr>
            <w:pStyle w:val="Contents2"/>
            <w:tabs>
              <w:tab w:val="clear" w:pos="720"/>
              <w:tab w:val="right" w:pos="9360" w:leader="dot"/>
            </w:tabs>
            <w:rPr/>
          </w:pPr>
          <w:hyperlink w:anchor="__RefHeading___Toc3757_773522003">
            <w:r>
              <w:rPr>
                <w:webHidden/>
                <w:rStyle w:val="IndexLink"/>
              </w:rPr>
              <w:t>Section 4 — The Balanced Ledger Execution</w:t>
              <w:tab/>
              <w:t>51</w:t>
            </w:r>
          </w:hyperlink>
        </w:p>
        <w:p>
          <w:pPr>
            <w:pStyle w:val="Contents2"/>
            <w:tabs>
              <w:tab w:val="clear" w:pos="720"/>
              <w:tab w:val="right" w:pos="9360" w:leader="dot"/>
            </w:tabs>
            <w:rPr/>
          </w:pPr>
          <w:hyperlink w:anchor="__RefHeading___Toc3759_773522003">
            <w:r>
              <w:rPr>
                <w:webHidden/>
                <w:rStyle w:val="IndexLink"/>
              </w:rPr>
              <w:t>Section 5 — The Private Claims Lump-Sum Mechanism</w:t>
              <w:tab/>
              <w:t>51</w:t>
            </w:r>
          </w:hyperlink>
        </w:p>
        <w:p>
          <w:pPr>
            <w:pStyle w:val="Contents2"/>
            <w:tabs>
              <w:tab w:val="clear" w:pos="720"/>
              <w:tab w:val="right" w:pos="9360" w:leader="dot"/>
            </w:tabs>
            <w:rPr/>
          </w:pPr>
          <w:hyperlink w:anchor="__RefHeading___Toc3761_773522003">
            <w:r>
              <w:rPr>
                <w:webHidden/>
                <w:rStyle w:val="IndexLink"/>
              </w:rPr>
              <w:t>Section 6 — Costs</w:t>
              <w:tab/>
              <w:t>51</w:t>
            </w:r>
          </w:hyperlink>
        </w:p>
        <w:p>
          <w:pPr>
            <w:pStyle w:val="Contents2"/>
            <w:tabs>
              <w:tab w:val="clear" w:pos="720"/>
              <w:tab w:val="right" w:pos="9360" w:leader="dot"/>
            </w:tabs>
            <w:rPr/>
          </w:pPr>
          <w:hyperlink w:anchor="__RefHeading___Toc3763_773522003">
            <w:r>
              <w:rPr>
                <w:webHidden/>
                <w:rStyle w:val="IndexLink"/>
              </w:rPr>
              <w:t>Section 7 — Frivolous Claims</w:t>
              <w:tab/>
              <w:t>51</w:t>
            </w:r>
          </w:hyperlink>
        </w:p>
        <w:p>
          <w:pPr>
            <w:pStyle w:val="Contents1"/>
            <w:tabs>
              <w:tab w:val="clear" w:pos="720"/>
              <w:tab w:val="right" w:pos="9360" w:leader="dot"/>
            </w:tabs>
            <w:rPr/>
          </w:pPr>
          <w:hyperlink w:anchor="__RefHeading___Toc3765_773522003">
            <w:r>
              <w:rPr>
                <w:webHidden/>
                <w:rStyle w:val="IndexLink"/>
              </w:rPr>
              <w:t>Annex H — The Implementation Calendar (Consolidated)</w:t>
              <w:tab/>
              <w:t>52</w:t>
            </w:r>
          </w:hyperlink>
        </w:p>
        <w:p>
          <w:pPr>
            <w:pStyle w:val="Contents2"/>
            <w:tabs>
              <w:tab w:val="clear" w:pos="720"/>
              <w:tab w:val="right" w:pos="9360" w:leader="dot"/>
            </w:tabs>
            <w:rPr/>
          </w:pPr>
          <w:hyperlink w:anchor="__RefHeading___Toc3767_773522003">
            <w:r>
              <w:rPr>
                <w:webHidden/>
                <w:rStyle w:val="IndexLink"/>
              </w:rPr>
              <w:t>Section 1 — The Master Table</w:t>
              <w:tab/>
              <w:t>52</w:t>
            </w:r>
          </w:hyperlink>
        </w:p>
        <w:p>
          <w:pPr>
            <w:pStyle w:val="Contents2"/>
            <w:tabs>
              <w:tab w:val="clear" w:pos="720"/>
              <w:tab w:val="right" w:pos="9360" w:leader="dot"/>
            </w:tabs>
            <w:rPr/>
          </w:pPr>
          <w:hyperlink w:anchor="__RefHeading___Toc3769_773522003">
            <w:r>
              <w:rPr>
                <w:webHidden/>
                <w:rStyle w:val="IndexLink"/>
              </w:rPr>
              <w:t>Section 2 — Slippage Rules</w:t>
              <w:tab/>
              <w:t>53</w:t>
            </w:r>
          </w:hyperlink>
        </w:p>
        <w:p>
          <w:pPr>
            <w:pStyle w:val="Contents2"/>
            <w:tabs>
              <w:tab w:val="clear" w:pos="720"/>
              <w:tab w:val="right" w:pos="9360" w:leader="dot"/>
            </w:tabs>
            <w:rPr/>
          </w:pPr>
          <w:hyperlink w:anchor="__RefHeading___Toc3771_773522003">
            <w:r>
              <w:rPr>
                <w:webHidden/>
                <w:rStyle w:val="IndexLink"/>
              </w:rPr>
              <w:t>Section 3 — Publication</w:t>
              <w:tab/>
              <w:t>53</w:t>
            </w:r>
          </w:hyperlink>
        </w:p>
        <w:p>
          <w:pPr>
            <w:pStyle w:val="Contents2"/>
            <w:tabs>
              <w:tab w:val="clear" w:pos="720"/>
              <w:tab w:val="right" w:pos="9360" w:leader="dot"/>
            </w:tabs>
            <w:rPr/>
          </w:pPr>
          <w:hyperlink w:anchor="__RefHeading___Toc3773_773522003">
            <w:r>
              <w:rPr>
                <w:webHidden/>
                <w:rStyle w:val="IndexLink"/>
              </w:rPr>
              <w:t>Section 4 — The Ninety-Day Walkthrough Cycles</w:t>
              <w:tab/>
              <w:t>53</w:t>
            </w:r>
          </w:hyperlink>
        </w:p>
        <w:p>
          <w:pPr>
            <w:pStyle w:val="Contents1"/>
            <w:tabs>
              <w:tab w:val="clear" w:pos="720"/>
              <w:tab w:val="right" w:pos="9360" w:leader="dot"/>
            </w:tabs>
            <w:rPr/>
          </w:pPr>
          <w:hyperlink w:anchor="__RefHeading___Toc3775_773522003">
            <w:r>
              <w:rPr>
                <w:webHidden/>
                <w:rStyle w:val="IndexLink"/>
              </w:rPr>
              <w:t>Signature Blocks</w:t>
              <w:tab/>
              <w:t>54</w:t>
            </w:r>
          </w:hyperlink>
          <w:r>
            <w:rPr>
              <w:rStyle w:val="IndexLink"/>
            </w:rPr>
            <w:fldChar w:fldCharType="end"/>
          </w:r>
        </w:p>
      </w:sdtContent>
    </w:sdt>
    <w:p>
      <w:pPr>
        <w:sectPr>
          <w:headerReference w:type="default" r:id="rId2"/>
          <w:footerReference w:type="default" r:id="rId3"/>
          <w:type w:val="nextPage"/>
          <w:pgSz w:w="12240" w:h="15840"/>
          <w:pgMar w:left="1440" w:right="1440" w:gutter="0" w:header="720" w:top="1440" w:footer="720" w:bottom="1440"/>
          <w:pgNumType w:start="1" w:fmt="decimal"/>
          <w:formProt w:val="false"/>
          <w:textDirection w:val="lrTb"/>
          <w:docGrid w:type="default" w:linePitch="100" w:charSpace="0"/>
        </w:sectPr>
        <w:pStyle w:val="Normal"/>
        <w:widowControl/>
        <w:bidi w:val="0"/>
        <w:spacing w:before="0" w:after="200"/>
        <w:jc w:val="left"/>
        <w:rPr/>
      </w:pPr>
      <w:r>
        <w:rPr/>
      </w:r>
    </w:p>
    <w:p>
      <w:pPr>
        <w:pStyle w:val="Heading1"/>
        <w:rPr/>
      </w:pPr>
      <w:bookmarkStart w:id="0" w:name="__RefHeading___Toc3543_773522003"/>
      <w:bookmarkStart w:id="1" w:name="X99a30c69e15cf8aed38d0c55c47dbbcdffac66e"/>
      <w:bookmarkEnd w:id="0"/>
      <w:r>
        <w:rPr>
          <w:rFonts w:eastAsia="" w:cs="" w:cstheme="majorBidi" w:eastAsiaTheme="majorEastAsia"/>
          <w:b/>
          <w:color w:themeColor="accent1"/>
          <w:sz w:val="32"/>
          <w:szCs w:val="32"/>
          <w:lang w:val="en-US" w:eastAsia="en-US" w:bidi="ar-SA"/>
        </w:rPr>
        <w:t>Document Control and Declaration of Principles</w:t>
      </w:r>
    </w:p>
    <w:p>
      <w:pPr>
        <w:pStyle w:val="Heading2"/>
        <w:rPr/>
      </w:pPr>
      <w:bookmarkStart w:id="2" w:name="__RefHeading___Toc3545_773522003"/>
      <w:bookmarkStart w:id="3" w:name="document-control"/>
      <w:bookmarkEnd w:id="2"/>
      <w:r>
        <w:rPr>
          <w:rFonts w:eastAsia="" w:cs="" w:cstheme="majorBidi" w:eastAsiaTheme="majorEastAsia"/>
          <w:b/>
          <w:color w:themeColor="accent1"/>
          <w:sz w:val="28"/>
          <w:szCs w:val="28"/>
          <w:lang w:val="en-US" w:eastAsia="en-US" w:bidi="ar-SA"/>
        </w:rPr>
        <w:t>Document Control</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vAlign w:val="bottom"/>
          </w:tcPr>
          <w:p>
            <w:pPr>
              <w:pStyle w:val="Compact"/>
              <w:widowControl/>
              <w:spacing w:before="36" w:after="36"/>
              <w:jc w:val="left"/>
              <w:rPr>
                <w:rFonts w:ascii="Cambria" w:hAnsi="Cambria" w:eastAsia="Cambria" w:cs=""/>
                <w:kern w:val="0"/>
              </w:rPr>
            </w:pPr>
            <w:r>
              <w:rPr>
                <w:rFonts w:eastAsia="Cambria" w:cs=""/>
                <w:kern w:val="0"/>
                <w:sz w:val="24"/>
                <w:szCs w:val="24"/>
                <w:lang w:val="en-US" w:eastAsia="en-US" w:bidi="ar-SA"/>
              </w:rPr>
              <w:t>Field</w:t>
            </w:r>
          </w:p>
        </w:tc>
        <w:tc>
          <w:tcPr>
            <w:tcW w:w="4680" w:type="dxa"/>
            <w:tcBorders>
              <w:bottom w:val="single" w:sz="6" w:space="0" w:color="000000"/>
            </w:tcBorders>
            <w:vAlign w:val="bottom"/>
          </w:tcPr>
          <w:p>
            <w:pPr>
              <w:pStyle w:val="Compact"/>
              <w:widowControl/>
              <w:spacing w:before="36" w:after="36"/>
              <w:jc w:val="left"/>
              <w:rPr>
                <w:rFonts w:ascii="Cambria" w:hAnsi="Cambria" w:eastAsia="Cambria" w:cs=""/>
                <w:kern w:val="0"/>
              </w:rPr>
            </w:pPr>
            <w:r>
              <w:rPr>
                <w:rFonts w:eastAsia="Cambria" w:cs=""/>
                <w:kern w:val="0"/>
                <w:sz w:val="24"/>
                <w:szCs w:val="24"/>
                <w:lang w:val="en-US" w:eastAsia="en-US" w:bidi="ar-SA"/>
              </w:rPr>
              <w:t>Entry</w:t>
            </w:r>
          </w:p>
        </w:tc>
      </w:tr>
      <w:tr>
        <w:trPr/>
        <w:tc>
          <w:tcPr>
            <w:tcW w:w="4679" w:type="dxa"/>
            <w:tcBorders/>
          </w:tcPr>
          <w:p>
            <w:pPr>
              <w:pStyle w:val="Compact"/>
              <w:widowControl/>
              <w:spacing w:before="36" w:after="36"/>
              <w:jc w:val="left"/>
              <w:rPr>
                <w:rFonts w:ascii="Cambria" w:hAnsi="Cambria" w:eastAsia="Cambria" w:cs=""/>
                <w:kern w:val="0"/>
              </w:rPr>
            </w:pPr>
            <w:r>
              <w:rPr>
                <w:rFonts w:eastAsia="Cambria" w:cs=""/>
                <w:kern w:val="0"/>
                <w:sz w:val="24"/>
                <w:szCs w:val="24"/>
                <w:lang w:val="en-US" w:eastAsia="en-US" w:bidi="ar-SA"/>
              </w:rPr>
              <w:t>Instrument</w:t>
            </w:r>
          </w:p>
        </w:tc>
        <w:tc>
          <w:tcPr>
            <w:tcW w:w="4680" w:type="dxa"/>
            <w:tcBorders/>
          </w:tcPr>
          <w:p>
            <w:pPr>
              <w:pStyle w:val="Compact"/>
              <w:widowControl/>
              <w:spacing w:before="36" w:after="36"/>
              <w:jc w:val="left"/>
              <w:rPr>
                <w:rFonts w:ascii="Cambria" w:hAnsi="Cambria" w:eastAsia="Cambria" w:cs=""/>
                <w:kern w:val="0"/>
              </w:rPr>
            </w:pPr>
            <w:r>
              <w:rPr>
                <w:rFonts w:eastAsia="Cambria" w:cs=""/>
                <w:kern w:val="0"/>
                <w:sz w:val="24"/>
                <w:szCs w:val="24"/>
                <w:lang w:val="en-US" w:eastAsia="en-US" w:bidi="ar-SA"/>
              </w:rPr>
              <w:t>The U.S.-Iran Strategic Framework Agreement: A Comprehensive, Multi-Track, Permanently Verified Settlement Architecture Between the United States of America and the Islamic Republic of Iran, Version 1.0</w:t>
            </w:r>
          </w:p>
        </w:tc>
      </w:tr>
      <w:tr>
        <w:trPr/>
        <w:tc>
          <w:tcPr>
            <w:tcW w:w="4679" w:type="dxa"/>
            <w:tcBorders/>
          </w:tcPr>
          <w:p>
            <w:pPr>
              <w:pStyle w:val="Compact"/>
              <w:widowControl/>
              <w:spacing w:before="36" w:after="36"/>
              <w:jc w:val="left"/>
              <w:rPr>
                <w:rFonts w:ascii="Cambria" w:hAnsi="Cambria" w:eastAsia="Cambria" w:cs=""/>
                <w:kern w:val="0"/>
              </w:rPr>
            </w:pPr>
            <w:r>
              <w:rPr>
                <w:rFonts w:eastAsia="Cambria" w:cs=""/>
                <w:kern w:val="0"/>
                <w:sz w:val="24"/>
                <w:szCs w:val="24"/>
                <w:lang w:val="en-US" w:eastAsia="en-US" w:bidi="ar-SA"/>
              </w:rPr>
              <w:t>Short title</w:t>
            </w:r>
          </w:p>
        </w:tc>
        <w:tc>
          <w:tcPr>
            <w:tcW w:w="4680" w:type="dxa"/>
            <w:tcBorders/>
          </w:tcPr>
          <w:p>
            <w:pPr>
              <w:pStyle w:val="Compact"/>
              <w:widowControl/>
              <w:spacing w:before="36" w:after="36"/>
              <w:jc w:val="left"/>
              <w:rPr>
                <w:rFonts w:ascii="Cambria" w:hAnsi="Cambria" w:eastAsia="Cambria" w:cs=""/>
                <w:kern w:val="0"/>
              </w:rPr>
            </w:pPr>
            <w:r>
              <w:rPr>
                <w:rFonts w:eastAsia="Cambria" w:cs=""/>
                <w:kern w:val="0"/>
                <w:sz w:val="24"/>
                <w:szCs w:val="24"/>
                <w:lang w:val="en-US" w:eastAsia="en-US" w:bidi="ar-SA"/>
              </w:rPr>
              <w:t>The Strategic Framework (the “Agreement”)</w:t>
            </w:r>
          </w:p>
        </w:tc>
      </w:tr>
      <w:tr>
        <w:trPr/>
        <w:tc>
          <w:tcPr>
            <w:tcW w:w="4679" w:type="dxa"/>
            <w:tcBorders/>
          </w:tcPr>
          <w:p>
            <w:pPr>
              <w:pStyle w:val="Compact"/>
              <w:widowControl/>
              <w:spacing w:before="36" w:after="36"/>
              <w:jc w:val="left"/>
              <w:rPr>
                <w:rFonts w:ascii="Cambria" w:hAnsi="Cambria" w:eastAsia="Cambria" w:cs=""/>
                <w:kern w:val="0"/>
              </w:rPr>
            </w:pPr>
            <w:r>
              <w:rPr>
                <w:rFonts w:eastAsia="Cambria" w:cs=""/>
                <w:kern w:val="0"/>
                <w:sz w:val="24"/>
                <w:szCs w:val="24"/>
                <w:lang w:val="en-US" w:eastAsia="en-US" w:bidi="ar-SA"/>
              </w:rPr>
              <w:t>Status</w:t>
            </w:r>
          </w:p>
        </w:tc>
        <w:tc>
          <w:tcPr>
            <w:tcW w:w="4680" w:type="dxa"/>
            <w:tcBorders/>
          </w:tcPr>
          <w:p>
            <w:pPr>
              <w:pStyle w:val="Compact"/>
              <w:widowControl/>
              <w:spacing w:before="36" w:after="36"/>
              <w:jc w:val="left"/>
              <w:rPr>
                <w:rFonts w:ascii="Cambria" w:hAnsi="Cambria" w:eastAsia="Cambria" w:cs=""/>
                <w:kern w:val="0"/>
              </w:rPr>
            </w:pPr>
            <w:r>
              <w:rPr>
                <w:rFonts w:eastAsia="Cambria" w:cs=""/>
                <w:kern w:val="0"/>
                <w:sz w:val="24"/>
                <w:szCs w:val="24"/>
                <w:lang w:val="en-US" w:eastAsia="en-US" w:bidi="ar-SA"/>
              </w:rPr>
              <w:t>Negotiating draft for authorized participants. Every provision follows the Sovereign Present-Tense Standard defined in Article 2.7</w:t>
            </w:r>
          </w:p>
        </w:tc>
      </w:tr>
      <w:tr>
        <w:trPr/>
        <w:tc>
          <w:tcPr>
            <w:tcW w:w="4679" w:type="dxa"/>
            <w:tcBorders/>
          </w:tcPr>
          <w:p>
            <w:pPr>
              <w:pStyle w:val="Compact"/>
              <w:widowControl/>
              <w:spacing w:before="36" w:after="36"/>
              <w:jc w:val="left"/>
              <w:rPr>
                <w:rFonts w:ascii="Cambria" w:hAnsi="Cambria" w:eastAsia="Cambria" w:cs=""/>
                <w:kern w:val="0"/>
              </w:rPr>
            </w:pPr>
            <w:r>
              <w:rPr>
                <w:rFonts w:eastAsia="Cambria" w:cs=""/>
                <w:kern w:val="0"/>
                <w:sz w:val="24"/>
                <w:szCs w:val="24"/>
                <w:lang w:val="en-US" w:eastAsia="en-US" w:bidi="ar-SA"/>
              </w:rPr>
              <w:t>Date</w:t>
            </w:r>
          </w:p>
        </w:tc>
        <w:tc>
          <w:tcPr>
            <w:tcW w:w="4680" w:type="dxa"/>
            <w:tcBorders/>
          </w:tcPr>
          <w:p>
            <w:pPr>
              <w:pStyle w:val="Compact"/>
              <w:widowControl/>
              <w:spacing w:before="36" w:after="36"/>
              <w:jc w:val="left"/>
              <w:rPr>
                <w:rFonts w:ascii="Cambria" w:hAnsi="Cambria" w:eastAsia="Cambria" w:cs=""/>
                <w:kern w:val="0"/>
              </w:rPr>
            </w:pPr>
            <w:r>
              <w:rPr>
                <w:rFonts w:eastAsia="Cambria" w:cs=""/>
                <w:kern w:val="0"/>
                <w:sz w:val="24"/>
                <w:szCs w:val="24"/>
                <w:lang w:val="en-US" w:eastAsia="en-US" w:bidi="ar-SA"/>
              </w:rPr>
              <w:t>August 2026</w:t>
            </w:r>
          </w:p>
        </w:tc>
      </w:tr>
      <w:tr>
        <w:trPr/>
        <w:tc>
          <w:tcPr>
            <w:tcW w:w="4679" w:type="dxa"/>
            <w:tcBorders/>
          </w:tcPr>
          <w:p>
            <w:pPr>
              <w:pStyle w:val="Compact"/>
              <w:widowControl/>
              <w:spacing w:before="36" w:after="36"/>
              <w:jc w:val="left"/>
              <w:rPr>
                <w:rFonts w:ascii="Cambria" w:hAnsi="Cambria" w:eastAsia="Cambria" w:cs=""/>
                <w:kern w:val="0"/>
              </w:rPr>
            </w:pPr>
            <w:r>
              <w:rPr>
                <w:rFonts w:eastAsia="Cambria" w:cs=""/>
                <w:kern w:val="0"/>
                <w:sz w:val="24"/>
                <w:szCs w:val="24"/>
                <w:lang w:val="en-US" w:eastAsia="en-US" w:bidi="ar-SA"/>
              </w:rPr>
              <w:t>Anchor context</w:t>
            </w:r>
          </w:p>
        </w:tc>
        <w:tc>
          <w:tcPr>
            <w:tcW w:w="4680" w:type="dxa"/>
            <w:tcBorders/>
          </w:tcPr>
          <w:p>
            <w:pPr>
              <w:pStyle w:val="Compact"/>
              <w:widowControl/>
              <w:spacing w:before="36" w:after="36"/>
              <w:jc w:val="left"/>
              <w:rPr>
                <w:rFonts w:ascii="Cambria" w:hAnsi="Cambria" w:eastAsia="Cambria" w:cs=""/>
                <w:kern w:val="0"/>
              </w:rPr>
            </w:pPr>
            <w:r>
              <w:rPr>
                <w:rFonts w:eastAsia="Cambria" w:cs=""/>
                <w:kern w:val="0"/>
                <w:sz w:val="24"/>
                <w:szCs w:val="24"/>
                <w:lang w:val="en-US" w:eastAsia="en-US" w:bidi="ar-SA"/>
              </w:rPr>
              <w:t>The Islamabad Memorandum of Understanding of 17 June 2026 (the “Islamabad MoU”), which establishes a sixty-day negotiation window, extendable by mutual consent, for a comprehensive final agreement; the Pakistan-mediated ceasefire of 8 April 2026; and the Lake Lucerne implementation talks of June 2026</w:t>
            </w:r>
          </w:p>
        </w:tc>
      </w:tr>
      <w:tr>
        <w:trPr/>
        <w:tc>
          <w:tcPr>
            <w:tcW w:w="4679" w:type="dxa"/>
            <w:tcBorders/>
          </w:tcPr>
          <w:p>
            <w:pPr>
              <w:pStyle w:val="Compact"/>
              <w:widowControl/>
              <w:spacing w:before="36" w:after="36"/>
              <w:jc w:val="left"/>
              <w:rPr>
                <w:rFonts w:ascii="Cambria" w:hAnsi="Cambria" w:eastAsia="Cambria" w:cs=""/>
                <w:kern w:val="0"/>
              </w:rPr>
            </w:pPr>
            <w:r>
              <w:rPr>
                <w:rFonts w:eastAsia="Cambria" w:cs=""/>
                <w:kern w:val="0"/>
                <w:sz w:val="24"/>
                <w:szCs w:val="24"/>
                <w:lang w:val="en-US" w:eastAsia="en-US" w:bidi="ar-SA"/>
              </w:rPr>
              <w:t>Parties</w:t>
            </w:r>
          </w:p>
        </w:tc>
        <w:tc>
          <w:tcPr>
            <w:tcW w:w="4680" w:type="dxa"/>
            <w:tcBorders/>
          </w:tcPr>
          <w:p>
            <w:pPr>
              <w:pStyle w:val="Compact"/>
              <w:widowControl/>
              <w:spacing w:before="36" w:after="36"/>
              <w:jc w:val="left"/>
              <w:rPr>
                <w:rFonts w:ascii="Cambria" w:hAnsi="Cambria" w:eastAsia="Cambria" w:cs=""/>
                <w:kern w:val="0"/>
              </w:rPr>
            </w:pPr>
            <w:r>
              <w:rPr>
                <w:rFonts w:eastAsia="Cambria" w:cs=""/>
                <w:kern w:val="0"/>
                <w:sz w:val="24"/>
                <w:szCs w:val="24"/>
                <w:lang w:val="en-US" w:eastAsia="en-US" w:bidi="ar-SA"/>
              </w:rPr>
              <w:t>The United States of America and the Islamic Republic of Iran (each a “Party”; together the “Parties”)</w:t>
            </w:r>
          </w:p>
        </w:tc>
      </w:tr>
      <w:tr>
        <w:trPr/>
        <w:tc>
          <w:tcPr>
            <w:tcW w:w="4679" w:type="dxa"/>
            <w:tcBorders/>
          </w:tcPr>
          <w:p>
            <w:pPr>
              <w:pStyle w:val="Compact"/>
              <w:widowControl/>
              <w:spacing w:before="36" w:after="36"/>
              <w:jc w:val="left"/>
              <w:rPr>
                <w:rFonts w:ascii="Cambria" w:hAnsi="Cambria" w:eastAsia="Cambria" w:cs=""/>
                <w:kern w:val="0"/>
              </w:rPr>
            </w:pPr>
            <w:r>
              <w:rPr>
                <w:rFonts w:eastAsia="Cambria" w:cs=""/>
                <w:kern w:val="0"/>
                <w:sz w:val="24"/>
                <w:szCs w:val="24"/>
                <w:lang w:val="en-US" w:eastAsia="en-US" w:bidi="ar-SA"/>
              </w:rPr>
              <w:t>Mediator of Record</w:t>
            </w:r>
          </w:p>
        </w:tc>
        <w:tc>
          <w:tcPr>
            <w:tcW w:w="4680" w:type="dxa"/>
            <w:tcBorders/>
          </w:tcPr>
          <w:p>
            <w:pPr>
              <w:pStyle w:val="Compact"/>
              <w:widowControl/>
              <w:spacing w:before="36" w:after="36"/>
              <w:jc w:val="left"/>
              <w:rPr>
                <w:rFonts w:ascii="Cambria" w:hAnsi="Cambria" w:eastAsia="Cambria" w:cs=""/>
                <w:kern w:val="0"/>
              </w:rPr>
            </w:pPr>
            <w:r>
              <w:rPr>
                <w:rFonts w:eastAsia="Cambria" w:cs=""/>
                <w:kern w:val="0"/>
                <w:sz w:val="24"/>
                <w:szCs w:val="24"/>
                <w:lang w:val="en-US" w:eastAsia="en-US" w:bidi="ar-SA"/>
              </w:rPr>
              <w:t>The Islamic Republic of Pakistan</w:t>
            </w:r>
          </w:p>
        </w:tc>
      </w:tr>
      <w:tr>
        <w:trPr/>
        <w:tc>
          <w:tcPr>
            <w:tcW w:w="4679" w:type="dxa"/>
            <w:tcBorders/>
          </w:tcPr>
          <w:p>
            <w:pPr>
              <w:pStyle w:val="Compact"/>
              <w:widowControl/>
              <w:spacing w:before="36" w:after="36"/>
              <w:jc w:val="left"/>
              <w:rPr>
                <w:rFonts w:ascii="Cambria" w:hAnsi="Cambria" w:eastAsia="Cambria" w:cs=""/>
                <w:kern w:val="0"/>
              </w:rPr>
            </w:pPr>
            <w:r>
              <w:rPr>
                <w:rFonts w:eastAsia="Cambria" w:cs=""/>
                <w:kern w:val="0"/>
                <w:sz w:val="24"/>
                <w:szCs w:val="24"/>
                <w:lang w:val="en-US" w:eastAsia="en-US" w:bidi="ar-SA"/>
              </w:rPr>
              <w:t>Facilitators</w:t>
            </w:r>
          </w:p>
        </w:tc>
        <w:tc>
          <w:tcPr>
            <w:tcW w:w="4680" w:type="dxa"/>
            <w:tcBorders/>
          </w:tcPr>
          <w:p>
            <w:pPr>
              <w:pStyle w:val="Compact"/>
              <w:widowControl/>
              <w:spacing w:before="36" w:after="36"/>
              <w:jc w:val="left"/>
              <w:rPr>
                <w:rFonts w:ascii="Cambria" w:hAnsi="Cambria" w:eastAsia="Cambria" w:cs=""/>
                <w:kern w:val="0"/>
              </w:rPr>
            </w:pPr>
            <w:r>
              <w:rPr>
                <w:rFonts w:eastAsia="Cambria" w:cs=""/>
                <w:kern w:val="0"/>
                <w:sz w:val="24"/>
                <w:szCs w:val="24"/>
                <w:lang w:val="en-US" w:eastAsia="en-US" w:bidi="ar-SA"/>
              </w:rPr>
              <w:t>The Sultanate of Oman and the State of Qatar</w:t>
            </w:r>
          </w:p>
        </w:tc>
      </w:tr>
      <w:tr>
        <w:trPr/>
        <w:tc>
          <w:tcPr>
            <w:tcW w:w="4679" w:type="dxa"/>
            <w:tcBorders/>
          </w:tcPr>
          <w:p>
            <w:pPr>
              <w:pStyle w:val="Compact"/>
              <w:widowControl/>
              <w:spacing w:before="36" w:after="36"/>
              <w:jc w:val="left"/>
              <w:rPr>
                <w:rFonts w:ascii="Cambria" w:hAnsi="Cambria" w:eastAsia="Cambria" w:cs=""/>
                <w:kern w:val="0"/>
              </w:rPr>
            </w:pPr>
            <w:r>
              <w:rPr>
                <w:rFonts w:eastAsia="Cambria" w:cs=""/>
                <w:kern w:val="0"/>
                <w:sz w:val="24"/>
                <w:szCs w:val="24"/>
                <w:lang w:val="en-US" w:eastAsia="en-US" w:bidi="ar-SA"/>
              </w:rPr>
              <w:t>Verification interface</w:t>
            </w:r>
          </w:p>
        </w:tc>
        <w:tc>
          <w:tcPr>
            <w:tcW w:w="4680" w:type="dxa"/>
            <w:tcBorders/>
          </w:tcPr>
          <w:p>
            <w:pPr>
              <w:pStyle w:val="Compact"/>
              <w:widowControl/>
              <w:spacing w:before="36" w:after="36"/>
              <w:jc w:val="left"/>
              <w:rPr>
                <w:rFonts w:ascii="Cambria" w:hAnsi="Cambria" w:eastAsia="Cambria" w:cs=""/>
                <w:kern w:val="0"/>
              </w:rPr>
            </w:pPr>
            <w:r>
              <w:rPr>
                <w:rFonts w:eastAsia="Cambria" w:cs=""/>
                <w:kern w:val="0"/>
                <w:sz w:val="24"/>
                <w:szCs w:val="24"/>
                <w:lang w:val="en-US" w:eastAsia="en-US" w:bidi="ar-SA"/>
              </w:rPr>
              <w:t>The International Atomic Energy Agency (IAEA), for the nuclear track of Part IV; the International Maritime Organization (IMO), for the strait-governance interface of Part IX</w:t>
            </w:r>
          </w:p>
        </w:tc>
      </w:tr>
      <w:tr>
        <w:trPr/>
        <w:tc>
          <w:tcPr>
            <w:tcW w:w="4679" w:type="dxa"/>
            <w:tcBorders/>
          </w:tcPr>
          <w:p>
            <w:pPr>
              <w:pStyle w:val="Compact"/>
              <w:widowControl/>
              <w:spacing w:before="36" w:after="36"/>
              <w:jc w:val="left"/>
              <w:rPr>
                <w:rFonts w:ascii="Cambria" w:hAnsi="Cambria" w:eastAsia="Cambria" w:cs=""/>
                <w:kern w:val="0"/>
              </w:rPr>
            </w:pPr>
            <w:r>
              <w:rPr>
                <w:rFonts w:eastAsia="Cambria" w:cs=""/>
                <w:kern w:val="0"/>
                <w:sz w:val="24"/>
                <w:szCs w:val="24"/>
                <w:lang w:val="en-US" w:eastAsia="en-US" w:bidi="ar-SA"/>
              </w:rPr>
              <w:t>Executive Mechanism</w:t>
            </w:r>
          </w:p>
        </w:tc>
        <w:tc>
          <w:tcPr>
            <w:tcW w:w="4680" w:type="dxa"/>
            <w:tcBorders/>
          </w:tcPr>
          <w:p>
            <w:pPr>
              <w:pStyle w:val="Compact"/>
              <w:widowControl/>
              <w:spacing w:before="36" w:after="36"/>
              <w:jc w:val="left"/>
              <w:rPr>
                <w:rFonts w:ascii="Cambria" w:hAnsi="Cambria" w:eastAsia="Cambria" w:cs=""/>
                <w:kern w:val="0"/>
              </w:rPr>
            </w:pPr>
            <w:r>
              <w:rPr>
                <w:rFonts w:eastAsia="Cambria" w:cs=""/>
                <w:kern w:val="0"/>
                <w:sz w:val="24"/>
                <w:szCs w:val="24"/>
                <w:lang w:val="en-US" w:eastAsia="en-US" w:bidi="ar-SA"/>
              </w:rPr>
              <w:t>The Joint Implementation Commission established under Article 30, seated at Muscat with a mirror facility of equal rank at Geneva</w:t>
            </w:r>
          </w:p>
        </w:tc>
      </w:tr>
      <w:tr>
        <w:trPr/>
        <w:tc>
          <w:tcPr>
            <w:tcW w:w="4679" w:type="dxa"/>
            <w:tcBorders/>
          </w:tcPr>
          <w:p>
            <w:pPr>
              <w:pStyle w:val="Compact"/>
              <w:widowControl/>
              <w:spacing w:before="36" w:after="36"/>
              <w:jc w:val="left"/>
              <w:rPr>
                <w:rFonts w:ascii="Cambria" w:hAnsi="Cambria" w:eastAsia="Cambria" w:cs=""/>
                <w:kern w:val="0"/>
              </w:rPr>
            </w:pPr>
            <w:r>
              <w:rPr>
                <w:rFonts w:eastAsia="Cambria" w:cs=""/>
                <w:kern w:val="0"/>
                <w:sz w:val="24"/>
                <w:szCs w:val="24"/>
                <w:lang w:val="en-US" w:eastAsia="en-US" w:bidi="ar-SA"/>
              </w:rPr>
              <w:t>Depositary</w:t>
            </w:r>
          </w:p>
        </w:tc>
        <w:tc>
          <w:tcPr>
            <w:tcW w:w="4680" w:type="dxa"/>
            <w:tcBorders/>
          </w:tcPr>
          <w:p>
            <w:pPr>
              <w:pStyle w:val="Compact"/>
              <w:widowControl/>
              <w:spacing w:before="36" w:after="36"/>
              <w:jc w:val="left"/>
              <w:rPr>
                <w:rFonts w:ascii="Cambria" w:hAnsi="Cambria" w:eastAsia="Cambria" w:cs=""/>
                <w:kern w:val="0"/>
              </w:rPr>
            </w:pPr>
            <w:r>
              <w:rPr>
                <w:rFonts w:eastAsia="Cambria" w:cs=""/>
                <w:kern w:val="0"/>
                <w:sz w:val="24"/>
                <w:szCs w:val="24"/>
                <w:lang w:val="en-US" w:eastAsia="en-US" w:bidi="ar-SA"/>
              </w:rPr>
              <w:t>The Islamic Republic of Pakistan, Ministry of Foreign Affairs, Islamabad</w:t>
            </w:r>
          </w:p>
        </w:tc>
      </w:tr>
      <w:tr>
        <w:trPr/>
        <w:tc>
          <w:tcPr>
            <w:tcW w:w="4679" w:type="dxa"/>
            <w:tcBorders/>
          </w:tcPr>
          <w:p>
            <w:pPr>
              <w:pStyle w:val="Compact"/>
              <w:widowControl/>
              <w:spacing w:before="36" w:after="36"/>
              <w:jc w:val="left"/>
              <w:rPr>
                <w:rFonts w:ascii="Cambria" w:hAnsi="Cambria" w:eastAsia="Cambria" w:cs=""/>
                <w:kern w:val="0"/>
              </w:rPr>
            </w:pPr>
            <w:r>
              <w:rPr>
                <w:rFonts w:eastAsia="Cambria" w:cs=""/>
                <w:kern w:val="0"/>
                <w:sz w:val="24"/>
                <w:szCs w:val="24"/>
                <w:lang w:val="en-US" w:eastAsia="en-US" w:bidi="ar-SA"/>
              </w:rPr>
              <w:t>Endorsement path</w:t>
            </w:r>
          </w:p>
        </w:tc>
        <w:tc>
          <w:tcPr>
            <w:tcW w:w="4680" w:type="dxa"/>
            <w:tcBorders/>
          </w:tcPr>
          <w:p>
            <w:pPr>
              <w:pStyle w:val="Compact"/>
              <w:widowControl/>
              <w:spacing w:before="36" w:after="36"/>
              <w:jc w:val="left"/>
              <w:rPr>
                <w:rFonts w:ascii="Cambria" w:hAnsi="Cambria" w:eastAsia="Cambria" w:cs=""/>
                <w:kern w:val="0"/>
              </w:rPr>
            </w:pPr>
            <w:r>
              <w:rPr>
                <w:rFonts w:eastAsia="Cambria" w:cs=""/>
                <w:kern w:val="0"/>
                <w:sz w:val="24"/>
                <w:szCs w:val="24"/>
                <w:lang w:val="en-US" w:eastAsia="en-US" w:bidi="ar-SA"/>
              </w:rPr>
              <w:t>Endorsement by the United Nations Security Council under the procedure of Article 36, consistent with paragraph 14 of the Islamabad MoU</w:t>
            </w:r>
          </w:p>
        </w:tc>
      </w:tr>
      <w:tr>
        <w:trPr/>
        <w:tc>
          <w:tcPr>
            <w:tcW w:w="4679" w:type="dxa"/>
            <w:tcBorders/>
          </w:tcPr>
          <w:p>
            <w:pPr>
              <w:pStyle w:val="Compact"/>
              <w:widowControl/>
              <w:spacing w:before="36" w:after="36"/>
              <w:jc w:val="left"/>
              <w:rPr>
                <w:rFonts w:ascii="Cambria" w:hAnsi="Cambria" w:eastAsia="Cambria" w:cs=""/>
                <w:kern w:val="0"/>
              </w:rPr>
            </w:pPr>
            <w:r>
              <w:rPr>
                <w:rFonts w:eastAsia="Cambria" w:cs=""/>
                <w:kern w:val="0"/>
                <w:sz w:val="24"/>
                <w:szCs w:val="24"/>
                <w:lang w:val="en-US" w:eastAsia="en-US" w:bidi="ar-SA"/>
              </w:rPr>
              <w:t>Languages</w:t>
            </w:r>
          </w:p>
        </w:tc>
        <w:tc>
          <w:tcPr>
            <w:tcW w:w="4680" w:type="dxa"/>
            <w:tcBorders/>
          </w:tcPr>
          <w:p>
            <w:pPr>
              <w:pStyle w:val="Compact"/>
              <w:widowControl/>
              <w:spacing w:before="36" w:after="36"/>
              <w:jc w:val="left"/>
              <w:rPr>
                <w:rFonts w:ascii="Cambria" w:hAnsi="Cambria" w:eastAsia="Cambria" w:cs=""/>
                <w:kern w:val="0"/>
              </w:rPr>
            </w:pPr>
            <w:r>
              <w:rPr>
                <w:rFonts w:eastAsia="Cambria" w:cs=""/>
                <w:kern w:val="0"/>
                <w:sz w:val="24"/>
                <w:szCs w:val="24"/>
                <w:lang w:val="en-US" w:eastAsia="en-US" w:bidi="ar-SA"/>
              </w:rPr>
              <w:t>English, Persian, and Arabic carry equal authority</w:t>
            </w:r>
          </w:p>
        </w:tc>
      </w:tr>
      <w:tr>
        <w:trPr/>
        <w:tc>
          <w:tcPr>
            <w:tcW w:w="4679" w:type="dxa"/>
            <w:tcBorders/>
          </w:tcPr>
          <w:p>
            <w:pPr>
              <w:pStyle w:val="Compact"/>
              <w:widowControl/>
              <w:spacing w:before="36" w:after="36"/>
              <w:jc w:val="left"/>
              <w:rPr>
                <w:rFonts w:ascii="Cambria" w:hAnsi="Cambria" w:eastAsia="Cambria" w:cs=""/>
                <w:kern w:val="0"/>
              </w:rPr>
            </w:pPr>
            <w:r>
              <w:rPr>
                <w:rFonts w:eastAsia="Cambria" w:cs=""/>
                <w:kern w:val="0"/>
                <w:sz w:val="24"/>
                <w:szCs w:val="24"/>
                <w:lang w:val="en-US" w:eastAsia="en-US" w:bidi="ar-SA"/>
              </w:rPr>
              <w:t>Continuity rule</w:t>
            </w:r>
          </w:p>
        </w:tc>
        <w:tc>
          <w:tcPr>
            <w:tcW w:w="4680" w:type="dxa"/>
            <w:tcBorders/>
          </w:tcPr>
          <w:p>
            <w:pPr>
              <w:pStyle w:val="Compact"/>
              <w:widowControl/>
              <w:spacing w:before="36" w:after="36"/>
              <w:jc w:val="left"/>
              <w:rPr>
                <w:rFonts w:ascii="Cambria" w:hAnsi="Cambria" w:eastAsia="Cambria" w:cs=""/>
                <w:kern w:val="0"/>
              </w:rPr>
            </w:pPr>
            <w:bookmarkStart w:id="4" w:name="document-control"/>
            <w:r>
              <w:rPr>
                <w:rFonts w:eastAsia="Cambria" w:cs=""/>
                <w:kern w:val="0"/>
                <w:sz w:val="24"/>
                <w:szCs w:val="24"/>
                <w:lang w:val="en-US" w:eastAsia="en-US" w:bidi="ar-SA"/>
              </w:rPr>
              <w:t>The Continuity Principle (Article 4): no provision expires, lapses, or dissolves by the passage of time alone</w:t>
            </w:r>
            <w:bookmarkEnd w:id="4"/>
          </w:p>
        </w:tc>
      </w:tr>
    </w:tbl>
    <w:p>
      <w:pPr>
        <w:pStyle w:val="Heading2"/>
        <w:rPr/>
      </w:pPr>
      <w:bookmarkStart w:id="5" w:name="__RefHeading___Toc3547_773522003"/>
      <w:bookmarkEnd w:id="5"/>
      <w:r>
        <w:rPr>
          <w:rFonts w:eastAsia="" w:cs="" w:cstheme="majorBidi" w:eastAsiaTheme="majorEastAsia"/>
          <w:b/>
          <w:color w:themeColor="accent1"/>
          <w:sz w:val="28"/>
          <w:szCs w:val="28"/>
          <w:lang w:val="en-US" w:eastAsia="en-US" w:bidi="ar-SA"/>
        </w:rPr>
        <w:t>Drafting Discipline Note</w:t>
      </w:r>
    </w:p>
    <w:p>
      <w:pPr>
        <w:pStyle w:val="FirstParagraph"/>
        <w:rPr/>
      </w:pPr>
      <w:r>
        <w:rPr>
          <w:sz w:val="24"/>
          <w:szCs w:val="24"/>
          <w:lang w:val="en-US" w:eastAsia="en-US" w:bidi="ar-SA"/>
        </w:rPr>
        <w:t>Every provision of this Agreement follows the Sovereign Present-Tense Standard defined at Article 2.7: active present-tense verbs; mutual-architecture framing in which each constraint attaches to the shared design rather than to one Party’s restraint for the other’s benefit; automatic triggers stated as immediate operational realities; no command vocabulary and no discretionary softeners. The Continuity Principle of Article 4 stands first among equals: nothing in this instrument fades, lapses, or dissolves by the passage of time alone. Verified performance banks permanently. Renewal occurs by silence; change occurs by joint written instrument; exit is a deliberate, notified, time-buffered sovereign act, never a drift.</w:t>
      </w:r>
    </w:p>
    <w:p>
      <w:pPr>
        <w:pStyle w:val="FirstParagraph"/>
        <w:rPr/>
      </w:pPr>
      <w:r>
        <w:rPr>
          <w:sz w:val="24"/>
          <w:szCs w:val="24"/>
          <w:lang w:val="en-US" w:eastAsia="en-US" w:bidi="ar-SA"/>
        </w:rPr>
        <w:t>The Agreement applies the Partial Success Doctrine of Article 4.4: no single unresolved module invalidates the remainder of the framework. Each track operates as an independent contractual line. Progress, compliance, or failure in one track does not automatically determine the status of any other track. This doctrine is binding and interpretive.</w:t>
      </w:r>
    </w:p>
    <w:p>
      <w:pPr>
        <w:pStyle w:val="FirstParagraph"/>
        <w:rPr/>
      </w:pPr>
      <w:r>
        <w:rPr>
          <w:sz w:val="24"/>
          <w:szCs w:val="24"/>
          <w:lang w:val="en-US" w:eastAsia="en-US" w:bidi="ar-SA"/>
        </w:rPr>
        <w:t>This instrument contains a main body of thirty-seven Articles organized in eleven Parts, followed by eight operative Annexes (Annex A through Annex H). The Annexes form an integral part of this instrument and bind the Parties to the same extent as the Articles.</w:t>
      </w:r>
    </w:p>
    <w:p>
      <w:pPr>
        <w:pStyle w:val="Heading2"/>
        <w:rPr/>
      </w:pPr>
      <w:bookmarkStart w:id="6" w:name="__RefHeading___Toc3549_773522003"/>
      <w:bookmarkStart w:id="7" w:name="the-declaration-of-principles"/>
      <w:bookmarkEnd w:id="6"/>
      <w:r>
        <w:rPr>
          <w:rFonts w:eastAsia="" w:cs="" w:cstheme="majorBidi" w:eastAsiaTheme="majorEastAsia"/>
          <w:b/>
          <w:color w:themeColor="accent1"/>
          <w:sz w:val="28"/>
          <w:szCs w:val="28"/>
          <w:lang w:val="en-US" w:eastAsia="en-US" w:bidi="ar-SA"/>
        </w:rPr>
        <w:t>The Declaration of Principles</w:t>
      </w:r>
    </w:p>
    <w:p>
      <w:pPr>
        <w:pStyle w:val="FirstParagraph"/>
        <w:rPr/>
      </w:pPr>
      <w:r>
        <w:rPr>
          <w:sz w:val="24"/>
          <w:szCs w:val="24"/>
          <w:lang w:val="en-US" w:eastAsia="en-US" w:bidi="ar-SA"/>
        </w:rPr>
        <w:t>Before the Articles, the Parties state what this Agreement protects, in one place and in plain terms. The fifteen lines below constitute the Red Lines Register of Annex F in summary form. Every organ, every officer, and every reader of this Agreement treats this page as the measure of the system: a measure that touches one of these lines proceeds only in the exact form the corresponding safeguard permits, and a measure that crosses one of these lines fails automatically, without further process.</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vAlign w:val="bottom"/>
          </w:tcPr>
          <w:p>
            <w:pPr>
              <w:pStyle w:val="Compact"/>
              <w:widowControl/>
              <w:spacing w:before="36" w:after="36"/>
              <w:jc w:val="left"/>
              <w:rPr>
                <w:rFonts w:ascii="Cambria" w:hAnsi="Cambria" w:eastAsia="Cambria" w:cs=""/>
                <w:kern w:val="0"/>
              </w:rPr>
            </w:pPr>
            <w:r>
              <w:rPr>
                <w:rFonts w:eastAsia="Cambria" w:cs=""/>
                <w:kern w:val="0"/>
                <w:sz w:val="24"/>
                <w:szCs w:val="24"/>
                <w:lang w:val="en-US" w:eastAsia="en-US" w:bidi="ar-SA"/>
              </w:rPr>
              <w:t>Ref</w:t>
            </w:r>
          </w:p>
        </w:tc>
        <w:tc>
          <w:tcPr>
            <w:tcW w:w="4680" w:type="dxa"/>
            <w:tcBorders>
              <w:bottom w:val="single" w:sz="6" w:space="0" w:color="000000"/>
            </w:tcBorders>
            <w:vAlign w:val="bottom"/>
          </w:tcPr>
          <w:p>
            <w:pPr>
              <w:pStyle w:val="Compact"/>
              <w:widowControl/>
              <w:spacing w:before="36" w:after="36"/>
              <w:jc w:val="left"/>
              <w:rPr>
                <w:rFonts w:ascii="Cambria" w:hAnsi="Cambria" w:eastAsia="Cambria" w:cs=""/>
                <w:kern w:val="0"/>
              </w:rPr>
            </w:pPr>
            <w:r>
              <w:rPr>
                <w:rFonts w:eastAsia="Cambria" w:cs=""/>
                <w:kern w:val="0"/>
                <w:sz w:val="24"/>
                <w:szCs w:val="24"/>
                <w:lang w:val="en-US" w:eastAsia="en-US" w:bidi="ar-SA"/>
              </w:rPr>
              <w:t>Principle</w:t>
            </w:r>
          </w:p>
        </w:tc>
      </w:tr>
      <w:tr>
        <w:trPr/>
        <w:tc>
          <w:tcPr>
            <w:tcW w:w="4679" w:type="dxa"/>
            <w:tcBorders/>
          </w:tcPr>
          <w:p>
            <w:pPr>
              <w:pStyle w:val="Compact"/>
              <w:widowControl/>
              <w:spacing w:before="36" w:after="36"/>
              <w:jc w:val="left"/>
              <w:rPr>
                <w:rFonts w:ascii="Cambria" w:hAnsi="Cambria" w:eastAsia="Cambria" w:cs=""/>
                <w:kern w:val="0"/>
              </w:rPr>
            </w:pPr>
            <w:r>
              <w:rPr>
                <w:rFonts w:eastAsia="Cambria" w:cs=""/>
                <w:kern w:val="0"/>
                <w:sz w:val="24"/>
                <w:szCs w:val="24"/>
                <w:lang w:val="en-US" w:eastAsia="en-US" w:bidi="ar-SA"/>
              </w:rPr>
              <w:t>RL-1</w:t>
            </w:r>
          </w:p>
        </w:tc>
        <w:tc>
          <w:tcPr>
            <w:tcW w:w="4680" w:type="dxa"/>
            <w:tcBorders/>
          </w:tcPr>
          <w:p>
            <w:pPr>
              <w:pStyle w:val="Compact"/>
              <w:widowControl/>
              <w:spacing w:before="36" w:after="36"/>
              <w:jc w:val="left"/>
              <w:rPr>
                <w:rFonts w:ascii="Cambria" w:hAnsi="Cambria" w:eastAsia="Cambria" w:cs=""/>
                <w:kern w:val="0"/>
              </w:rPr>
            </w:pPr>
            <w:r>
              <w:rPr>
                <w:rFonts w:eastAsia="Cambria" w:cs=""/>
                <w:kern w:val="0"/>
                <w:sz w:val="24"/>
                <w:szCs w:val="24"/>
                <w:lang w:val="en-US" w:eastAsia="en-US" w:bidi="ar-SA"/>
              </w:rPr>
              <w:t>The Islamic Republic of Iran does not develop, acquire, stockpile, or possess a nuclear weapon, in any form, by any means, at any time.</w:t>
            </w:r>
          </w:p>
        </w:tc>
      </w:tr>
      <w:tr>
        <w:trPr/>
        <w:tc>
          <w:tcPr>
            <w:tcW w:w="4679" w:type="dxa"/>
            <w:tcBorders/>
          </w:tcPr>
          <w:p>
            <w:pPr>
              <w:pStyle w:val="Compact"/>
              <w:widowControl/>
              <w:spacing w:before="36" w:after="36"/>
              <w:jc w:val="left"/>
              <w:rPr>
                <w:rFonts w:ascii="Cambria" w:hAnsi="Cambria" w:eastAsia="Cambria" w:cs=""/>
                <w:kern w:val="0"/>
              </w:rPr>
            </w:pPr>
            <w:r>
              <w:rPr>
                <w:rFonts w:eastAsia="Cambria" w:cs=""/>
                <w:kern w:val="0"/>
                <w:sz w:val="24"/>
                <w:szCs w:val="24"/>
                <w:lang w:val="en-US" w:eastAsia="en-US" w:bidi="ar-SA"/>
              </w:rPr>
              <w:t>RL-2</w:t>
            </w:r>
          </w:p>
        </w:tc>
        <w:tc>
          <w:tcPr>
            <w:tcW w:w="4680" w:type="dxa"/>
            <w:tcBorders/>
          </w:tcPr>
          <w:p>
            <w:pPr>
              <w:pStyle w:val="Compact"/>
              <w:widowControl/>
              <w:spacing w:before="36" w:after="36"/>
              <w:jc w:val="left"/>
              <w:rPr>
                <w:rFonts w:ascii="Cambria" w:hAnsi="Cambria" w:eastAsia="Cambria" w:cs=""/>
                <w:kern w:val="0"/>
              </w:rPr>
            </w:pPr>
            <w:r>
              <w:rPr>
                <w:rFonts w:eastAsia="Cambria" w:cs=""/>
                <w:kern w:val="0"/>
                <w:sz w:val="24"/>
                <w:szCs w:val="24"/>
                <w:lang w:val="en-US" w:eastAsia="en-US" w:bidi="ar-SA"/>
              </w:rPr>
              <w:t>The United States of America does not attack, invade, or conduct military operations against the territory or forces of the Islamic Republic of Iran while Iran performs this Agreement.</w:t>
            </w:r>
          </w:p>
        </w:tc>
      </w:tr>
      <w:tr>
        <w:trPr/>
        <w:tc>
          <w:tcPr>
            <w:tcW w:w="4679" w:type="dxa"/>
            <w:tcBorders/>
          </w:tcPr>
          <w:p>
            <w:pPr>
              <w:pStyle w:val="Compact"/>
              <w:widowControl/>
              <w:spacing w:before="36" w:after="36"/>
              <w:jc w:val="left"/>
              <w:rPr>
                <w:rFonts w:ascii="Cambria" w:hAnsi="Cambria" w:eastAsia="Cambria" w:cs=""/>
                <w:kern w:val="0"/>
              </w:rPr>
            </w:pPr>
            <w:r>
              <w:rPr>
                <w:rFonts w:eastAsia="Cambria" w:cs=""/>
                <w:kern w:val="0"/>
                <w:sz w:val="24"/>
                <w:szCs w:val="24"/>
                <w:lang w:val="en-US" w:eastAsia="en-US" w:bidi="ar-SA"/>
              </w:rPr>
              <w:t>RL-3</w:t>
            </w:r>
          </w:p>
        </w:tc>
        <w:tc>
          <w:tcPr>
            <w:tcW w:w="4680" w:type="dxa"/>
            <w:tcBorders/>
          </w:tcPr>
          <w:p>
            <w:pPr>
              <w:pStyle w:val="Compact"/>
              <w:widowControl/>
              <w:spacing w:before="36" w:after="36"/>
              <w:jc w:val="left"/>
              <w:rPr>
                <w:rFonts w:ascii="Cambria" w:hAnsi="Cambria" w:eastAsia="Cambria" w:cs=""/>
                <w:kern w:val="0"/>
              </w:rPr>
            </w:pPr>
            <w:r>
              <w:rPr>
                <w:rFonts w:eastAsia="Cambria" w:cs=""/>
                <w:kern w:val="0"/>
                <w:sz w:val="24"/>
                <w:szCs w:val="24"/>
                <w:lang w:val="en-US" w:eastAsia="en-US" w:bidi="ar-SA"/>
              </w:rPr>
              <w:t>Passage through the Strait of Hormuz carries no transit toll, passage fee, or mandatory charge as a condition of passage, in any corridor, for any vessel, under any label, ever.</w:t>
            </w:r>
          </w:p>
        </w:tc>
      </w:tr>
      <w:tr>
        <w:trPr/>
        <w:tc>
          <w:tcPr>
            <w:tcW w:w="4679" w:type="dxa"/>
            <w:tcBorders/>
          </w:tcPr>
          <w:p>
            <w:pPr>
              <w:pStyle w:val="Compact"/>
              <w:widowControl/>
              <w:spacing w:before="36" w:after="36"/>
              <w:jc w:val="left"/>
              <w:rPr>
                <w:rFonts w:ascii="Cambria" w:hAnsi="Cambria" w:eastAsia="Cambria" w:cs=""/>
                <w:kern w:val="0"/>
              </w:rPr>
            </w:pPr>
            <w:r>
              <w:rPr>
                <w:rFonts w:eastAsia="Cambria" w:cs=""/>
                <w:kern w:val="0"/>
                <w:sz w:val="24"/>
                <w:szCs w:val="24"/>
                <w:lang w:val="en-US" w:eastAsia="en-US" w:bidi="ar-SA"/>
              </w:rPr>
              <w:t>RL-4</w:t>
            </w:r>
          </w:p>
        </w:tc>
        <w:tc>
          <w:tcPr>
            <w:tcW w:w="4680" w:type="dxa"/>
            <w:tcBorders/>
          </w:tcPr>
          <w:p>
            <w:pPr>
              <w:pStyle w:val="Compact"/>
              <w:widowControl/>
              <w:spacing w:before="36" w:after="36"/>
              <w:jc w:val="left"/>
              <w:rPr>
                <w:rFonts w:ascii="Cambria" w:hAnsi="Cambria" w:eastAsia="Cambria" w:cs=""/>
                <w:kern w:val="0"/>
              </w:rPr>
            </w:pPr>
            <w:r>
              <w:rPr>
                <w:rFonts w:eastAsia="Cambria" w:cs=""/>
                <w:kern w:val="0"/>
                <w:sz w:val="24"/>
                <w:szCs w:val="24"/>
                <w:lang w:val="en-US" w:eastAsia="en-US" w:bidi="ar-SA"/>
              </w:rPr>
              <w:t>Verification access under Part IV is continuous, technical, and insulated from political dispute; a monitoring gap triggers automatic protective suspension of the affected relief, never military escalation.</w:t>
            </w:r>
          </w:p>
        </w:tc>
      </w:tr>
      <w:tr>
        <w:trPr/>
        <w:tc>
          <w:tcPr>
            <w:tcW w:w="4679" w:type="dxa"/>
            <w:tcBorders/>
          </w:tcPr>
          <w:p>
            <w:pPr>
              <w:pStyle w:val="Compact"/>
              <w:widowControl/>
              <w:spacing w:before="36" w:after="36"/>
              <w:jc w:val="left"/>
              <w:rPr>
                <w:rFonts w:ascii="Cambria" w:hAnsi="Cambria" w:eastAsia="Cambria" w:cs=""/>
                <w:kern w:val="0"/>
              </w:rPr>
            </w:pPr>
            <w:r>
              <w:rPr>
                <w:rFonts w:eastAsia="Cambria" w:cs=""/>
                <w:kern w:val="0"/>
                <w:sz w:val="24"/>
                <w:szCs w:val="24"/>
                <w:lang w:val="en-US" w:eastAsia="en-US" w:bidi="ar-SA"/>
              </w:rPr>
              <w:t>RL-5</w:t>
            </w:r>
          </w:p>
        </w:tc>
        <w:tc>
          <w:tcPr>
            <w:tcW w:w="4680" w:type="dxa"/>
            <w:tcBorders/>
          </w:tcPr>
          <w:p>
            <w:pPr>
              <w:pStyle w:val="Compact"/>
              <w:widowControl/>
              <w:spacing w:before="36" w:after="36"/>
              <w:jc w:val="left"/>
              <w:rPr>
                <w:rFonts w:ascii="Cambria" w:hAnsi="Cambria" w:eastAsia="Cambria" w:cs=""/>
                <w:kern w:val="0"/>
              </w:rPr>
            </w:pPr>
            <w:r>
              <w:rPr>
                <w:rFonts w:eastAsia="Cambria" w:cs=""/>
                <w:kern w:val="0"/>
                <w:sz w:val="24"/>
                <w:szCs w:val="24"/>
                <w:lang w:val="en-US" w:eastAsia="en-US" w:bidi="ar-SA"/>
              </w:rPr>
              <w:t>Sanctions relief under Part VI banks permanently upon verified performance; no relief once banked reverses except through the Step-Back and Earn-Back engine of Article 32.</w:t>
            </w:r>
          </w:p>
        </w:tc>
      </w:tr>
      <w:tr>
        <w:trPr/>
        <w:tc>
          <w:tcPr>
            <w:tcW w:w="4679" w:type="dxa"/>
            <w:tcBorders/>
          </w:tcPr>
          <w:p>
            <w:pPr>
              <w:pStyle w:val="Compact"/>
              <w:widowControl/>
              <w:spacing w:before="36" w:after="36"/>
              <w:jc w:val="left"/>
              <w:rPr>
                <w:rFonts w:ascii="Cambria" w:hAnsi="Cambria" w:eastAsia="Cambria" w:cs=""/>
                <w:kern w:val="0"/>
              </w:rPr>
            </w:pPr>
            <w:r>
              <w:rPr>
                <w:rFonts w:eastAsia="Cambria" w:cs=""/>
                <w:kern w:val="0"/>
                <w:sz w:val="24"/>
                <w:szCs w:val="24"/>
                <w:lang w:val="en-US" w:eastAsia="en-US" w:bidi="ar-SA"/>
              </w:rPr>
              <w:t>RL-6</w:t>
            </w:r>
          </w:p>
        </w:tc>
        <w:tc>
          <w:tcPr>
            <w:tcW w:w="4680" w:type="dxa"/>
            <w:tcBorders/>
          </w:tcPr>
          <w:p>
            <w:pPr>
              <w:pStyle w:val="Compact"/>
              <w:widowControl/>
              <w:spacing w:before="36" w:after="36"/>
              <w:jc w:val="left"/>
              <w:rPr>
                <w:rFonts w:ascii="Cambria" w:hAnsi="Cambria" w:eastAsia="Cambria" w:cs=""/>
                <w:kern w:val="0"/>
              </w:rPr>
            </w:pPr>
            <w:r>
              <w:rPr>
                <w:rFonts w:eastAsia="Cambria" w:cs=""/>
                <w:kern w:val="0"/>
                <w:sz w:val="24"/>
                <w:szCs w:val="24"/>
                <w:lang w:val="en-US" w:eastAsia="en-US" w:bidi="ar-SA"/>
              </w:rPr>
              <w:t>Frozen sovereign assets, once released under Part VI, move through the neutral Hormuz Account structure and are not subject to re-freeze except through the same engine.</w:t>
            </w:r>
          </w:p>
        </w:tc>
      </w:tr>
      <w:tr>
        <w:trPr/>
        <w:tc>
          <w:tcPr>
            <w:tcW w:w="4679" w:type="dxa"/>
            <w:tcBorders/>
          </w:tcPr>
          <w:p>
            <w:pPr>
              <w:pStyle w:val="Compact"/>
              <w:widowControl/>
              <w:spacing w:before="36" w:after="36"/>
              <w:jc w:val="left"/>
              <w:rPr>
                <w:rFonts w:ascii="Cambria" w:hAnsi="Cambria" w:eastAsia="Cambria" w:cs=""/>
                <w:kern w:val="0"/>
              </w:rPr>
            </w:pPr>
            <w:r>
              <w:rPr>
                <w:rFonts w:eastAsia="Cambria" w:cs=""/>
                <w:kern w:val="0"/>
                <w:sz w:val="24"/>
                <w:szCs w:val="24"/>
                <w:lang w:val="en-US" w:eastAsia="en-US" w:bidi="ar-SA"/>
              </w:rPr>
              <w:t>RL-7</w:t>
            </w:r>
          </w:p>
        </w:tc>
        <w:tc>
          <w:tcPr>
            <w:tcW w:w="4680" w:type="dxa"/>
            <w:tcBorders/>
          </w:tcPr>
          <w:p>
            <w:pPr>
              <w:pStyle w:val="Compact"/>
              <w:widowControl/>
              <w:spacing w:before="36" w:after="36"/>
              <w:jc w:val="left"/>
              <w:rPr>
                <w:rFonts w:ascii="Cambria" w:hAnsi="Cambria" w:eastAsia="Cambria" w:cs=""/>
                <w:kern w:val="0"/>
              </w:rPr>
            </w:pPr>
            <w:r>
              <w:rPr>
                <w:rFonts w:eastAsia="Cambria" w:cs=""/>
                <w:kern w:val="0"/>
                <w:sz w:val="24"/>
                <w:szCs w:val="24"/>
                <w:lang w:val="en-US" w:eastAsia="en-US" w:bidi="ar-SA"/>
              </w:rPr>
              <w:t>Humanitarian flows — food, medicine, medical equipment, and agricultural goods — move first, under every condition, without exception, and are exempt from every step-back, suspension, and dispute outcome.</w:t>
            </w:r>
          </w:p>
        </w:tc>
      </w:tr>
      <w:tr>
        <w:trPr/>
        <w:tc>
          <w:tcPr>
            <w:tcW w:w="4679" w:type="dxa"/>
            <w:tcBorders/>
          </w:tcPr>
          <w:p>
            <w:pPr>
              <w:pStyle w:val="Compact"/>
              <w:widowControl/>
              <w:spacing w:before="36" w:after="36"/>
              <w:jc w:val="left"/>
              <w:rPr>
                <w:rFonts w:ascii="Cambria" w:hAnsi="Cambria" w:eastAsia="Cambria" w:cs=""/>
                <w:kern w:val="0"/>
              </w:rPr>
            </w:pPr>
            <w:r>
              <w:rPr>
                <w:rFonts w:eastAsia="Cambria" w:cs=""/>
                <w:kern w:val="0"/>
                <w:sz w:val="24"/>
                <w:szCs w:val="24"/>
                <w:lang w:val="en-US" w:eastAsia="en-US" w:bidi="ar-SA"/>
              </w:rPr>
              <w:t>RL-8</w:t>
            </w:r>
          </w:p>
        </w:tc>
        <w:tc>
          <w:tcPr>
            <w:tcW w:w="4680" w:type="dxa"/>
            <w:tcBorders/>
          </w:tcPr>
          <w:p>
            <w:pPr>
              <w:pStyle w:val="Compact"/>
              <w:widowControl/>
              <w:spacing w:before="36" w:after="36"/>
              <w:jc w:val="left"/>
              <w:rPr>
                <w:rFonts w:ascii="Cambria" w:hAnsi="Cambria" w:eastAsia="Cambria" w:cs=""/>
                <w:kern w:val="0"/>
              </w:rPr>
            </w:pPr>
            <w:r>
              <w:rPr>
                <w:rFonts w:eastAsia="Cambria" w:cs=""/>
                <w:kern w:val="0"/>
                <w:sz w:val="24"/>
                <w:szCs w:val="24"/>
                <w:lang w:val="en-US" w:eastAsia="en-US" w:bidi="ar-SA"/>
              </w:rPr>
              <w:t>Neither Party conditions progress on this Agreement on progress in any other negotiation track, including the bilateral Iran-Oman corridor instruments and the regional stewardship charter.</w:t>
            </w:r>
          </w:p>
        </w:tc>
      </w:tr>
      <w:tr>
        <w:trPr/>
        <w:tc>
          <w:tcPr>
            <w:tcW w:w="4679" w:type="dxa"/>
            <w:tcBorders/>
          </w:tcPr>
          <w:p>
            <w:pPr>
              <w:pStyle w:val="Compact"/>
              <w:widowControl/>
              <w:spacing w:before="36" w:after="36"/>
              <w:jc w:val="left"/>
              <w:rPr>
                <w:rFonts w:ascii="Cambria" w:hAnsi="Cambria" w:eastAsia="Cambria" w:cs=""/>
                <w:kern w:val="0"/>
              </w:rPr>
            </w:pPr>
            <w:r>
              <w:rPr>
                <w:rFonts w:eastAsia="Cambria" w:cs=""/>
                <w:kern w:val="0"/>
                <w:sz w:val="24"/>
                <w:szCs w:val="24"/>
                <w:lang w:val="en-US" w:eastAsia="en-US" w:bidi="ar-SA"/>
              </w:rPr>
              <w:t>RL-9</w:t>
            </w:r>
          </w:p>
        </w:tc>
        <w:tc>
          <w:tcPr>
            <w:tcW w:w="4680" w:type="dxa"/>
            <w:tcBorders/>
          </w:tcPr>
          <w:p>
            <w:pPr>
              <w:pStyle w:val="Compact"/>
              <w:widowControl/>
              <w:spacing w:before="36" w:after="36"/>
              <w:jc w:val="left"/>
              <w:rPr>
                <w:rFonts w:ascii="Cambria" w:hAnsi="Cambria" w:eastAsia="Cambria" w:cs=""/>
                <w:kern w:val="0"/>
              </w:rPr>
            </w:pPr>
            <w:r>
              <w:rPr>
                <w:rFonts w:eastAsia="Cambria" w:cs=""/>
                <w:kern w:val="0"/>
                <w:sz w:val="24"/>
                <w:szCs w:val="24"/>
                <w:lang w:val="en-US" w:eastAsia="en-US" w:bidi="ar-SA"/>
              </w:rPr>
              <w:t>The ballistic missile provisions of Part V preserve legitimate self-defense capability; the framework excludes regime-change objectives from its operative text.</w:t>
            </w:r>
          </w:p>
        </w:tc>
      </w:tr>
      <w:tr>
        <w:trPr/>
        <w:tc>
          <w:tcPr>
            <w:tcW w:w="4679" w:type="dxa"/>
            <w:tcBorders/>
          </w:tcPr>
          <w:p>
            <w:pPr>
              <w:pStyle w:val="Compact"/>
              <w:widowControl/>
              <w:spacing w:before="36" w:after="36"/>
              <w:jc w:val="left"/>
              <w:rPr>
                <w:rFonts w:ascii="Cambria" w:hAnsi="Cambria" w:eastAsia="Cambria" w:cs=""/>
                <w:kern w:val="0"/>
              </w:rPr>
            </w:pPr>
            <w:r>
              <w:rPr>
                <w:rFonts w:eastAsia="Cambria" w:cs=""/>
                <w:kern w:val="0"/>
                <w:sz w:val="24"/>
                <w:szCs w:val="24"/>
                <w:lang w:val="en-US" w:eastAsia="en-US" w:bidi="ar-SA"/>
              </w:rPr>
              <w:t>RL-10</w:t>
            </w:r>
          </w:p>
        </w:tc>
        <w:tc>
          <w:tcPr>
            <w:tcW w:w="4680" w:type="dxa"/>
            <w:tcBorders/>
          </w:tcPr>
          <w:p>
            <w:pPr>
              <w:pStyle w:val="Compact"/>
              <w:widowControl/>
              <w:spacing w:before="36" w:after="36"/>
              <w:jc w:val="left"/>
              <w:rPr>
                <w:rFonts w:ascii="Cambria" w:hAnsi="Cambria" w:eastAsia="Cambria" w:cs=""/>
                <w:kern w:val="0"/>
              </w:rPr>
            </w:pPr>
            <w:r>
              <w:rPr>
                <w:rFonts w:eastAsia="Cambria" w:cs=""/>
                <w:kern w:val="0"/>
                <w:sz w:val="24"/>
                <w:szCs w:val="24"/>
                <w:lang w:val="en-US" w:eastAsia="en-US" w:bidi="ar-SA"/>
              </w:rPr>
              <w:t>Economic penalties never authorize force. The compliance architecture of Part XI is structurally decoupled from military escalation.</w:t>
            </w:r>
          </w:p>
        </w:tc>
      </w:tr>
      <w:tr>
        <w:trPr/>
        <w:tc>
          <w:tcPr>
            <w:tcW w:w="4679" w:type="dxa"/>
            <w:tcBorders/>
          </w:tcPr>
          <w:p>
            <w:pPr>
              <w:pStyle w:val="Compact"/>
              <w:widowControl/>
              <w:spacing w:before="36" w:after="36"/>
              <w:jc w:val="left"/>
              <w:rPr>
                <w:rFonts w:ascii="Cambria" w:hAnsi="Cambria" w:eastAsia="Cambria" w:cs=""/>
                <w:kern w:val="0"/>
              </w:rPr>
            </w:pPr>
            <w:r>
              <w:rPr>
                <w:rFonts w:eastAsia="Cambria" w:cs=""/>
                <w:kern w:val="0"/>
                <w:sz w:val="24"/>
                <w:szCs w:val="24"/>
                <w:lang w:val="en-US" w:eastAsia="en-US" w:bidi="ar-SA"/>
              </w:rPr>
              <w:t>RL-11</w:t>
            </w:r>
          </w:p>
        </w:tc>
        <w:tc>
          <w:tcPr>
            <w:tcW w:w="4680" w:type="dxa"/>
            <w:tcBorders/>
          </w:tcPr>
          <w:p>
            <w:pPr>
              <w:pStyle w:val="Compact"/>
              <w:widowControl/>
              <w:spacing w:before="36" w:after="36"/>
              <w:jc w:val="left"/>
              <w:rPr>
                <w:rFonts w:ascii="Cambria" w:hAnsi="Cambria" w:eastAsia="Cambria" w:cs=""/>
                <w:kern w:val="0"/>
              </w:rPr>
            </w:pPr>
            <w:r>
              <w:rPr>
                <w:rFonts w:eastAsia="Cambria" w:cs=""/>
                <w:kern w:val="0"/>
                <w:sz w:val="24"/>
                <w:szCs w:val="24"/>
                <w:lang w:val="en-US" w:eastAsia="en-US" w:bidi="ar-SA"/>
              </w:rPr>
              <w:t>Attribution requires evidence. The False-Flag Protocol of Article 33 excludes unattributed or falsely attributed incidents from the compliance engine.</w:t>
            </w:r>
          </w:p>
        </w:tc>
      </w:tr>
      <w:tr>
        <w:trPr/>
        <w:tc>
          <w:tcPr>
            <w:tcW w:w="4679" w:type="dxa"/>
            <w:tcBorders/>
          </w:tcPr>
          <w:p>
            <w:pPr>
              <w:pStyle w:val="Compact"/>
              <w:widowControl/>
              <w:spacing w:before="36" w:after="36"/>
              <w:jc w:val="left"/>
              <w:rPr>
                <w:rFonts w:ascii="Cambria" w:hAnsi="Cambria" w:eastAsia="Cambria" w:cs=""/>
                <w:kern w:val="0"/>
              </w:rPr>
            </w:pPr>
            <w:r>
              <w:rPr>
                <w:rFonts w:eastAsia="Cambria" w:cs=""/>
                <w:kern w:val="0"/>
                <w:sz w:val="24"/>
                <w:szCs w:val="24"/>
                <w:lang w:val="en-US" w:eastAsia="en-US" w:bidi="ar-SA"/>
              </w:rPr>
              <w:t>RL-12</w:t>
            </w:r>
          </w:p>
        </w:tc>
        <w:tc>
          <w:tcPr>
            <w:tcW w:w="4680" w:type="dxa"/>
            <w:tcBorders/>
          </w:tcPr>
          <w:p>
            <w:pPr>
              <w:pStyle w:val="Compact"/>
              <w:widowControl/>
              <w:spacing w:before="36" w:after="36"/>
              <w:jc w:val="left"/>
              <w:rPr>
                <w:rFonts w:ascii="Cambria" w:hAnsi="Cambria" w:eastAsia="Cambria" w:cs=""/>
                <w:kern w:val="0"/>
              </w:rPr>
            </w:pPr>
            <w:r>
              <w:rPr>
                <w:rFonts w:eastAsia="Cambria" w:cs=""/>
                <w:kern w:val="0"/>
                <w:sz w:val="24"/>
                <w:szCs w:val="24"/>
                <w:lang w:val="en-US" w:eastAsia="en-US" w:bidi="ar-SA"/>
              </w:rPr>
              <w:t>Earn-back is always available. No violation creates permanent exclusion from the benefits of this Agreement.</w:t>
            </w:r>
          </w:p>
        </w:tc>
      </w:tr>
      <w:tr>
        <w:trPr/>
        <w:tc>
          <w:tcPr>
            <w:tcW w:w="4679" w:type="dxa"/>
            <w:tcBorders/>
          </w:tcPr>
          <w:p>
            <w:pPr>
              <w:pStyle w:val="Compact"/>
              <w:widowControl/>
              <w:spacing w:before="36" w:after="36"/>
              <w:jc w:val="left"/>
              <w:rPr>
                <w:rFonts w:ascii="Cambria" w:hAnsi="Cambria" w:eastAsia="Cambria" w:cs=""/>
                <w:kern w:val="0"/>
              </w:rPr>
            </w:pPr>
            <w:r>
              <w:rPr>
                <w:rFonts w:eastAsia="Cambria" w:cs=""/>
                <w:kern w:val="0"/>
                <w:sz w:val="24"/>
                <w:szCs w:val="24"/>
                <w:lang w:val="en-US" w:eastAsia="en-US" w:bidi="ar-SA"/>
              </w:rPr>
              <w:t>RL-13</w:t>
            </w:r>
          </w:p>
        </w:tc>
        <w:tc>
          <w:tcPr>
            <w:tcW w:w="4680" w:type="dxa"/>
            <w:tcBorders/>
          </w:tcPr>
          <w:p>
            <w:pPr>
              <w:pStyle w:val="Compact"/>
              <w:widowControl/>
              <w:spacing w:before="36" w:after="36"/>
              <w:jc w:val="left"/>
              <w:rPr>
                <w:rFonts w:ascii="Cambria" w:hAnsi="Cambria" w:eastAsia="Cambria" w:cs=""/>
                <w:kern w:val="0"/>
              </w:rPr>
            </w:pPr>
            <w:r>
              <w:rPr>
                <w:rFonts w:eastAsia="Cambria" w:cs=""/>
                <w:kern w:val="0"/>
                <w:sz w:val="24"/>
                <w:szCs w:val="24"/>
                <w:lang w:val="en-US" w:eastAsia="en-US" w:bidi="ar-SA"/>
              </w:rPr>
              <w:t>Human judgment sits above automation. Technical systems inform; designated human officers decide.</w:t>
            </w:r>
          </w:p>
        </w:tc>
      </w:tr>
      <w:tr>
        <w:trPr/>
        <w:tc>
          <w:tcPr>
            <w:tcW w:w="4679" w:type="dxa"/>
            <w:tcBorders/>
          </w:tcPr>
          <w:p>
            <w:pPr>
              <w:pStyle w:val="Compact"/>
              <w:widowControl/>
              <w:spacing w:before="36" w:after="36"/>
              <w:jc w:val="left"/>
              <w:rPr>
                <w:rFonts w:ascii="Cambria" w:hAnsi="Cambria" w:eastAsia="Cambria" w:cs=""/>
                <w:kern w:val="0"/>
              </w:rPr>
            </w:pPr>
            <w:r>
              <w:rPr>
                <w:rFonts w:eastAsia="Cambria" w:cs=""/>
                <w:kern w:val="0"/>
                <w:sz w:val="24"/>
                <w:szCs w:val="24"/>
                <w:lang w:val="en-US" w:eastAsia="en-US" w:bidi="ar-SA"/>
              </w:rPr>
              <w:t>RL-14</w:t>
            </w:r>
          </w:p>
        </w:tc>
        <w:tc>
          <w:tcPr>
            <w:tcW w:w="4680" w:type="dxa"/>
            <w:tcBorders/>
          </w:tcPr>
          <w:p>
            <w:pPr>
              <w:pStyle w:val="Compact"/>
              <w:widowControl/>
              <w:spacing w:before="36" w:after="36"/>
              <w:jc w:val="left"/>
              <w:rPr>
                <w:rFonts w:ascii="Cambria" w:hAnsi="Cambria" w:eastAsia="Cambria" w:cs=""/>
                <w:kern w:val="0"/>
              </w:rPr>
            </w:pPr>
            <w:r>
              <w:rPr>
                <w:rFonts w:eastAsia="Cambria" w:cs=""/>
                <w:kern w:val="0"/>
                <w:sz w:val="24"/>
                <w:szCs w:val="24"/>
                <w:lang w:val="en-US" w:eastAsia="en-US" w:bidi="ar-SA"/>
              </w:rPr>
              <w:t>Cooling-off prevents heat-of-moment escalation. Every suspension pauses for forty-eight hours of mandatory consultation before taking effect, save only the automatic protective suspension of RL-4.</w:t>
            </w:r>
          </w:p>
        </w:tc>
      </w:tr>
      <w:tr>
        <w:trPr/>
        <w:tc>
          <w:tcPr>
            <w:tcW w:w="4679" w:type="dxa"/>
            <w:tcBorders/>
          </w:tcPr>
          <w:p>
            <w:pPr>
              <w:pStyle w:val="Compact"/>
              <w:widowControl/>
              <w:spacing w:before="36" w:after="36"/>
              <w:jc w:val="left"/>
              <w:rPr>
                <w:rFonts w:ascii="Cambria" w:hAnsi="Cambria" w:eastAsia="Cambria" w:cs=""/>
                <w:kern w:val="0"/>
              </w:rPr>
            </w:pPr>
            <w:r>
              <w:rPr>
                <w:rFonts w:eastAsia="Cambria" w:cs=""/>
                <w:kern w:val="0"/>
                <w:sz w:val="24"/>
                <w:szCs w:val="24"/>
                <w:lang w:val="en-US" w:eastAsia="en-US" w:bidi="ar-SA"/>
              </w:rPr>
              <w:t>RL-15</w:t>
            </w:r>
          </w:p>
        </w:tc>
        <w:tc>
          <w:tcPr>
            <w:tcW w:w="4680" w:type="dxa"/>
            <w:tcBorders/>
          </w:tcPr>
          <w:p>
            <w:pPr>
              <w:pStyle w:val="Compact"/>
              <w:widowControl/>
              <w:spacing w:before="36" w:after="36"/>
              <w:jc w:val="left"/>
              <w:rPr>
                <w:rFonts w:ascii="Cambria" w:hAnsi="Cambria" w:eastAsia="Cambria" w:cs=""/>
                <w:kern w:val="0"/>
              </w:rPr>
            </w:pPr>
            <w:r>
              <w:rPr>
                <w:rFonts w:eastAsia="Cambria" w:cs=""/>
                <w:kern w:val="0"/>
                <w:sz w:val="24"/>
                <w:szCs w:val="24"/>
                <w:lang w:val="en-US" w:eastAsia="en-US" w:bidi="ar-SA"/>
              </w:rPr>
              <w:t>The Agreement serves the sovereignty and dignity of both nations equally; no provision subordinates one Party’s sovereign equality to the other.</w:t>
            </w:r>
          </w:p>
        </w:tc>
      </w:tr>
    </w:tbl>
    <w:p>
      <w:pPr>
        <w:pStyle w:val="Normal"/>
        <w:rPr/>
      </w:pPr>
      <w:bookmarkStart w:id="8" w:name="X99a30c69e15cf8aed38d0c55c47dbbcdffac66e"/>
      <w:bookmarkStart w:id="9" w:name="the-declaration-of-principles"/>
      <w:r>
        <w:rPr/>
        <mc:AlternateContent>
          <mc:Choice Requires="wps">
            <w:drawing>
              <wp:inline distT="0" distB="0" distL="0" distR="0">
                <wp:extent cx="635" cy="19050"/>
                <wp:effectExtent l="0" t="0" r="0" b="0"/>
                <wp:docPr id="1" name=""/>
                <a:graphic xmlns:a="http://schemas.openxmlformats.org/drawingml/2006/main">
                  <a:graphicData uri="http://schemas.microsoft.com/office/word/2010/wordprocessingShape">
                    <wps:wsp>
                      <wps:cNvSpPr/>
                      <wps:nvSpPr>
                        <wps:cNvPr id="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8"/>
      <w:bookmarkEnd w:id="9"/>
    </w:p>
    <w:p>
      <w:pPr>
        <w:pStyle w:val="Heading1"/>
        <w:rPr/>
      </w:pPr>
      <w:bookmarkStart w:id="10" w:name="__RefHeading___Toc3551_773522003"/>
      <w:bookmarkEnd w:id="10"/>
      <w:r>
        <w:rPr>
          <w:rFonts w:eastAsia="" w:cs="" w:cstheme="majorBidi" w:eastAsiaTheme="majorEastAsia"/>
          <w:b/>
          <w:color w:themeColor="accent1"/>
          <w:sz w:val="32"/>
          <w:szCs w:val="32"/>
          <w:lang w:val="en-US" w:eastAsia="en-US" w:bidi="ar-SA"/>
        </w:rPr>
        <w:t>Reader’s Guide and Negotiating History</w:t>
      </w:r>
    </w:p>
    <w:p>
      <w:pPr>
        <w:pStyle w:val="Heading2"/>
        <w:rPr/>
      </w:pPr>
      <w:bookmarkStart w:id="11" w:name="__RefHeading___Toc3553_773522003"/>
      <w:bookmarkStart w:id="12" w:name="how-to-read-this-agreement"/>
      <w:bookmarkEnd w:id="11"/>
      <w:r>
        <w:rPr>
          <w:rFonts w:eastAsia="" w:cs="" w:cstheme="majorBidi" w:eastAsiaTheme="majorEastAsia"/>
          <w:b/>
          <w:color w:themeColor="accent1"/>
          <w:sz w:val="28"/>
          <w:szCs w:val="28"/>
          <w:lang w:val="en-US" w:eastAsia="en-US" w:bidi="ar-SA"/>
        </w:rPr>
        <w:t>How to Read This Agreement</w:t>
      </w:r>
    </w:p>
    <w:p>
      <w:pPr>
        <w:pStyle w:val="FirstParagraph"/>
        <w:rPr/>
      </w:pPr>
      <w:r>
        <w:rPr>
          <w:sz w:val="24"/>
          <w:szCs w:val="24"/>
          <w:lang w:val="en-US" w:eastAsia="en-US" w:bidi="ar-SA"/>
        </w:rPr>
        <w:t>This instrument is built as an architecture, not a list. Its load-bearing elements are five: the Continuity Principle, under which nothing expires by time alone; the Banking Ledger, under which verified performance vests permanently; the Compliance Engine, under which correction runs through evidence, tiering, cooling-off, and earn-back rather than through demolition; the Partial Success Doctrine, under which each of the seven tracks survives the troubles of every other; and the Red Lines Register, under which fifteen fundamentals are structurally protected from every organ and every reader, including the Parties themselves.</w:t>
      </w:r>
    </w:p>
    <w:p>
      <w:pPr>
        <w:pStyle w:val="FirstParagraph"/>
        <w:rPr/>
      </w:pPr>
      <w:bookmarkStart w:id="13" w:name="how-to-read-this-agreement"/>
      <w:r>
        <w:rPr>
          <w:sz w:val="24"/>
          <w:szCs w:val="24"/>
          <w:lang w:val="en-US" w:eastAsia="en-US" w:bidi="ar-SA"/>
        </w:rPr>
        <w:t>A reader seeking the bargain in one sentence finds it here: Iran accepts a permanently verified end to any path toward a nuclear weapon, a proportionate missile posture, and conduct-based regional restraints; the United States accepts the permanent end of the war, the blockade, and the sanctions architecture, a recognized Iranian role in Strait governance without tolls, and the largest reconstruction settlement in the region’s history — and both nations accept that the settlement is engineered so that keeping it is always easier than breaking it.</w:t>
      </w:r>
      <w:bookmarkEnd w:id="13"/>
    </w:p>
    <w:p>
      <w:pPr>
        <w:pStyle w:val="Heading2"/>
        <w:rPr/>
      </w:pPr>
      <w:bookmarkStart w:id="14" w:name="__RefHeading___Toc3555_773522003"/>
      <w:bookmarkStart w:id="15" w:name="Xebb42f184fe8ec1d878bb184f522afbc5f00d95"/>
      <w:bookmarkEnd w:id="14"/>
      <w:r>
        <w:rPr>
          <w:rFonts w:eastAsia="" w:cs="" w:cstheme="majorBidi" w:eastAsiaTheme="majorEastAsia"/>
          <w:b/>
          <w:color w:themeColor="accent1"/>
          <w:sz w:val="28"/>
          <w:szCs w:val="28"/>
          <w:lang w:val="en-US" w:eastAsia="en-US" w:bidi="ar-SA"/>
        </w:rPr>
        <w:t>The Negotiating Record This Agreement Completes</w:t>
      </w:r>
    </w:p>
    <w:p>
      <w:pPr>
        <w:pStyle w:val="FirstParagraph"/>
        <w:rPr/>
      </w:pPr>
      <w:r>
        <w:rPr>
          <w:sz w:val="24"/>
          <w:szCs w:val="24"/>
          <w:lang w:val="en-US" w:eastAsia="en-US" w:bidi="ar-SA"/>
        </w:rPr>
        <w:t>The Agreement stands on a documented record. The Pakistan-mediated ceasefire of 8 April 2026 halted five weeks of open war. The Islamabad talks of 11–12 April 2026, led on the United States side by the Vice President, constituted the senior-most engagement between the two nations since 1979 and established that every file save the nuclear file approached agreement. The United States blockade of Iranian ports and the maritime escort program of May 2026 tested the settlement’s outer edge. The Islamabad Memorandum of Understanding of 17 June 2026, signed by the two Presidents, fixed the fourteen-point foundation: permanent termination of operations on all fronts; no Iranian nuclear weapon; blockade lifted; safe passage restored; oil sanctions lifted; frozen assets addressed; a reconstruction program; a sanctions-lifting process; IAEA-supervised disposition of enriched material; a sixty-day window; and final endorsement by the UN Security Council. The Lake Lucerne implementation talks converted the memorandum into machinery, constituting the High Level Committee that this Agreement’s Joint Implementation Commission absorbs.</w:t>
      </w:r>
    </w:p>
    <w:p>
      <w:pPr>
        <w:pStyle w:val="FirstParagraph"/>
        <w:rPr/>
      </w:pPr>
      <w:bookmarkStart w:id="16" w:name="Xebb42f184fe8ec1d878bb184f522afbc5f00d95"/>
      <w:r>
        <w:rPr>
          <w:sz w:val="24"/>
          <w:szCs w:val="24"/>
          <w:lang w:val="en-US" w:eastAsia="en-US" w:bidi="ar-SA"/>
        </w:rPr>
        <w:t>Within the window, the Parties narrowed four questions to their operative core: how long enrichment suspends and into what it converts; where the surviving stockpile goes and by what method; what verification persuades two wounded nations; and what the Strait of Hormuz is, permanently, in law. This Agreement answers each: the suspension converts into the multinational Consortium on Omani soil with Iranian participation; the stockpile disposes by down-blending on site under Agency supervision, with a removal track elected segment by segment; verification installs the strongest regime applied to any non-nuclear-weapon state, insulated from politics and priced into a standing fund; and the Strait settles as a two-corridor coastal-state administration inside a regional consortium, with passage free of tolls forever.</w:t>
      </w:r>
      <w:bookmarkEnd w:id="16"/>
    </w:p>
    <w:p>
      <w:pPr>
        <w:pStyle w:val="Heading2"/>
        <w:rPr/>
      </w:pPr>
      <w:bookmarkStart w:id="17" w:name="__RefHeading___Toc3557_773522003"/>
      <w:bookmarkEnd w:id="17"/>
      <w:r>
        <w:rPr>
          <w:rFonts w:eastAsia="" w:cs="" w:cstheme="majorBidi" w:eastAsiaTheme="majorEastAsia"/>
          <w:b/>
          <w:color w:themeColor="accent1"/>
          <w:sz w:val="28"/>
          <w:szCs w:val="28"/>
          <w:lang w:val="en-US" w:eastAsia="en-US" w:bidi="ar-SA"/>
        </w:rPr>
        <w:t>What This Agreement Deliberately Does Not Do</w:t>
      </w:r>
    </w:p>
    <w:p>
      <w:pPr>
        <w:pStyle w:val="FirstParagraph"/>
        <w:rPr/>
      </w:pPr>
      <w:r>
        <w:rPr>
          <w:sz w:val="24"/>
          <w:szCs w:val="24"/>
          <w:lang w:val="en-US" w:eastAsia="en-US" w:bidi="ar-SA"/>
        </w:rPr>
        <w:t>It does not adjudicate the past. It does not condition one track on another. It does not contain a snapback, a sunset, or a permission slip for transit. It does not promise regime change in either country, and it does not subordinate one nation’s dignity to the other’s. It does not bind Israel, the Gulf states, or any non-party, though it opens a guarantor path to each. And it does not pretend that compliance is automatic: it builds, instead, the most carefully engineered correction machinery the two nations have ever shared, on the premise that the peace must survive its worst day, not merely enjoy its best.</w:t>
      </w:r>
    </w:p>
    <w:p>
      <w:pPr>
        <w:pStyle w:val="Normal"/>
        <w:rPr/>
      </w:pPr>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1"/>
        <w:rPr/>
      </w:pPr>
      <w:bookmarkStart w:id="18" w:name="__RefHeading___Toc3559_773522003"/>
      <w:bookmarkStart w:id="19" w:name="X95cba218a627a4bf3b324c79c5eab9023c0511a"/>
      <w:bookmarkEnd w:id="18"/>
      <w:r>
        <w:rPr>
          <w:rFonts w:eastAsia="" w:cs="" w:cstheme="majorBidi" w:eastAsiaTheme="majorEastAsia"/>
          <w:b/>
          <w:color w:themeColor="accent1"/>
          <w:sz w:val="32"/>
          <w:szCs w:val="32"/>
          <w:lang w:val="en-US" w:eastAsia="en-US" w:bidi="ar-SA"/>
        </w:rPr>
        <w:t>Part I — Foundations, Definitions, and Interpretive Law</w:t>
      </w:r>
    </w:p>
    <w:p>
      <w:pPr>
        <w:pStyle w:val="Heading2"/>
        <w:rPr/>
      </w:pPr>
      <w:bookmarkStart w:id="20" w:name="__RefHeading___Toc3561_773522003"/>
      <w:bookmarkStart w:id="21" w:name="article-1-purpose-and-scope"/>
      <w:bookmarkEnd w:id="20"/>
      <w:r>
        <w:rPr>
          <w:rFonts w:eastAsia="" w:cs="" w:cstheme="majorBidi" w:eastAsiaTheme="majorEastAsia"/>
          <w:b/>
          <w:color w:themeColor="accent1"/>
          <w:sz w:val="28"/>
          <w:szCs w:val="28"/>
          <w:lang w:val="en-US" w:eastAsia="en-US" w:bidi="ar-SA"/>
        </w:rPr>
        <w:t>Article 1 — Purpose and Scope</w:t>
      </w:r>
    </w:p>
    <w:p>
      <w:pPr>
        <w:pStyle w:val="Heading3"/>
        <w:rPr/>
      </w:pPr>
      <w:bookmarkStart w:id="22" w:name="purpose"/>
      <w:r>
        <w:rPr>
          <w:rFonts w:eastAsia="" w:cs="" w:cstheme="majorBidi" w:eastAsiaTheme="majorEastAsia"/>
          <w:b/>
          <w:color w:themeColor="accent1"/>
          <w:sz w:val="24"/>
          <w:szCs w:val="24"/>
          <w:lang w:val="en-US" w:eastAsia="en-US" w:bidi="ar-SA"/>
        </w:rPr>
        <w:t>1.1 Purpose</w:t>
      </w:r>
    </w:p>
    <w:p>
      <w:pPr>
        <w:pStyle w:val="FirstParagraph"/>
        <w:rPr/>
      </w:pPr>
      <w:r>
        <w:rPr>
          <w:sz w:val="24"/>
          <w:szCs w:val="24"/>
          <w:lang w:val="en-US" w:eastAsia="en-US" w:bidi="ar-SA"/>
        </w:rPr>
        <w:t>1.1.1 This Agreement constitutes the comprehensive final settlement contemplated by paragraph 3 of the Islamabad Memorandum of Understanding of 17 June 2026. It terminates the state of armed conflict between the United States of America and the Islamic Republic of Iran, resolves the nuclear file, structures the permanent lifting of sanctions, establishes the final status architecture for the Strait of Hormuz in interface with the bilateral and regional instruments, and creates a standing bilateral relationship governed by verification, reciprocity, and law rather than by episodic crisis.</w:t>
      </w:r>
    </w:p>
    <w:p>
      <w:pPr>
        <w:pStyle w:val="FirstParagraph"/>
        <w:rPr/>
      </w:pPr>
      <w:r>
        <w:rPr>
          <w:sz w:val="24"/>
          <w:szCs w:val="24"/>
          <w:lang w:val="en-US" w:eastAsia="en-US" w:bidi="ar-SA"/>
        </w:rPr>
        <w:t>1.1.2 The Agreement resolves, as a single integrated settlement, the four files identified in the negotiation record of the sixty-day window: (a) the permanent termination of military operations on all fronts; (b) the nuclear program, including enrichment, stockpile disposition, and verification; (c) sanctions relief, frozen assets, blockade termination, and economic normalization; and (d) the final status of Strait of Hormuz governance. It addresses, in structured follow-on form, the ballistic missile file and the regional proxy file.</w:t>
      </w:r>
    </w:p>
    <w:p>
      <w:pPr>
        <w:pStyle w:val="TextBody"/>
        <w:rPr/>
      </w:pPr>
      <w:bookmarkStart w:id="23" w:name="purpose"/>
      <w:r>
        <w:rPr/>
        <w:t>1.1.3 The Agreement expresses the mutual recognition that forty-seven years of estrangement, and the war of February to June 2026, serve the interests of neither nation, and that a durable settlement requires an architecture in which each Party’s core security requirement is met by the system’s design rather than by the other Party’s forbearance.</w:t>
      </w:r>
      <w:bookmarkEnd w:id="23"/>
    </w:p>
    <w:p>
      <w:pPr>
        <w:pStyle w:val="Heading3"/>
        <w:rPr/>
      </w:pPr>
      <w:bookmarkStart w:id="24" w:name="scope"/>
      <w:r>
        <w:rPr/>
        <w:t>1.2 Scope</w:t>
      </w:r>
    </w:p>
    <w:p>
      <w:pPr>
        <w:pStyle w:val="FirstParagraph"/>
        <w:rPr/>
      </w:pPr>
      <w:r>
        <w:rPr/>
        <w:t>1.2.1 The Agreement binds the Parties in respect of all matters stated in its Articles and Annexes. It does not govern the internal constitutional arrangements of either Party, and it does not derogate from the sovereign right of either Party to maintain defensive armed forces consistent with Article 13.</w:t>
      </w:r>
    </w:p>
    <w:p>
      <w:pPr>
        <w:pStyle w:val="TextBody"/>
        <w:rPr/>
      </w:pPr>
      <w:r>
        <w:rPr/>
        <w:t>1.2.2 The Agreement operates without prejudice to the positions of non-parties, including the State of Israel, the member states of the Gulf Cooperation Council, the Republic of Iraq, and the Lebanese Republic, except where those states accede to associated instruments or accept guarantor functions under Article 35.</w:t>
      </w:r>
    </w:p>
    <w:p>
      <w:pPr>
        <w:pStyle w:val="TextBody"/>
        <w:rPr/>
      </w:pPr>
      <w:bookmarkStart w:id="25" w:name="scope"/>
      <w:r>
        <w:rPr/>
        <w:t>1.2.3 The Agreement operates in parallel with, and independent of, the Hormuz Bilateral Corridor and Stewardship Agreement between the Islamic Republic of Iran and the Sultanate of Oman, and the Hormuz Regional Stewardship Charter. Article 26 and Annex E govern the interface.</w:t>
      </w:r>
      <w:bookmarkEnd w:id="25"/>
    </w:p>
    <w:p>
      <w:pPr>
        <w:pStyle w:val="Heading3"/>
        <w:rPr/>
      </w:pPr>
      <w:bookmarkStart w:id="26" w:name="operative-character"/>
      <w:r>
        <w:rPr/>
        <w:t>1.3 Operative Character</w:t>
      </w:r>
    </w:p>
    <w:p>
      <w:pPr>
        <w:pStyle w:val="FirstParagraph"/>
        <w:rPr/>
      </w:pPr>
      <w:bookmarkStart w:id="27" w:name="article-1-purpose-and-scope"/>
      <w:bookmarkStart w:id="28" w:name="operative-character"/>
      <w:r>
        <w:rPr/>
        <w:t>1.3.1 The Agreement is a treaty-level instrument. Upon entry into force under Article 36, it supersedes, as between the Parties, all inconsistent prior arrangements, and it renders performed and discharged the Islamabad MoU, which this Agreement incorporates and completes.</w:t>
      </w:r>
      <w:bookmarkEnd w:id="27"/>
      <w:bookmarkEnd w:id="28"/>
    </w:p>
    <w:p>
      <w:pPr>
        <w:pStyle w:val="Heading2"/>
        <w:rPr/>
      </w:pPr>
      <w:bookmarkStart w:id="29" w:name="__RefHeading___Toc3563_773522003"/>
      <w:bookmarkStart w:id="30" w:name="X5c29d225851821963628c9a5fbfe48b7de20650"/>
      <w:bookmarkEnd w:id="29"/>
      <w:r>
        <w:rPr/>
        <w:t>Article 2 — Definitions and the Sovereign Present-Tense Standard</w:t>
      </w:r>
    </w:p>
    <w:p>
      <w:pPr>
        <w:pStyle w:val="Heading3"/>
        <w:rPr/>
      </w:pPr>
      <w:bookmarkStart w:id="31" w:name="defined-terms"/>
      <w:r>
        <w:rPr/>
        <w:t>2.1 Defined Terms</w:t>
      </w:r>
    </w:p>
    <w:p>
      <w:pPr>
        <w:pStyle w:val="FirstParagraph"/>
        <w:rPr/>
      </w:pPr>
      <w:r>
        <w:rPr/>
        <w:t>In this Agreement:</w:t>
      </w:r>
    </w:p>
    <w:p>
      <w:pPr>
        <w:pStyle w:val="Compact"/>
        <w:numPr>
          <w:ilvl w:val="0"/>
          <w:numId w:val="1"/>
        </w:numPr>
        <w:rPr/>
      </w:pPr>
      <w:r>
        <w:rPr>
          <w:b/>
          <w:bCs/>
        </w:rPr>
        <w:t>“</w:t>
      </w:r>
      <w:r>
        <w:rPr>
          <w:b/>
          <w:bCs/>
        </w:rPr>
        <w:t>Agreement”</w:t>
      </w:r>
      <w:r>
        <w:rPr/>
        <w:t xml:space="preserve"> means this U.S.-Iran Strategic Framework Agreement, including its Annexes A through H.</w:t>
      </w:r>
    </w:p>
    <w:p>
      <w:pPr>
        <w:pStyle w:val="Compact"/>
        <w:numPr>
          <w:ilvl w:val="0"/>
          <w:numId w:val="1"/>
        </w:numPr>
        <w:rPr/>
      </w:pPr>
      <w:r>
        <w:rPr>
          <w:b/>
          <w:bCs/>
        </w:rPr>
        <w:t>“</w:t>
      </w:r>
      <w:r>
        <w:rPr>
          <w:b/>
          <w:bCs/>
        </w:rPr>
        <w:t>Banked relief”</w:t>
      </w:r>
      <w:r>
        <w:rPr/>
        <w:t xml:space="preserve"> means any sanctions relief, asset release, waiver, license, or delisting that the Banking Ledger of Article 19 records as permanently vested following verified performance.</w:t>
      </w:r>
    </w:p>
    <w:p>
      <w:pPr>
        <w:pStyle w:val="Compact"/>
        <w:numPr>
          <w:ilvl w:val="0"/>
          <w:numId w:val="1"/>
        </w:numPr>
        <w:rPr/>
      </w:pPr>
      <w:r>
        <w:rPr>
          <w:b/>
          <w:bCs/>
        </w:rPr>
        <w:t>“</w:t>
      </w:r>
      <w:r>
        <w:rPr>
          <w:b/>
          <w:bCs/>
        </w:rPr>
        <w:t>Breakout-relevant material”</w:t>
      </w:r>
      <w:r>
        <w:rPr/>
        <w:t xml:space="preserve"> means uranium enriched to any assay above 5 percent U-235, all uranium enriched to 20 percent or above, all uranium enriched to 60 percent or above, and any separated plutonium.</w:t>
      </w:r>
    </w:p>
    <w:p>
      <w:pPr>
        <w:pStyle w:val="Compact"/>
        <w:numPr>
          <w:ilvl w:val="0"/>
          <w:numId w:val="1"/>
        </w:numPr>
        <w:rPr/>
      </w:pPr>
      <w:r>
        <w:rPr>
          <w:b/>
          <w:bCs/>
        </w:rPr>
        <w:t>“</w:t>
      </w:r>
      <w:r>
        <w:rPr>
          <w:b/>
          <w:bCs/>
        </w:rPr>
        <w:t>Compliance Engine”</w:t>
      </w:r>
      <w:r>
        <w:rPr/>
        <w:t xml:space="preserve"> means the Step-Back and Earn-Back architecture of Article 32.</w:t>
      </w:r>
    </w:p>
    <w:p>
      <w:pPr>
        <w:pStyle w:val="Compact"/>
        <w:numPr>
          <w:ilvl w:val="0"/>
          <w:numId w:val="1"/>
        </w:numPr>
        <w:rPr/>
      </w:pPr>
      <w:r>
        <w:rPr>
          <w:b/>
          <w:bCs/>
        </w:rPr>
        <w:t>“</w:t>
      </w:r>
      <w:r>
        <w:rPr>
          <w:b/>
          <w:bCs/>
        </w:rPr>
        <w:t>Continuity Principle”</w:t>
      </w:r>
      <w:r>
        <w:rPr/>
        <w:t xml:space="preserve"> means the rule of Article 4.1 that no provision expires, lapses, or dissolves by the passage of time alone.</w:t>
      </w:r>
    </w:p>
    <w:p>
      <w:pPr>
        <w:pStyle w:val="Compact"/>
        <w:numPr>
          <w:ilvl w:val="0"/>
          <w:numId w:val="1"/>
        </w:numPr>
        <w:rPr/>
      </w:pPr>
      <w:r>
        <w:rPr>
          <w:b/>
          <w:bCs/>
        </w:rPr>
        <w:t>“</w:t>
      </w:r>
      <w:r>
        <w:rPr>
          <w:b/>
          <w:bCs/>
        </w:rPr>
        <w:t>Executive Mechanism”</w:t>
      </w:r>
      <w:r>
        <w:rPr/>
        <w:t xml:space="preserve"> means the Joint Implementation Commission of Article 30, the executive mechanism contemplated by the Islamabad MoU.</w:t>
      </w:r>
    </w:p>
    <w:p>
      <w:pPr>
        <w:pStyle w:val="Compact"/>
        <w:numPr>
          <w:ilvl w:val="0"/>
          <w:numId w:val="1"/>
        </w:numPr>
        <w:rPr/>
      </w:pPr>
      <w:r>
        <w:rPr>
          <w:b/>
          <w:bCs/>
        </w:rPr>
        <w:t>“</w:t>
      </w:r>
      <w:r>
        <w:rPr>
          <w:b/>
          <w:bCs/>
        </w:rPr>
        <w:t>Governance Area”</w:t>
      </w:r>
      <w:r>
        <w:rPr/>
        <w:t xml:space="preserve"> means the Strait of Hormuz and its approaches as delimited in Annex E.</w:t>
      </w:r>
    </w:p>
    <w:p>
      <w:pPr>
        <w:pStyle w:val="Compact"/>
        <w:numPr>
          <w:ilvl w:val="0"/>
          <w:numId w:val="1"/>
        </w:numPr>
        <w:rPr/>
      </w:pPr>
      <w:r>
        <w:rPr>
          <w:b/>
          <w:bCs/>
        </w:rPr>
        <w:t>“</w:t>
      </w:r>
      <w:r>
        <w:rPr>
          <w:b/>
          <w:bCs/>
        </w:rPr>
        <w:t>Hormuz Account”</w:t>
      </w:r>
      <w:r>
        <w:rPr/>
        <w:t xml:space="preserve"> means the neutral account structure of Article 17, administered by the Swiss Confederation as Neutral Administrator.</w:t>
      </w:r>
    </w:p>
    <w:p>
      <w:pPr>
        <w:pStyle w:val="Compact"/>
        <w:numPr>
          <w:ilvl w:val="0"/>
          <w:numId w:val="1"/>
        </w:numPr>
        <w:rPr/>
      </w:pPr>
      <w:r>
        <w:rPr>
          <w:b/>
          <w:bCs/>
        </w:rPr>
        <w:t>“</w:t>
      </w:r>
      <w:r>
        <w:rPr>
          <w:b/>
          <w:bCs/>
        </w:rPr>
        <w:t>IAEA”</w:t>
      </w:r>
      <w:r>
        <w:rPr/>
        <w:t xml:space="preserve"> means the International Atomic Energy Agency.</w:t>
      </w:r>
    </w:p>
    <w:p>
      <w:pPr>
        <w:pStyle w:val="Compact"/>
        <w:numPr>
          <w:ilvl w:val="0"/>
          <w:numId w:val="1"/>
        </w:numPr>
        <w:rPr/>
      </w:pPr>
      <w:r>
        <w:rPr>
          <w:b/>
          <w:bCs/>
        </w:rPr>
        <w:t>“</w:t>
      </w:r>
      <w:r>
        <w:rPr>
          <w:b/>
          <w:bCs/>
        </w:rPr>
        <w:t>Islamabad MoU”</w:t>
      </w:r>
      <w:r>
        <w:rPr/>
        <w:t xml:space="preserve"> means the fourteen-point Memorandum of Understanding signed by the Parties on 17 June 2026.</w:t>
      </w:r>
    </w:p>
    <w:p>
      <w:pPr>
        <w:pStyle w:val="Compact"/>
        <w:numPr>
          <w:ilvl w:val="0"/>
          <w:numId w:val="1"/>
        </w:numPr>
        <w:rPr/>
      </w:pPr>
      <w:r>
        <w:rPr>
          <w:b/>
          <w:bCs/>
        </w:rPr>
        <w:t>“</w:t>
      </w:r>
      <w:r>
        <w:rPr>
          <w:b/>
          <w:bCs/>
        </w:rPr>
        <w:t>Mediator of Record”</w:t>
      </w:r>
      <w:r>
        <w:rPr/>
        <w:t xml:space="preserve"> means the Islamic Republic of Pakistan.</w:t>
      </w:r>
    </w:p>
    <w:p>
      <w:pPr>
        <w:pStyle w:val="Compact"/>
        <w:numPr>
          <w:ilvl w:val="0"/>
          <w:numId w:val="1"/>
        </w:numPr>
        <w:rPr/>
      </w:pPr>
      <w:r>
        <w:rPr>
          <w:b/>
          <w:bCs/>
        </w:rPr>
        <w:t>“</w:t>
      </w:r>
      <w:r>
        <w:rPr>
          <w:b/>
          <w:bCs/>
        </w:rPr>
        <w:t>Neutral Administrator”</w:t>
      </w:r>
      <w:r>
        <w:rPr/>
        <w:t xml:space="preserve"> means the Swiss Confederation, acting through the dedicated Hormuz Account structure.</w:t>
      </w:r>
    </w:p>
    <w:p>
      <w:pPr>
        <w:pStyle w:val="Compact"/>
        <w:numPr>
          <w:ilvl w:val="0"/>
          <w:numId w:val="1"/>
        </w:numPr>
        <w:rPr/>
      </w:pPr>
      <w:r>
        <w:rPr>
          <w:b/>
          <w:bCs/>
        </w:rPr>
        <w:t>“</w:t>
      </w:r>
      <w:r>
        <w:rPr>
          <w:b/>
          <w:bCs/>
        </w:rPr>
        <w:t>Partial Success Doctrine”</w:t>
      </w:r>
      <w:r>
        <w:rPr/>
        <w:t xml:space="preserve"> means the interpretive rule of Article 4.4.</w:t>
      </w:r>
    </w:p>
    <w:p>
      <w:pPr>
        <w:pStyle w:val="Compact"/>
        <w:numPr>
          <w:ilvl w:val="0"/>
          <w:numId w:val="1"/>
        </w:numPr>
        <w:rPr/>
      </w:pPr>
      <w:r>
        <w:rPr>
          <w:b/>
          <w:bCs/>
        </w:rPr>
        <w:t>“</w:t>
      </w:r>
      <w:r>
        <w:rPr>
          <w:b/>
          <w:bCs/>
        </w:rPr>
        <w:t>Red Lines Register”</w:t>
      </w:r>
      <w:r>
        <w:rPr/>
        <w:t xml:space="preserve"> means Annex F, summarized in the Declaration of Principles.</w:t>
      </w:r>
    </w:p>
    <w:p>
      <w:pPr>
        <w:pStyle w:val="Compact"/>
        <w:numPr>
          <w:ilvl w:val="0"/>
          <w:numId w:val="1"/>
        </w:numPr>
        <w:rPr/>
      </w:pPr>
      <w:r>
        <w:rPr>
          <w:b/>
          <w:bCs/>
        </w:rPr>
        <w:t>“</w:t>
      </w:r>
      <w:r>
        <w:rPr>
          <w:b/>
          <w:bCs/>
        </w:rPr>
        <w:t>Step-Back”</w:t>
      </w:r>
      <w:r>
        <w:rPr/>
        <w:t xml:space="preserve"> means a proportionate, sequenced, reversible suspension of a defined benefit under Article 32.</w:t>
      </w:r>
    </w:p>
    <w:p>
      <w:pPr>
        <w:pStyle w:val="Compact"/>
        <w:numPr>
          <w:ilvl w:val="0"/>
          <w:numId w:val="1"/>
        </w:numPr>
        <w:rPr/>
      </w:pPr>
      <w:r>
        <w:rPr>
          <w:b/>
          <w:bCs/>
        </w:rPr>
        <w:t>“</w:t>
      </w:r>
      <w:r>
        <w:rPr>
          <w:b/>
          <w:bCs/>
        </w:rPr>
        <w:t>Track”</w:t>
      </w:r>
      <w:r>
        <w:rPr/>
        <w:t xml:space="preserve"> means one of the seven independent contractual modules of this Agreement: the security track (Part II), the nuclear track (Part IV), the missile track (Part V), the economic track (Part VI), the force posture track (Part VII), the regional track (Part VIII), and the strait track (Part IX).</w:t>
      </w:r>
    </w:p>
    <w:p>
      <w:pPr>
        <w:pStyle w:val="Compact"/>
        <w:numPr>
          <w:ilvl w:val="0"/>
          <w:numId w:val="1"/>
        </w:numPr>
        <w:rPr/>
      </w:pPr>
      <w:r>
        <w:rPr>
          <w:b/>
          <w:bCs/>
        </w:rPr>
        <w:t>“</w:t>
      </w:r>
      <w:r>
        <w:rPr>
          <w:b/>
          <w:bCs/>
        </w:rPr>
        <w:t>Verified performance”</w:t>
      </w:r>
      <w:r>
        <w:rPr/>
        <w:t xml:space="preserve"> means performance confirmed under Article 31 by the verification organ competent for the relevant track.</w:t>
      </w:r>
      <w:bookmarkEnd w:id="31"/>
    </w:p>
    <w:p>
      <w:pPr>
        <w:pStyle w:val="Heading3"/>
        <w:rPr/>
      </w:pPr>
      <w:bookmarkStart w:id="32" w:name="interpretation"/>
      <w:r>
        <w:rPr/>
        <w:t>2.2 Interpretation</w:t>
      </w:r>
    </w:p>
    <w:p>
      <w:pPr>
        <w:pStyle w:val="FirstParagraph"/>
        <w:rPr/>
      </w:pPr>
      <w:r>
        <w:rPr/>
        <w:t>2.2.1 Headings orient the reader and carry no operative weight. The Annexes carry the same force as the Articles. A conflict between an Article and an Annex resolves in favor of the provision that more specifically governs the subject matter.</w:t>
      </w:r>
    </w:p>
    <w:p>
      <w:pPr>
        <w:pStyle w:val="TextBody"/>
        <w:rPr/>
      </w:pPr>
      <w:r>
        <w:rPr/>
        <w:t>2.2.2 The English, Persian, and Arabic texts carry equal authority. The Joint Implementation Commission maintains a concordance register; a divergence among texts resolves by the interpretation that most faithfully implements the Declaration of Principles and the Red Lines Register.</w:t>
      </w:r>
    </w:p>
    <w:p>
      <w:pPr>
        <w:pStyle w:val="TextBody"/>
        <w:rPr/>
      </w:pPr>
      <w:bookmarkStart w:id="33" w:name="interpretation"/>
      <w:r>
        <w:rPr/>
        <w:t>2.2.3 Time periods run in calendar days. “Day 0” means the date of entry into force under Article 36.</w:t>
      </w:r>
      <w:bookmarkEnd w:id="33"/>
    </w:p>
    <w:p>
      <w:pPr>
        <w:pStyle w:val="Heading3"/>
        <w:rPr/>
      </w:pPr>
      <w:bookmarkStart w:id="34" w:name="the-sovereign-present-tense-standard"/>
      <w:r>
        <w:rPr/>
        <w:t>2.7 The Sovereign Present-Tense Standard</w:t>
      </w:r>
    </w:p>
    <w:p>
      <w:pPr>
        <w:pStyle w:val="FirstParagraph"/>
        <w:rPr/>
      </w:pPr>
      <w:r>
        <w:rPr/>
        <w:t>2.7.1 Every operative provision of this Agreement uses the active present tense: each subject performs its obligations as standing realities of the shared architecture, not as deferred commands. The verbs “shall” and “must” appear nowhere in the operative text; the architecture states what each organ does, what each trigger activates, and what each state of affairs is.</w:t>
      </w:r>
    </w:p>
    <w:p>
      <w:pPr>
        <w:pStyle w:val="TextBody"/>
        <w:rPr/>
      </w:pPr>
      <w:r>
        <w:rPr/>
        <w:t>2.7.2 Automatic triggers operate as immediate operational realities. Where this Agreement states that an event “activates” a measure, the measure takes effect by the event itself, without further decision, discretion, or notification, save where a provision expressly reserves a human decision point under the Human-in-the-Loop Rule of Article 33.3.</w:t>
      </w:r>
    </w:p>
    <w:p>
      <w:pPr>
        <w:pStyle w:val="TextBody"/>
        <w:rPr/>
      </w:pPr>
      <w:bookmarkStart w:id="35" w:name="X5c29d225851821963628c9a5fbfe48b7de20650"/>
      <w:bookmarkStart w:id="36" w:name="the-sovereign-present-tense-standard"/>
      <w:r>
        <w:rPr/>
        <w:t>2.7.3 Constraints attach to the shared design. The text frames no obligation as one Party’s restraint for the other’s benefit; each commitment is a load-bearing element of a mutual architecture in which both Parties hold symmetrical stakes.</w:t>
      </w:r>
      <w:bookmarkEnd w:id="35"/>
      <w:bookmarkEnd w:id="36"/>
    </w:p>
    <w:p>
      <w:pPr>
        <w:pStyle w:val="Heading2"/>
        <w:rPr/>
      </w:pPr>
      <w:bookmarkStart w:id="37" w:name="__RefHeading___Toc3565_773522003"/>
      <w:bookmarkStart w:id="38" w:name="X310d0b9ebe566889197e8391993a9881e08f0d4"/>
      <w:bookmarkEnd w:id="37"/>
      <w:r>
        <w:rPr/>
        <w:t>Article 3 — Relationship to the Islamabad Memorandum and Other Instruments</w:t>
      </w:r>
    </w:p>
    <w:p>
      <w:pPr>
        <w:pStyle w:val="Heading3"/>
        <w:rPr/>
      </w:pPr>
      <w:bookmarkStart w:id="39" w:name="incorporation-and-completion"/>
      <w:r>
        <w:rPr/>
        <w:t>3.1 Incorporation and Completion</w:t>
      </w:r>
    </w:p>
    <w:p>
      <w:pPr>
        <w:pStyle w:val="FirstParagraph"/>
        <w:rPr/>
      </w:pPr>
      <w:r>
        <w:rPr/>
        <w:t>3.1.1 The Parties incorporate the fourteen points of the Islamabad MoU as performed foundations of this Agreement: the permanent termination of military operations on all fronts; the lifting of the blockade of Iranian ports; the restoration of safe passage through the Strait of Hormuz; the lifting of sanctions on Iranian oil exports; the disposition of frozen assets; the reconstruction framework; the sanctions-lifting process; the non-nuclear-weapon commitment with IAEA-supervised disposition of enriched material; and the endorsement of the final agreement by the United Nations Security Council.</w:t>
      </w:r>
    </w:p>
    <w:p>
      <w:pPr>
        <w:pStyle w:val="TextBody"/>
        <w:rPr/>
      </w:pPr>
      <w:bookmarkStart w:id="40" w:name="incorporation-and-completion"/>
      <w:r>
        <w:rPr/>
        <w:t>3.1.2 The sixty-day negotiation window of the Islamabad MoU, running from 18 June 2026, closes upon signature of this Agreement. Where this Agreement enters into force after the expiry of that window, the window extends by the mutual consent evidenced by the signature itself, and the interim arrangements of the MoU remain performed and uninterrupted in the interval.</w:t>
      </w:r>
      <w:bookmarkEnd w:id="40"/>
    </w:p>
    <w:p>
      <w:pPr>
        <w:pStyle w:val="Heading3"/>
        <w:rPr/>
      </w:pPr>
      <w:bookmarkStart w:id="41" w:name="relationship-to-the-corridor-instruments"/>
      <w:r>
        <w:rPr/>
        <w:t>3.2 Relationship to the Corridor Instruments</w:t>
      </w:r>
    </w:p>
    <w:p>
      <w:pPr>
        <w:pStyle w:val="FirstParagraph"/>
        <w:rPr/>
      </w:pPr>
      <w:r>
        <w:rPr/>
        <w:t>3.2.1 This Agreement operates without prejudice to the Hormuz Bilateral Corridor and Stewardship Agreement and the Hormuz Regional Stewardship Charter. The strait track of Part IX fixes the United States position within that wider architecture and guarantees the no-toll baseline of RL-3 across all instruments.</w:t>
      </w:r>
    </w:p>
    <w:p>
      <w:pPr>
        <w:pStyle w:val="TextBody"/>
        <w:rPr/>
      </w:pPr>
      <w:bookmarkStart w:id="42" w:name="relationship-to-the-corridor-instruments"/>
      <w:r>
        <w:rPr/>
        <w:t>3.2.2 No Party conditions progress on this Agreement on progress in any other negotiation track. This rule binds as treaty law and appears in each associated instrument by cross-reference.</w:t>
      </w:r>
      <w:bookmarkEnd w:id="42"/>
    </w:p>
    <w:p>
      <w:pPr>
        <w:pStyle w:val="Heading3"/>
        <w:rPr/>
      </w:pPr>
      <w:bookmarkStart w:id="43" w:name="relationship-to-domestic-process"/>
      <w:r>
        <w:rPr/>
        <w:t>3.3 Relationship to Domestic Process</w:t>
      </w:r>
    </w:p>
    <w:p>
      <w:pPr>
        <w:pStyle w:val="FirstParagraph"/>
        <w:rPr/>
      </w:pPr>
      <w:bookmarkStart w:id="44" w:name="X310d0b9ebe566889197e8391993a9881e08f0d4"/>
      <w:bookmarkStart w:id="45" w:name="relationship-to-domestic-process"/>
      <w:r>
        <w:rPr/>
        <w:t>3.3.1 Each Party executes this Agreement in accordance with its constitutional procedures. The United States transmits the Agreement to the Congress consistent with the President’s stated intention to submit the text for review; the Islamic Republic of Iran completes the authorizations of its constitutional organs. Neither Party invokes internal process to defeat the object and purpose of the Agreement after signature.</w:t>
      </w:r>
      <w:bookmarkEnd w:id="44"/>
      <w:bookmarkEnd w:id="45"/>
    </w:p>
    <w:p>
      <w:pPr>
        <w:pStyle w:val="Heading2"/>
        <w:rPr/>
      </w:pPr>
      <w:bookmarkStart w:id="46" w:name="__RefHeading___Toc3567_773522003"/>
      <w:bookmarkStart w:id="47" w:name="X68faaf5388bae4a61eeaa6ae986b782c4022cfa"/>
      <w:bookmarkEnd w:id="46"/>
      <w:r>
        <w:rPr/>
        <w:t>Article 4 — The Continuity Principle and the Partial Success Doctrine</w:t>
      </w:r>
    </w:p>
    <w:p>
      <w:pPr>
        <w:pStyle w:val="Heading3"/>
        <w:rPr/>
      </w:pPr>
      <w:bookmarkStart w:id="48" w:name="the-continuity-principle"/>
      <w:r>
        <w:rPr/>
        <w:t>4.1 The Continuity Principle</w:t>
      </w:r>
    </w:p>
    <w:p>
      <w:pPr>
        <w:pStyle w:val="FirstParagraph"/>
        <w:rPr/>
      </w:pPr>
      <w:r>
        <w:rPr/>
        <w:t>4.1.1 No provision of this Agreement expires, lapses, suspends, or dissolves by the passage of time alone. Sunset clauses appear nowhere in this instrument. Every obligation, every relief, every verification right, and every institutional mandate persists until changed by joint written instrument under Article 35 or terminated by the deliberate, notified, time-buffered sovereign act of withdrawal under Article 37.</w:t>
      </w:r>
    </w:p>
    <w:p>
      <w:pPr>
        <w:pStyle w:val="TextBody"/>
        <w:rPr/>
      </w:pPr>
      <w:r>
        <w:rPr/>
        <w:t>4.1.2 Verified performance banks permanently. A milestone once certified under Article 31 remains certified; a relief once banked under Article 19 remains banked; a corridor segment once certified clear under the interface of Annex E remains certified, subject only to re-survey triggered by new evidence of hazard.</w:t>
      </w:r>
    </w:p>
    <w:p>
      <w:pPr>
        <w:pStyle w:val="TextBody"/>
        <w:rPr/>
      </w:pPr>
      <w:bookmarkStart w:id="49" w:name="the-continuity-principle"/>
      <w:r>
        <w:rPr/>
        <w:t>4.1.3 Renewal occurs by silence. Where a provision contemplates periodic review, the lapse of the review period without objection constitutes continuation in force, not termination.</w:t>
      </w:r>
      <w:bookmarkEnd w:id="49"/>
    </w:p>
    <w:p>
      <w:pPr>
        <w:pStyle w:val="Heading3"/>
        <w:rPr/>
      </w:pPr>
      <w:bookmarkStart w:id="50" w:name="permanence-with-exit"/>
      <w:r>
        <w:rPr/>
        <w:t>4.2 Permanence with Exit</w:t>
      </w:r>
    </w:p>
    <w:p>
      <w:pPr>
        <w:pStyle w:val="FirstParagraph"/>
        <w:rPr/>
      </w:pPr>
      <w:bookmarkStart w:id="51" w:name="permanence-with-exit"/>
      <w:r>
        <w:rPr/>
        <w:t>4.2.1 The Continuity Principle coexists with the withdrawal right of Article 37. Permanence describes the default state; exit is a deliberate act, never a drift. A Party that neither amends nor withdraws remains bound in full, and no course of dealing, no change of administration, and no lapse of attention diminishes that bond.</w:t>
      </w:r>
      <w:bookmarkEnd w:id="51"/>
    </w:p>
    <w:p>
      <w:pPr>
        <w:pStyle w:val="Heading3"/>
        <w:rPr/>
      </w:pPr>
      <w:bookmarkStart w:id="52" w:name="anti-abandonment-rule"/>
      <w:r>
        <w:rPr/>
        <w:t>4.3 Anti-Abandonment Rule</w:t>
      </w:r>
    </w:p>
    <w:p>
      <w:pPr>
        <w:pStyle w:val="FirstParagraph"/>
        <w:rPr/>
      </w:pPr>
      <w:bookmarkStart w:id="53" w:name="anti-abandonment-rule"/>
      <w:r>
        <w:rPr/>
        <w:t>4.3.1 The institutions of this Agreement — the Joint Implementation Commission, the verification organs, the Hormuz Account, the deconfliction channel — continue in operation during any dispute, any step-back, and any notice of withdrawal, through the final day of the withdrawal buffer period. Institutional abandonment is itself a breach, remediable only through the Compliance Engine.</w:t>
      </w:r>
      <w:bookmarkEnd w:id="53"/>
    </w:p>
    <w:p>
      <w:pPr>
        <w:pStyle w:val="Heading3"/>
        <w:rPr/>
      </w:pPr>
      <w:bookmarkStart w:id="54" w:name="the-partial-success-doctrine"/>
      <w:r>
        <w:rPr/>
        <w:t>4.4 The Partial Success Doctrine</w:t>
      </w:r>
    </w:p>
    <w:p>
      <w:pPr>
        <w:pStyle w:val="FirstParagraph"/>
        <w:rPr/>
      </w:pPr>
      <w:r>
        <w:rPr/>
        <w:t>4.4.1 No single unresolved module invalidates the remainder of the framework. Each of the seven tracks operates as an independent contractual line. Progress, compliance, delay, or failure in one track does not automatically determine the status of any other track.</w:t>
      </w:r>
    </w:p>
    <w:p>
      <w:pPr>
        <w:pStyle w:val="TextBody"/>
        <w:rPr/>
      </w:pPr>
      <w:r>
        <w:rPr/>
        <w:t>4.4.2 A step-back under Article 32 attaches to the specific benefit paired with the specific obligation in the Sequencing Tables of Annex C and Annex H, and extends no further, save for the paired-core rule of Article 32.6 governing the nuclear commitment and its paired core reliefs.</w:t>
      </w:r>
    </w:p>
    <w:p>
      <w:pPr>
        <w:pStyle w:val="TextBody"/>
        <w:rPr/>
      </w:pPr>
      <w:r>
        <w:rPr/>
        <w:t>4.4.3 The doctrine is binding and interpretive. Every organ of this Agreement, every dispute panel under Article 34, and every reviewing authority reads each provision in a manner that preserves the maximum surviving architecture.</w:t>
      </w:r>
    </w:p>
    <w:p>
      <w:pPr>
        <w:pStyle w:val="Normal"/>
        <w:rPr/>
      </w:pPr>
      <w:bookmarkStart w:id="55" w:name="X95cba218a627a4bf3b324c79c5eab9023c0511a"/>
      <w:bookmarkStart w:id="56" w:name="X68faaf5388bae4a61eeaa6ae986b782c4022cfa"/>
      <w:bookmarkStart w:id="57" w:name="the-partial-success-doctrine"/>
      <w:r>
        <w:rPr/>
        <mc:AlternateContent>
          <mc:Choice Requires="wps">
            <w:drawing>
              <wp:inline distT="0" distB="0" distL="0" distR="0">
                <wp:extent cx="5943600" cy="19050"/>
                <wp:effectExtent l="0" t="0" r="0" b="0"/>
                <wp:docPr id="3" name=""/>
                <a:graphic xmlns:a="http://schemas.openxmlformats.org/drawingml/2006/main">
                  <a:graphicData uri="http://schemas.microsoft.com/office/word/2010/wordprocessingShape">
                    <wps:wsp>
                      <wps:cNvSpPr/>
                      <wps:nvSpPr>
                        <wps:cNvPr id="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5"/>
      <w:bookmarkEnd w:id="56"/>
      <w:bookmarkEnd w:id="57"/>
    </w:p>
    <w:p>
      <w:pPr>
        <w:pStyle w:val="Heading1"/>
        <w:rPr/>
      </w:pPr>
      <w:bookmarkStart w:id="58" w:name="__RefHeading___Toc3569_773522003"/>
      <w:bookmarkStart w:id="59" w:name="X054f0119f8445bf01797793e93b2fb77221e88b"/>
      <w:bookmarkEnd w:id="58"/>
      <w:r>
        <w:rPr/>
        <w:t>Part II — Termination of Hostilities and Security Assurances</w:t>
      </w:r>
    </w:p>
    <w:p>
      <w:pPr>
        <w:pStyle w:val="Heading2"/>
        <w:rPr/>
      </w:pPr>
      <w:bookmarkStart w:id="60" w:name="__RefHeading___Toc3571_773522003"/>
      <w:bookmarkStart w:id="61" w:name="Xe36a57b83600ac275b44a99e53b5bbe9cc0ed95"/>
      <w:bookmarkEnd w:id="60"/>
      <w:r>
        <w:rPr/>
        <w:t>Article 5 — Permanent Termination of Military Operations</w:t>
      </w:r>
    </w:p>
    <w:p>
      <w:pPr>
        <w:pStyle w:val="Heading3"/>
        <w:rPr/>
      </w:pPr>
      <w:bookmarkStart w:id="62" w:name="the-termination-state"/>
      <w:r>
        <w:rPr/>
        <w:t>5.1 The Termination State</w:t>
      </w:r>
    </w:p>
    <w:p>
      <w:pPr>
        <w:pStyle w:val="FirstParagraph"/>
        <w:rPr/>
      </w:pPr>
      <w:r>
        <w:rPr/>
        <w:t>5.1.1 The state of armed conflict between the Parties, open since 28 February 2026, terminates permanently upon entry into force of this Agreement. This termination is complete, irreversible by silence, and independent of the status of any other track.</w:t>
      </w:r>
    </w:p>
    <w:p>
      <w:pPr>
        <w:pStyle w:val="TextBody"/>
        <w:rPr/>
      </w:pPr>
      <w:r>
        <w:rPr/>
        <w:t>5.1.2 The termination covers all fronts and all domains: air operations, naval operations, missile and drone strikes, special operations, cyber operations directed at the other Party’s critical infrastructure, and operations conducted through or against the territory, forces, or vessels of third states in execution of the bilateral conflict.</w:t>
      </w:r>
    </w:p>
    <w:p>
      <w:pPr>
        <w:pStyle w:val="TextBody"/>
        <w:rPr/>
      </w:pPr>
      <w:bookmarkStart w:id="63" w:name="the-termination-state"/>
      <w:r>
        <w:rPr/>
        <w:t>5.1.3 The termination extends to operations by proxy and allied forces where a Party exercises effective direction or control. Article 23 structures the regional dimension.</w:t>
      </w:r>
      <w:bookmarkEnd w:id="63"/>
    </w:p>
    <w:p>
      <w:pPr>
        <w:pStyle w:val="Heading3"/>
        <w:rPr/>
      </w:pPr>
      <w:bookmarkStart w:id="64" w:name="the-lebanon-clause"/>
      <w:r>
        <w:rPr/>
        <w:t>5.2 The Lebanon Clause</w:t>
      </w:r>
    </w:p>
    <w:p>
      <w:pPr>
        <w:pStyle w:val="FirstParagraph"/>
        <w:rPr/>
      </w:pPr>
      <w:r>
        <w:rPr/>
        <w:t>5.2.1 Consistent with paragraph 1 of the Islamabad MoU, the permanent termination includes the front between Israel and Hezbollah in Lebanon. Neither Israel, nor Hezbollah, nor the Lebanese Republic is a party to this Agreement; the Parties discharge this clause through the mechanism of Article 23, under which the Islamic Republic of Iran applies its influence to sustain the cessation between Israel and Hezbollah, and the United States applies its influence to sustain the corresponding Israeli restraint.</w:t>
      </w:r>
    </w:p>
    <w:p>
      <w:pPr>
        <w:pStyle w:val="TextBody"/>
        <w:rPr/>
      </w:pPr>
      <w:bookmarkStart w:id="65" w:name="the-lebanon-clause"/>
      <w:r>
        <w:rPr/>
        <w:t>5.2.2 The performance standard of this clause is influence in good faith, not guarantee of third-party conduct. The Compliance Engine measures each Party’s documented exertion of influence, not the autonomous acts of non-parties. This rule protects the Agreement from hostage-taking by actors outside its bond.</w:t>
      </w:r>
      <w:bookmarkEnd w:id="65"/>
    </w:p>
    <w:p>
      <w:pPr>
        <w:pStyle w:val="Heading3"/>
        <w:rPr/>
      </w:pPr>
      <w:bookmarkStart w:id="66" w:name="standing-prohibitions"/>
      <w:r>
        <w:rPr/>
        <w:t>5.3 Standing Prohibitions</w:t>
      </w:r>
    </w:p>
    <w:p>
      <w:pPr>
        <w:pStyle w:val="FirstParagraph"/>
        <w:rPr/>
      </w:pPr>
      <w:r>
        <w:rPr/>
        <w:t>5.3.1 While this Agreement stands and the other Party performs, each Party maintains a standing prohibition on: (a) strikes against the other’s territory, forces, or flagged vessels; (b) naval interdiction of the other’s commerce; (c) support for armed operations against the other by non-state actors; (d) assassination or targeted killing of the other’s officials or nationals; and (e) cyber operations against the other’s civilian critical infrastructure, including power generation, desalination, banking, and health systems.</w:t>
      </w:r>
    </w:p>
    <w:p>
      <w:pPr>
        <w:pStyle w:val="TextBody"/>
        <w:rPr/>
      </w:pPr>
      <w:bookmarkStart w:id="67" w:name="standing-prohibitions"/>
      <w:r>
        <w:rPr/>
        <w:t>5.3.2 The prohibition of 5.3.1(e) names desalination plants and civilian nuclear-linked infrastructure expressly, reflecting the Parties’ shared recognition that strikes on such targets during the conflict inflicted disproportionate civilian harm and carry no place in the peace.</w:t>
      </w:r>
      <w:bookmarkEnd w:id="67"/>
    </w:p>
    <w:p>
      <w:pPr>
        <w:pStyle w:val="Heading3"/>
        <w:rPr/>
      </w:pPr>
      <w:bookmarkStart w:id="68" w:name="residual-self-defense"/>
      <w:r>
        <w:rPr/>
        <w:t>5.4 Residual Self-Defense</w:t>
      </w:r>
    </w:p>
    <w:p>
      <w:pPr>
        <w:pStyle w:val="FirstParagraph"/>
        <w:rPr/>
      </w:pPr>
      <w:bookmarkStart w:id="69" w:name="Xe36a57b83600ac275b44a99e53b5bbe9cc0ed95"/>
      <w:bookmarkStart w:id="70" w:name="residual-self-defense"/>
      <w:r>
        <w:rPr/>
        <w:t>5.4.1 Nothing in this Part derogates from the inherent right of individual or collective self-defense recognized by Article 51 of the Charter of the United Nations. Exercise of that right against the other Party while this Agreement stands activates the accelerated procedures of Article 33 and Article 34 simultaneously: the acting Party reports the invocation to the Joint Implementation Commission and the UN Security Council within twenty-four hours, and the Compliance Engine treats the act as a Tier 3 event pending attribution review.</w:t>
      </w:r>
      <w:bookmarkEnd w:id="69"/>
      <w:bookmarkEnd w:id="70"/>
    </w:p>
    <w:p>
      <w:pPr>
        <w:pStyle w:val="Heading2"/>
        <w:rPr/>
      </w:pPr>
      <w:bookmarkStart w:id="71" w:name="__RefHeading___Toc3573_773522003"/>
      <w:bookmarkStart w:id="72" w:name="Xd59c0ab8ad0f12e913a3e9ce0f2eda09d0f3211"/>
      <w:bookmarkEnd w:id="71"/>
      <w:r>
        <w:rPr/>
        <w:t>Article 6 — Mutual Security Assurances and the Non-Aggression Architecture</w:t>
      </w:r>
    </w:p>
    <w:p>
      <w:pPr>
        <w:pStyle w:val="Heading3"/>
        <w:rPr/>
      </w:pPr>
      <w:bookmarkStart w:id="73" w:name="the-united-states-assurance"/>
      <w:r>
        <w:rPr/>
        <w:t>6.1 The United States Assurance</w:t>
      </w:r>
    </w:p>
    <w:p>
      <w:pPr>
        <w:pStyle w:val="FirstParagraph"/>
        <w:rPr/>
      </w:pPr>
      <w:r>
        <w:rPr/>
        <w:t>6.1.1 The United States assures the Islamic Republic of Iran, in treaty form, that while Iran performs this Agreement the United States does not attack, invade, or conduct military operations against Iranian territory or forces, and does not support, facilitate, or acquiesce in such operations by any other state.</w:t>
      </w:r>
    </w:p>
    <w:p>
      <w:pPr>
        <w:pStyle w:val="TextBody"/>
        <w:rPr/>
      </w:pPr>
      <w:bookmarkStart w:id="74" w:name="the-united-states-assurance"/>
      <w:r>
        <w:rPr/>
        <w:t>6.1.2 The assurance of 6.1.1 constitutes the “firm guarantee against future aggression” that Iran tables as a condition of settlement, translated from a demand into a load-bearing element of the mutual architecture: the assurance holds while the performance holds, and the Compliance Engine, not the battlefield, adjudicates any claim that performance has failed.</w:t>
      </w:r>
      <w:bookmarkEnd w:id="74"/>
    </w:p>
    <w:p>
      <w:pPr>
        <w:pStyle w:val="Heading3"/>
        <w:rPr/>
      </w:pPr>
      <w:bookmarkStart w:id="75" w:name="the-iranian-assurance"/>
      <w:r>
        <w:rPr/>
        <w:t>6.2 The Iranian Assurance</w:t>
      </w:r>
    </w:p>
    <w:p>
      <w:pPr>
        <w:pStyle w:val="FirstParagraph"/>
        <w:rPr/>
      </w:pPr>
      <w:bookmarkStart w:id="76" w:name="the-iranian-assurance"/>
      <w:r>
        <w:rPr/>
        <w:t>6.2.1 The Islamic Republic of Iran assures the United States that while the United States performs this Agreement Iran does not attack United States forces, bases, vessels, or personnel in the region, does not direct or support attacks upon them by affiliated groups, and maintains its forces in a posture consistent with the deconfliction protocol of Annex D.</w:t>
      </w:r>
      <w:bookmarkEnd w:id="76"/>
    </w:p>
    <w:p>
      <w:pPr>
        <w:pStyle w:val="Heading3"/>
        <w:rPr/>
      </w:pPr>
      <w:bookmarkStart w:id="77" w:name="the-non-interference-compact"/>
      <w:r>
        <w:rPr/>
        <w:t>6.3 The Non-Interference Compact</w:t>
      </w:r>
    </w:p>
    <w:p>
      <w:pPr>
        <w:pStyle w:val="FirstParagraph"/>
        <w:rPr/>
      </w:pPr>
      <w:r>
        <w:rPr/>
        <w:t>6.3.1 Each Party respects the sovereignty and political independence of the other and refrains from interference in the other’s internal affairs, consistent with the Islamabad MoU. This compact excludes from the operative text of this Agreement any objective of coerced political restructuring in either country. The framework settles the conflict between the two states as they are.</w:t>
      </w:r>
    </w:p>
    <w:p>
      <w:pPr>
        <w:pStyle w:val="TextBody"/>
        <w:rPr/>
      </w:pPr>
      <w:bookmarkStart w:id="78" w:name="the-non-interference-compact"/>
      <w:r>
        <w:rPr/>
        <w:t>6.3.2 Neither Party maintains, funds, arms, or directs organizations whose declared purpose is the violent overthrow of the other Party’s government. Advocacy, scholarship, journalism, and peaceful political activity fall outside this clause; the clause targets material support for violence alone.</w:t>
      </w:r>
      <w:bookmarkEnd w:id="78"/>
    </w:p>
    <w:p>
      <w:pPr>
        <w:pStyle w:val="Heading3"/>
        <w:rPr/>
      </w:pPr>
      <w:bookmarkStart w:id="79" w:name="third-state-dimensions"/>
      <w:r>
        <w:rPr/>
        <w:t>6.4 Third-State Dimensions</w:t>
      </w:r>
    </w:p>
    <w:p>
      <w:pPr>
        <w:pStyle w:val="FirstParagraph"/>
        <w:rPr/>
      </w:pPr>
      <w:r>
        <w:rPr/>
        <w:t>6.4.1 The Parties record the interest of regional states — the Kingdom of Saudi Arabia, the United Arab Emirates, the State of Qatar, the State of Kuwait, the Kingdom of Bahrain, the Republic of Iraq, and the Sultanate of Oman — in the stability this Agreement creates. Article 35.4 provides a guarantor accession path through which such states, and the mediating states, associate themselves with the security assurances of this Part.</w:t>
      </w:r>
    </w:p>
    <w:p>
      <w:pPr>
        <w:pStyle w:val="TextBody"/>
        <w:rPr/>
      </w:pPr>
      <w:bookmarkStart w:id="80" w:name="Xd59c0ab8ad0f12e913a3e9ce0f2eda09d0f3211"/>
      <w:bookmarkStart w:id="81" w:name="third-state-dimensions"/>
      <w:r>
        <w:rPr/>
        <w:t>6.4.2 The United States communicates the security architecture of this Agreement to its regional allies and partners, and structures its defense relationships so that this Agreement’s performance by Iran engages the allied-restraint commitments of Article 23.3.</w:t>
      </w:r>
      <w:bookmarkEnd w:id="80"/>
      <w:bookmarkEnd w:id="81"/>
    </w:p>
    <w:p>
      <w:pPr>
        <w:pStyle w:val="Heading2"/>
        <w:rPr/>
      </w:pPr>
      <w:bookmarkStart w:id="82" w:name="__RefHeading___Toc3575_773522003"/>
      <w:bookmarkStart w:id="83" w:name="X4a301ad2c280dd49f64efea79bd75670c8405bb"/>
      <w:bookmarkEnd w:id="82"/>
      <w:r>
        <w:rPr/>
        <w:t>Article 7 — Deconfliction and the Standing Military Channel</w:t>
      </w:r>
    </w:p>
    <w:p>
      <w:pPr>
        <w:pStyle w:val="Heading3"/>
        <w:rPr/>
      </w:pPr>
      <w:bookmarkStart w:id="84" w:name="the-standing-channel"/>
      <w:r>
        <w:rPr/>
        <w:t>7.1 The Standing Channel</w:t>
      </w:r>
    </w:p>
    <w:p>
      <w:pPr>
        <w:pStyle w:val="FirstParagraph"/>
        <w:rPr/>
      </w:pPr>
      <w:r>
        <w:rPr/>
        <w:t>7.1.1 The Parties maintain the 24/7 deconfliction hotline established under the interim arrangements, now elevated to permanent treaty status. The channel connects the United States Central Command and Fifth Fleet staffs with the General Staff of the Armed Forces of the Islamic Republic of Iran and the IRGC Navy operations center, with liaison seats for the Sultanate of Oman and the IMO where maritime traffic is concerned.</w:t>
      </w:r>
    </w:p>
    <w:p>
      <w:pPr>
        <w:pStyle w:val="TextBody"/>
        <w:rPr/>
      </w:pPr>
      <w:bookmarkStart w:id="85" w:name="the-standing-channel"/>
      <w:r>
        <w:rPr/>
        <w:t>7.1.2 The channel answers within fifteen minutes at all times, with satellite fallback for primary-line failure. A missed answer standard beyond sixty minutes constitutes a reportable incident under Article 31.4.</w:t>
      </w:r>
      <w:bookmarkEnd w:id="85"/>
    </w:p>
    <w:p>
      <w:pPr>
        <w:pStyle w:val="Heading3"/>
        <w:rPr/>
      </w:pPr>
      <w:bookmarkStart w:id="86" w:name="the-air-and-maritime-protocol"/>
      <w:r>
        <w:rPr/>
        <w:t>7.2 The Air and Maritime Protocol</w:t>
      </w:r>
    </w:p>
    <w:p>
      <w:pPr>
        <w:pStyle w:val="FirstParagraph"/>
        <w:rPr/>
      </w:pPr>
      <w:bookmarkStart w:id="87" w:name="the-air-and-maritime-protocol"/>
      <w:r>
        <w:rPr/>
        <w:t>7.2.1 Annex D states the full deconfliction protocol. Its core elements: (a) no live-fire exercise by either Party within 50 nautical miles of the Strait of Hormuz transit corridors without forty-eight hours’ prior notification through the channel; (b) no approach by armed vessels or aircraft of one Party within defined standoff distances of the other’s formations absent prior coordination; (c) immediate notification of any weapons-system malfunction, navigation error, or autonomous-system anomaly capable of producing an incident; and (d) a weekly flag-officer call and a monthly working-level conference, each recorded in the Transparency Register of Article 31.</w:t>
      </w:r>
      <w:bookmarkEnd w:id="87"/>
    </w:p>
    <w:p>
      <w:pPr>
        <w:pStyle w:val="Heading3"/>
        <w:rPr/>
      </w:pPr>
      <w:bookmarkStart w:id="88" w:name="incident-management"/>
      <w:r>
        <w:rPr/>
        <w:t>7.3 Incident Management</w:t>
      </w:r>
    </w:p>
    <w:p>
      <w:pPr>
        <w:pStyle w:val="FirstParagraph"/>
        <w:rPr/>
      </w:pPr>
      <w:r>
        <w:rPr/>
        <w:t>7.3.1 An incident between the forces of the Parties activates the following ladder: immediate channel contact within fifteen minutes; mutual stand-down of the involved units within one hour; joint factual inquiry convened within seventy-two hours under Annex D; and publication of a factual summary within seven days, with classified annexes handled through secure channels.</w:t>
      </w:r>
    </w:p>
    <w:p>
      <w:pPr>
        <w:pStyle w:val="TextBody"/>
        <w:rPr/>
      </w:pPr>
      <w:r>
        <w:rPr/>
        <w:t>7.3.2 No incident, of any severity, interrupts the operation of the verification organs, the humanitarian flows of RL-7, or the institutions of Article 4.3. The architecture absorbs shocks; it does not transmit them.</w:t>
      </w:r>
    </w:p>
    <w:p>
      <w:pPr>
        <w:pStyle w:val="Normal"/>
        <w:rPr/>
      </w:pPr>
      <w:bookmarkStart w:id="89" w:name="X054f0119f8445bf01797793e93b2fb77221e88b"/>
      <w:bookmarkStart w:id="90" w:name="X4a301ad2c280dd49f64efea79bd75670c8405bb"/>
      <w:bookmarkStart w:id="91" w:name="incident-management"/>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9"/>
      <w:bookmarkEnd w:id="90"/>
      <w:bookmarkEnd w:id="91"/>
    </w:p>
    <w:p>
      <w:pPr>
        <w:pStyle w:val="Heading1"/>
        <w:rPr/>
      </w:pPr>
      <w:bookmarkStart w:id="92" w:name="__RefHeading___Toc3577_773522003"/>
      <w:bookmarkStart w:id="93" w:name="part-iii-structure-note"/>
      <w:bookmarkEnd w:id="92"/>
      <w:r>
        <w:rPr/>
        <w:t>Part III — Structure Note</w:t>
      </w:r>
    </w:p>
    <w:p>
      <w:pPr>
        <w:pStyle w:val="FirstParagraph"/>
        <w:rPr/>
      </w:pPr>
      <w:bookmarkStart w:id="94" w:name="part-iii-structure-note"/>
      <w:r>
        <w:rPr/>
        <w:t>Part III carries no Articles. The eleven-Part structure proceeds directly from Part II to Part IV so that the nuclear track — the core of the settlement — opens the operative heart of the Agreement in the position the negotiation record assigns it. This note preserves numbering stability across drafts; no content is omitted.</w:t>
      </w:r>
      <w:bookmarkEnd w:id="94"/>
    </w:p>
    <w:p>
      <w:pPr>
        <w:pStyle w:val="Heading1"/>
        <w:rPr/>
      </w:pPr>
      <w:bookmarkStart w:id="95" w:name="__RefHeading___Toc3579_773522003"/>
      <w:bookmarkStart w:id="96" w:name="part-iv-the-nuclear-track"/>
      <w:bookmarkEnd w:id="95"/>
      <w:r>
        <w:rPr/>
        <w:t>Part IV — The Nuclear Track</w:t>
      </w:r>
    </w:p>
    <w:p>
      <w:pPr>
        <w:pStyle w:val="Heading2"/>
        <w:rPr/>
      </w:pPr>
      <w:bookmarkStart w:id="97" w:name="__RefHeading___Toc3581_773522003"/>
      <w:bookmarkStart w:id="98" w:name="X657ebc1f74864e2094b39d0d3aa2f7d56b5528f"/>
      <w:bookmarkEnd w:id="97"/>
      <w:r>
        <w:rPr/>
        <w:t>Article 8 — The Non-Nuclear-Weapon Commitment</w:t>
      </w:r>
    </w:p>
    <w:p>
      <w:pPr>
        <w:pStyle w:val="Heading3"/>
        <w:rPr/>
      </w:pPr>
      <w:bookmarkStart w:id="99" w:name="the-core-commitment"/>
      <w:r>
        <w:rPr/>
        <w:t>8.1 The Core Commitment</w:t>
      </w:r>
    </w:p>
    <w:p>
      <w:pPr>
        <w:pStyle w:val="FirstParagraph"/>
        <w:rPr/>
      </w:pPr>
      <w:r>
        <w:rPr/>
        <w:t>8.1.1 The Islamic Republic of Iran commits, permanently and unconditionally, that it does not develop, acquire, manufacture, stockpile, transfer, receive, or possess a nuclear weapon or any nuclear explosive device, and that it never seeks such a weapon. This commitment restates, in bilateral treaty form with permanent verification, the commitment of paragraph 8 of the Islamabad MoU and Iran’s long-standing declaratory position, and it satisfies the stated core goal of the United States that Iran confirm it will never seek a nuclear weapon.</w:t>
      </w:r>
    </w:p>
    <w:p>
      <w:pPr>
        <w:pStyle w:val="TextBody"/>
        <w:rPr/>
      </w:pPr>
      <w:bookmarkStart w:id="100" w:name="the-core-commitment"/>
      <w:r>
        <w:rPr/>
        <w:t>8.1.2 The commitment of 8.1.1 is unbounded in time. It survives amendment of every other provision of this Agreement, and it survives withdrawal under Article 37 for a tail period of twenty years, during which the verification regime of Article 11 continues in respect of facilities and materials existing at the date of withdrawal.</w:t>
      </w:r>
      <w:bookmarkEnd w:id="100"/>
    </w:p>
    <w:p>
      <w:pPr>
        <w:pStyle w:val="Heading3"/>
        <w:rPr/>
      </w:pPr>
      <w:bookmarkStart w:id="101" w:name="X316473b894c2193970ac931a6773c07b968d319"/>
      <w:r>
        <w:rPr/>
        <w:t>8.2 The Complementary United States Commitment</w:t>
      </w:r>
    </w:p>
    <w:p>
      <w:pPr>
        <w:pStyle w:val="FirstParagraph"/>
        <w:rPr/>
      </w:pPr>
      <w:bookmarkStart w:id="102" w:name="X316473b894c2193970ac931a6773c07b968d319"/>
      <w:r>
        <w:rPr/>
        <w:t>8.2.1 The United States commits that it treats the nuclear file as permanently settled upon verified performance of this Part, that it neither seeks nor supports military action against Iran’s nuclear facilities while Iran performs, and that it defends this settlement, including before its own Congress and within the UN Security Council, against re-litigation absent a verified material breach adjudicated through Article 32.</w:t>
      </w:r>
      <w:bookmarkEnd w:id="102"/>
    </w:p>
    <w:p>
      <w:pPr>
        <w:pStyle w:val="Heading3"/>
        <w:rPr/>
      </w:pPr>
      <w:bookmarkStart w:id="103" w:name="weaponization-prohibitions"/>
      <w:r>
        <w:rPr/>
        <w:t>8.3 Weaponization Prohibitions</w:t>
      </w:r>
    </w:p>
    <w:p>
      <w:pPr>
        <w:pStyle w:val="FirstParagraph"/>
        <w:rPr/>
      </w:pPr>
      <w:r>
        <w:rPr/>
        <w:t>8.3.1 Iran maintains no organizational entity, program, or activity whose purpose is nuclear weapon design, weaponization research, or explosive testing relevant to nuclear weapons. The verification regime of Article 11 and Annex A includes managed access protocols for the investigation of any allegation of such activity, including allegations concerning past activities, under the Possible Military Dimensions procedure of Annex A, Section 9.</w:t>
      </w:r>
    </w:p>
    <w:p>
      <w:pPr>
        <w:pStyle w:val="TextBody"/>
        <w:rPr/>
      </w:pPr>
      <w:bookmarkStart w:id="104" w:name="X657ebc1f74864e2094b39d0d3aa2f7d56b5528f"/>
      <w:bookmarkStart w:id="105" w:name="weaponization-prohibitions"/>
      <w:r>
        <w:rPr/>
        <w:t>8.3.2 Iran prohibits on its territory the production or testing of neutron initiators, exploding-bridgewire detonation systems designed for nuclear devices, and hemispherical uranium or plutonium component fabrication, and the Verification Regime includes the technical means to confirm this prohibition.</w:t>
      </w:r>
      <w:bookmarkEnd w:id="104"/>
      <w:bookmarkEnd w:id="105"/>
    </w:p>
    <w:p>
      <w:pPr>
        <w:pStyle w:val="Heading2"/>
        <w:rPr/>
      </w:pPr>
      <w:bookmarkStart w:id="106" w:name="__RefHeading___Toc3583_773522003"/>
      <w:bookmarkStart w:id="107" w:name="article-9-the-enrichment-architecture"/>
      <w:bookmarkEnd w:id="106"/>
      <w:r>
        <w:rPr/>
        <w:t>Article 9 — The Enrichment Architecture</w:t>
      </w:r>
    </w:p>
    <w:p>
      <w:pPr>
        <w:pStyle w:val="Heading3"/>
        <w:rPr/>
      </w:pPr>
      <w:bookmarkStart w:id="108" w:name="X48d3e59c39b0881395f7425ba6c797d8a22e1d8"/>
      <w:r>
        <w:rPr/>
        <w:t>9.1 The Zero-Enrichment Baseline and the Negotiated Resolution</w:t>
      </w:r>
    </w:p>
    <w:p>
      <w:pPr>
        <w:pStyle w:val="FirstParagraph"/>
        <w:rPr/>
      </w:pPr>
      <w:bookmarkStart w:id="109" w:name="X48d3e59c39b0881395f7425ba6c797d8a22e1d8"/>
      <w:r>
        <w:rPr/>
        <w:t>9.1.1 The negotiation record contains two irreconcilable declaratory positions: the United States priority of zero uranium enrichment on Iranian territory, and Iran’s insistence on the right to enrichment under Article IV of the Treaty on the Non-Proliferation of Nuclear Weapons. This Article resolves the conflict through the consortium architecture of 9.3, which satisfies the substance of both positions: no sovereign Iranian enrichment program capable of independent breakout, and a recognized, Iranian-participating enrichment capacity under multinational ownership and permanent international supervision.</w:t>
      </w:r>
      <w:bookmarkEnd w:id="109"/>
    </w:p>
    <w:p>
      <w:pPr>
        <w:pStyle w:val="Heading3"/>
        <w:rPr/>
      </w:pPr>
      <w:bookmarkStart w:id="110" w:name="the-suspension-phase"/>
      <w:r>
        <w:rPr/>
        <w:t>9.2 The Suspension Phase</w:t>
      </w:r>
    </w:p>
    <w:p>
      <w:pPr>
        <w:pStyle w:val="FirstParagraph"/>
        <w:rPr/>
      </w:pPr>
      <w:r>
        <w:rPr/>
        <w:t>9.2.1 From Day 0, all uranium enrichment activity on Iranian territory stands suspended. All cascades at Natanz, Fordow, and any other location remain in verified cold standby; the IAEA seals and continuous surveillance of Annex A confirm this state daily.</w:t>
      </w:r>
    </w:p>
    <w:p>
      <w:pPr>
        <w:pStyle w:val="TextBody"/>
        <w:rPr/>
      </w:pPr>
      <w:bookmarkStart w:id="111" w:name="the-suspension-phase"/>
      <w:r>
        <w:rPr/>
        <w:t>9.2.2 The suspension phase runs until the Consortium of 9.3 reaches initial operation, a period planned at thirty-six months and certified segment by segment by the IAEA. During the suspension phase, Iran’s enrichment infrastructure remains intact but inert, preserved against the consortium conversion, and the corresponding reliefs of Annex C, Table C-1, flow on schedule.</w:t>
      </w:r>
      <w:bookmarkEnd w:id="111"/>
    </w:p>
    <w:p>
      <w:pPr>
        <w:pStyle w:val="Heading3"/>
        <w:rPr/>
      </w:pPr>
      <w:bookmarkStart w:id="112" w:name="the-multinational-enrichment-consortium"/>
      <w:r>
        <w:rPr/>
        <w:t>9.3 The Multinational Enrichment Consortium</w:t>
      </w:r>
    </w:p>
    <w:p>
      <w:pPr>
        <w:pStyle w:val="FirstParagraph"/>
        <w:rPr/>
      </w:pPr>
      <w:r>
        <w:rPr/>
        <w:t>9.3.1 The Parties establish, with the participation of the Sultanate of Oman, the State of Qatar, and such other states as the Joint Implementation Commission approves, a multinational uranium enrichment consortium (the “Consortium”) located on Omani territory at a site selected under Annex B, Section 6. The Consortium owns and operates all future enrichment capacity serving Iranian civilian needs.</w:t>
      </w:r>
    </w:p>
    <w:p>
      <w:pPr>
        <w:pStyle w:val="TextBody"/>
        <w:rPr/>
      </w:pPr>
      <w:r>
        <w:rPr/>
        <w:t>9.3.2 Iran participates in the Consortium as a shareholder and technical contributor, with board representation and workforce participation proportional to its shareholding. Enrichment in the Consortium is limited to assays at or below 5 percent U-235. The Consortium’s output is allocated first to Iranian reactor fuel requirements under Article 12.</w:t>
      </w:r>
    </w:p>
    <w:p>
      <w:pPr>
        <w:pStyle w:val="TextBody"/>
        <w:rPr/>
      </w:pPr>
      <w:r>
        <w:rPr/>
        <w:t>9.3.3 The Fordow facility converts, within twenty-four months of Day 0, to an international physics and isotope research center operating under IAEA supervision, conducting no enrichment. The Natanz enrichment complex converts to centrifuge research under the parameters of Annex A, Section 7: single centrifuges and small non-cascaded machines, no accumulation of enriched product, full IAEA continuous presence. This conversion preserves Iranian scientific capability within a structure that forecloses independent breakout.</w:t>
      </w:r>
    </w:p>
    <w:p>
      <w:pPr>
        <w:pStyle w:val="TextBody"/>
        <w:rPr/>
      </w:pPr>
      <w:bookmarkStart w:id="113" w:name="the-multinational-enrichment-consortium"/>
      <w:r>
        <w:rPr/>
        <w:t>9.3.4 The United States position of zero enrichment on Iranian territory is thereby met in substance and in perpetuity: from the Consortium’s initial operation, no enrichment of uranium occurs on Iranian sovereign territory under Iranian sovereign control. Iran’s participation in the Consortium preserves the dignity and technical substance of its Article IV rights. The Parties record that this architecture, not either declaratory position, is the settlement.</w:t>
      </w:r>
      <w:bookmarkEnd w:id="113"/>
    </w:p>
    <w:p>
      <w:pPr>
        <w:pStyle w:val="Heading3"/>
        <w:rPr/>
      </w:pPr>
      <w:bookmarkStart w:id="114" w:name="the-interim-fuel-guarantee"/>
      <w:r>
        <w:rPr/>
        <w:t>9.4 The Interim Fuel Guarantee</w:t>
      </w:r>
    </w:p>
    <w:p>
      <w:pPr>
        <w:pStyle w:val="FirstParagraph"/>
        <w:rPr/>
      </w:pPr>
      <w:bookmarkStart w:id="115" w:name="the-interim-fuel-guarantee"/>
      <w:r>
        <w:rPr/>
        <w:t>9.4.1 During the suspension phase, the Consortium’s founding members and the Neutral Administrator guarantee the supply of all fuel and targets required for the Tehran Research Reactor, the Bushehr Nuclear Power Plant, the Darkhovin plant upon completion, and Iranian medical isotope production, at commercial terms, with the Hormuz Account as payment channel. A guaranteed five-year forward inventory for each reactor is physically present on Iranian territory at all times from Day 90.</w:t>
      </w:r>
      <w:bookmarkEnd w:id="115"/>
    </w:p>
    <w:p>
      <w:pPr>
        <w:pStyle w:val="Heading3"/>
        <w:rPr/>
      </w:pPr>
      <w:bookmarkStart w:id="116" w:name="safeguards-on-enrichment-related-trade"/>
      <w:r>
        <w:rPr/>
        <w:t>9.5 Safeguards on Enrichment-Related Trade</w:t>
      </w:r>
    </w:p>
    <w:p>
      <w:pPr>
        <w:pStyle w:val="FirstParagraph"/>
        <w:rPr/>
      </w:pPr>
      <w:r>
        <w:rPr/>
        <w:t>9.5.1 From Day 0, Iran neither imports nor exports enrichment or reprocessing equipment or technology except as this Agreement channels it: transfers to or from the Consortium under Agency safeguards; transfers of research-scale equipment to the Natanz research configuration declared and verified under Annex A, Section 5; and transfers of safety, instrumentation, and non-nuclear industrial equipment for the civilian program under Article 12. Every covered transfer notifies the Commission and the IAEA in advance, and the Hormuz Account clears its payment.</w:t>
      </w:r>
    </w:p>
    <w:p>
      <w:pPr>
        <w:pStyle w:val="TextBody"/>
        <w:rPr/>
      </w:pPr>
      <w:bookmarkStart w:id="117" w:name="article-9-the-enrichment-architecture"/>
      <w:bookmarkStart w:id="118" w:name="safeguards-on-enrichment-related-trade"/>
      <w:r>
        <w:rPr/>
        <w:t>9.5.2 The United States and the guarantor states operate their export-control systems so that cleared transfers proceed without delay, with a thirty-day decision standard and a written-reason requirement for any denial, reviewable by the Commission. The export-control interface thereby converts from a sanctions wall into a licensing channel — the same hardware, the opposite architecture.</w:t>
      </w:r>
      <w:bookmarkEnd w:id="117"/>
      <w:bookmarkEnd w:id="118"/>
    </w:p>
    <w:p>
      <w:pPr>
        <w:pStyle w:val="Heading2"/>
        <w:rPr/>
      </w:pPr>
      <w:bookmarkStart w:id="119" w:name="__RefHeading___Toc3585_773522003"/>
      <w:bookmarkStart w:id="120" w:name="article-10-stockpile-disposition"/>
      <w:bookmarkEnd w:id="119"/>
      <w:r>
        <w:rPr/>
        <w:t>Article 10 — Stockpile Disposition</w:t>
      </w:r>
    </w:p>
    <w:p>
      <w:pPr>
        <w:pStyle w:val="Heading3"/>
        <w:rPr/>
      </w:pPr>
      <w:bookmarkStart w:id="121" w:name="the-inventory"/>
      <w:r>
        <w:rPr/>
        <w:t>10.1 The Inventory</w:t>
      </w:r>
    </w:p>
    <w:p>
      <w:pPr>
        <w:pStyle w:val="FirstParagraph"/>
        <w:rPr/>
      </w:pPr>
      <w:r>
        <w:rPr/>
        <w:t>10.1.1 Within fifteen days of Day 0, Iran declares to the IAEA the complete inventory and location of all enriched uranium, all uranium in any form enriched above 5 percent, and all related conversion and processing residues, including all material relocated before, during, or after the strikes of 2025 and 2026. The IAEA verifies the declaration within thirty days against its continuity-of-knowledge records, satellite and environmental sampling data, and the site-access protocol of Annex A.</w:t>
      </w:r>
    </w:p>
    <w:p>
      <w:pPr>
        <w:pStyle w:val="TextBody"/>
        <w:rPr/>
      </w:pPr>
      <w:bookmarkStart w:id="122" w:name="the-inventory"/>
      <w:r>
        <w:rPr/>
        <w:t>10.1.2 The Parties acknowledge the negotiation reality that portions of the highly enriched stockpile survived the strikes and remain under Iranian control, and that the disposition of this material is the single most urgent technical task of the settlement. Annex B states the complete disposition schedule.</w:t>
      </w:r>
      <w:bookmarkEnd w:id="122"/>
    </w:p>
    <w:p>
      <w:pPr>
        <w:pStyle w:val="Heading3"/>
        <w:rPr/>
      </w:pPr>
      <w:bookmarkStart w:id="123" w:name="the-disposition-method"/>
      <w:r>
        <w:rPr/>
        <w:t>10.2 The Disposition Method</w:t>
      </w:r>
    </w:p>
    <w:p>
      <w:pPr>
        <w:pStyle w:val="FirstParagraph"/>
        <w:rPr/>
      </w:pPr>
      <w:r>
        <w:rPr/>
        <w:t>10.2.1 The baseline methodology is down-blending on site under IAEA supervision, the minimum methodology recorded in the negotiation record: all uranium enriched above 5 percent blends down to natural or depleted assay, or to reactor-grade fuel form under 10.2.3, within one hundred eighty days of verification of the 10.1.1 declaration.</w:t>
      </w:r>
    </w:p>
    <w:p>
      <w:pPr>
        <w:pStyle w:val="TextBody"/>
        <w:rPr/>
      </w:pPr>
      <w:r>
        <w:rPr/>
        <w:t>10.2.2 As an alternative elected segment by segment by the Joint Implementation Commission, material ships out of Iranian territory to the Neutral Administrator’s custody for down-blending or disposal abroad, with title passing to the Consortium at the point of transfer and compensation credited to Iran through the Hormuz Account at the schedule of Annex B, Section 4. The United States position favoring removal of the material from Iranian territory is honored through this elected track; the Iranian position favoring on-site treatment under supervision is honored through the baseline track; the Commission elects per segment on technical and security grounds, and neither Party conditions the election on any extraneous matter.</w:t>
      </w:r>
    </w:p>
    <w:p>
      <w:pPr>
        <w:pStyle w:val="TextBody"/>
        <w:rPr/>
      </w:pPr>
      <w:bookmarkStart w:id="124" w:name="the-disposition-method"/>
      <w:r>
        <w:rPr/>
        <w:t>10.2.3 Material suitable for fabrication into fuel or targets for the Tehran Research Reactor converts to that form under IAEA supervision and enters the reactor’s sealed inventory, permanently dedicated to civilian use.</w:t>
      </w:r>
      <w:bookmarkEnd w:id="124"/>
    </w:p>
    <w:p>
      <w:pPr>
        <w:pStyle w:val="Heading3"/>
        <w:rPr/>
      </w:pPr>
      <w:bookmarkStart w:id="125" w:name="verification-of-completeness"/>
      <w:r>
        <w:rPr/>
        <w:t>10.3 Verification of Completeness</w:t>
      </w:r>
    </w:p>
    <w:p>
      <w:pPr>
        <w:pStyle w:val="FirstParagraph"/>
        <w:rPr/>
      </w:pPr>
      <w:r>
        <w:rPr/>
        <w:t>10.3.1 Disposition of each segment completes upon IAEA certification. The certification of the final segment activates the final paired reliefs of Annex C, Table C-3, including the termination of remaining nuclear-related UN and secondary measures under the procedure of Article 15.4.</w:t>
      </w:r>
    </w:p>
    <w:p>
      <w:pPr>
        <w:pStyle w:val="TextBody"/>
        <w:rPr/>
      </w:pPr>
      <w:bookmarkStart w:id="126" w:name="article-10-stockpile-disposition"/>
      <w:bookmarkStart w:id="127" w:name="verification-of-completeness"/>
      <w:r>
        <w:rPr/>
        <w:t>10.3.2 The IAEA’s broader conclusion regarding the absence of undeclared nuclear material and activities in Iran, when issued under Annex A, Section 10, activates the terminal certification of the nuclear track. The Commission neither accelerates nor delays this conclusion; it is a technical act of the Agency alone.</w:t>
      </w:r>
      <w:bookmarkEnd w:id="126"/>
      <w:bookmarkEnd w:id="127"/>
    </w:p>
    <w:p>
      <w:pPr>
        <w:pStyle w:val="Heading2"/>
        <w:rPr/>
      </w:pPr>
      <w:bookmarkStart w:id="128" w:name="__RefHeading___Toc3587_773522003"/>
      <w:bookmarkStart w:id="129" w:name="article-11-the-verification-regime"/>
      <w:bookmarkEnd w:id="128"/>
      <w:r>
        <w:rPr/>
        <w:t>Article 11 — The Verification Regime</w:t>
      </w:r>
    </w:p>
    <w:p>
      <w:pPr>
        <w:pStyle w:val="Heading3"/>
        <w:rPr/>
      </w:pPr>
      <w:bookmarkStart w:id="130" w:name="the-standard"/>
      <w:r>
        <w:rPr/>
        <w:t>11.1 The Standard</w:t>
      </w:r>
    </w:p>
    <w:p>
      <w:pPr>
        <w:pStyle w:val="FirstParagraph"/>
        <w:rPr/>
      </w:pPr>
      <w:bookmarkStart w:id="131" w:name="the-standard"/>
      <w:r>
        <w:rPr/>
        <w:t>11.1.1 The Agreement installs, as a permanent state of affairs, the strongest verification regime applied to any non-nuclear-weapon state: full implementation of the Comprehensive Safeguards Agreement and the Additional Protocol, provisionally applied from Day 0 and ratified by Iran within twelve months, plus the enhanced measures of Annex A, which include continuous online enrichment monitoring, daily access to declared sites, managed access to any location within twenty-four hours of an IAEA request, environmental sampling without prior notice, and real-time transmission of surveillance data to the Agency.</w:t>
      </w:r>
      <w:bookmarkEnd w:id="131"/>
    </w:p>
    <w:p>
      <w:pPr>
        <w:pStyle w:val="Heading3"/>
        <w:rPr/>
      </w:pPr>
      <w:bookmarkStart w:id="132" w:name="access-to-damaged-sites"/>
      <w:r>
        <w:rPr/>
        <w:t>11.2 Access to Damaged Sites</w:t>
      </w:r>
    </w:p>
    <w:p>
      <w:pPr>
        <w:pStyle w:val="FirstParagraph"/>
        <w:rPr/>
      </w:pPr>
      <w:bookmarkStart w:id="133" w:name="access-to-damaged-sites"/>
      <w:r>
        <w:rPr/>
        <w:t>11.2.1 The verification regime expressly covers the sites struck in 2025 and 2026 — Fordow, Natanz, Isfahan, and associated locations — including access for damage assessment, salvage verification, rubble and debris accounting, and recovery of any safeguarded material. Access to these sites commences within seven days of Day 0 and resolves the dispute recorded in the negotiation record over post-strike inspection. The IAEA reports its findings to the Joint Implementation Commission and, through the Director General, to the Board of Governors.</w:t>
      </w:r>
      <w:bookmarkEnd w:id="133"/>
    </w:p>
    <w:p>
      <w:pPr>
        <w:pStyle w:val="Heading3"/>
        <w:rPr/>
      </w:pPr>
      <w:bookmarkStart w:id="134" w:name="insulation-from-politics"/>
      <w:r>
        <w:rPr/>
        <w:t>11.3 Insulation from Politics</w:t>
      </w:r>
    </w:p>
    <w:p>
      <w:pPr>
        <w:pStyle w:val="FirstParagraph"/>
        <w:rPr/>
      </w:pPr>
      <w:bookmarkStart w:id="135" w:name="insulation-from-politics"/>
      <w:r>
        <w:rPr/>
        <w:t>11.3.1 Verification is technical, continuous, and insulated. Neither Party conditions IAEA access on the state of any other track, on the conduct of third states, or on the political temperature of the moment. An Iranian action that materially degrades verification activates the automatic protective suspension of Article 32.5 in respect of the paired reliefs — and nothing else; verification gaps never, in themselves, authorize or trigger military action by any party. This insulation is the core bargain of the track: access is permanent, and access is never a casus belli.</w:t>
      </w:r>
      <w:bookmarkEnd w:id="135"/>
    </w:p>
    <w:p>
      <w:pPr>
        <w:pStyle w:val="Heading3"/>
        <w:rPr/>
      </w:pPr>
      <w:bookmarkStart w:id="136" w:name="resourcing"/>
      <w:r>
        <w:rPr/>
        <w:t>11.4 Resourcing</w:t>
      </w:r>
    </w:p>
    <w:p>
      <w:pPr>
        <w:pStyle w:val="FirstParagraph"/>
        <w:rPr/>
      </w:pPr>
      <w:bookmarkStart w:id="137" w:name="resourcing"/>
      <w:r>
        <w:rPr/>
        <w:t>11.4.1 The costs of the enhanced verification regime, above the IAEA’s regular safeguards budget, are borne by a dedicated Verification Fund administered by the Neutral Administrator, financed in equal thirds by the United States, the Consortium members other than Iran, and the voluntary Hormuz services architecture of Article 25, per the schedule of Annex A, Section 11. Verification never waits on money.</w:t>
      </w:r>
      <w:bookmarkEnd w:id="137"/>
    </w:p>
    <w:p>
      <w:pPr>
        <w:pStyle w:val="Heading3"/>
        <w:rPr/>
      </w:pPr>
      <w:bookmarkStart w:id="138" w:name="X2a2099221eb282f90e46e2785ca66e6d9197d34"/>
      <w:r>
        <w:rPr/>
        <w:t>11.5 Data, Confidentiality, and the Non-Misuse Rule</w:t>
      </w:r>
    </w:p>
    <w:p>
      <w:pPr>
        <w:pStyle w:val="FirstParagraph"/>
        <w:rPr/>
      </w:pPr>
      <w:bookmarkStart w:id="139" w:name="X2a2099221eb282f90e46e2785ca66e6d9197d34"/>
      <w:r>
        <w:rPr/>
        <w:t>11.5.1 Verification data — imagery, sampling results, surveillance records, declarations — belongs to the verification function alone. The IAEA handles it under its confidentiality regime; the Commission receives the Agency’s conclusions and such supporting detail as the Agency’s rules permit; neither Party obtains verification data for intelligence exploitation unrelated to this Agreement. Misuse of verification access for targeting is a Tier 3 violation of this Agreement. This rule protects the verification regime’s legitimacy in Tehran and its credibility in Washington simultaneously, and it is the answer to the “war of statements” the Agency’s Director General recorded over inspection access: access is total, and access is clean.</w:t>
      </w:r>
      <w:bookmarkEnd w:id="139"/>
    </w:p>
    <w:p>
      <w:pPr>
        <w:pStyle w:val="Heading3"/>
        <w:rPr/>
      </w:pPr>
      <w:bookmarkStart w:id="140" w:name="inspector-safety-and-facilitation"/>
      <w:r>
        <w:rPr/>
        <w:t>11.6 Inspector Safety and Facilitation</w:t>
      </w:r>
    </w:p>
    <w:p>
      <w:pPr>
        <w:pStyle w:val="FirstParagraph"/>
        <w:rPr/>
      </w:pPr>
      <w:bookmarkStart w:id="141" w:name="article-11-the-verification-regime"/>
      <w:bookmarkStart w:id="142" w:name="inspector-safety-and-facilitation"/>
      <w:r>
        <w:rPr/>
        <w:t>11.6.1 Iran guarantees the safety, security, visas, communications, and freedom of movement of IAEA inspectors and equipment, with a standing inspector-support office in Tehran staffed jointly by the Atomic Energy Organization of Iran and the Agency. The United States and the guarantor states facilitate inspector logistics through the region as the Agency requests. An obstruction of inspector safety or movement routes immediately to the Commission as a reportable incident.</w:t>
      </w:r>
      <w:bookmarkEnd w:id="141"/>
      <w:bookmarkEnd w:id="142"/>
    </w:p>
    <w:p>
      <w:pPr>
        <w:pStyle w:val="Heading2"/>
        <w:rPr/>
      </w:pPr>
      <w:bookmarkStart w:id="143" w:name="__RefHeading___Toc3589_773522003"/>
      <w:bookmarkStart w:id="144" w:name="Xc64c6c0df323a6599b6be91553d12dafdf00072"/>
      <w:bookmarkEnd w:id="143"/>
      <w:r>
        <w:rPr/>
        <w:t>Article 12 — Peaceful Nuclear Program and Fuel Cycle Services</w:t>
      </w:r>
    </w:p>
    <w:p>
      <w:pPr>
        <w:pStyle w:val="Heading3"/>
        <w:rPr/>
      </w:pPr>
      <w:bookmarkStart w:id="145" w:name="the-affirmed-program"/>
      <w:r>
        <w:rPr/>
        <w:t>12.1 The Affirmed Program</w:t>
      </w:r>
    </w:p>
    <w:p>
      <w:pPr>
        <w:pStyle w:val="FirstParagraph"/>
        <w:rPr/>
      </w:pPr>
      <w:r>
        <w:rPr/>
        <w:t>12.1.1 The Agreement affirms Iran’s right to the peaceful uses of nuclear energy under the NPT as the Consortium architecture implements it: power generation at Bushehr and Darkhovin, research reactor operation, medical isotope production, desalination development, and participation in the Consortium and in international nuclear science, including the converted Fordow center.</w:t>
      </w:r>
    </w:p>
    <w:p>
      <w:pPr>
        <w:pStyle w:val="TextBody"/>
        <w:rPr/>
      </w:pPr>
      <w:bookmarkStart w:id="146" w:name="the-affirmed-program"/>
      <w:r>
        <w:rPr/>
        <w:t>12.1.2 The United States supports, and removes legal barriers to, international civil nuclear cooperation with Iran within the parameters of this Part, including safety upgrades at Bushehr and Darkhovin and the completion of the Darkhovin plant under international safety supervision — a direct answer to the wartime damage the conflict inflicted on civilian nuclear-linked infrastructure.</w:t>
      </w:r>
      <w:bookmarkEnd w:id="146"/>
    </w:p>
    <w:p>
      <w:pPr>
        <w:pStyle w:val="Heading3"/>
        <w:rPr/>
      </w:pPr>
      <w:bookmarkStart w:id="147" w:name="heavy-water-and-plutonium"/>
      <w:r>
        <w:rPr/>
        <w:t>12.2 Heavy Water and Plutonium</w:t>
      </w:r>
    </w:p>
    <w:p>
      <w:pPr>
        <w:pStyle w:val="FirstParagraph"/>
        <w:rPr/>
      </w:pPr>
      <w:bookmarkStart w:id="148" w:name="heavy-water-and-plutonium"/>
      <w:r>
        <w:rPr/>
        <w:t>12.2.1 Iran maintains no facility capable of reprocessing spent fuel, conducts no reprocessing, and exports all spent fuel from power reactors within one year of discharge. Heavy water production operates within the limits of Annex B, Section 7, with excess production sold through the Hormuz Account on the international market.</w:t>
      </w:r>
      <w:bookmarkEnd w:id="148"/>
    </w:p>
    <w:p>
      <w:pPr>
        <w:pStyle w:val="Heading3"/>
        <w:rPr/>
      </w:pPr>
      <w:bookmarkStart w:id="149" w:name="the-long-term-review"/>
      <w:r>
        <w:rPr/>
        <w:t>12.3 The Long-Term Review</w:t>
      </w:r>
    </w:p>
    <w:p>
      <w:pPr>
        <w:pStyle w:val="FirstParagraph"/>
        <w:rPr/>
      </w:pPr>
      <w:r>
        <w:rPr/>
        <w:t>12.3.1 Fifteen years after the IAEA broader conclusion of 10.3.2, the Joint Implementation Commission reviews the nuclear track. The review considers the maturation of the Consortium and the permanent character of all commitments; it contemplates no sunset of the non-nuclear-weapon commitment of Article 8.1 or of the core verification measures, which are permanent, and it considers the normalization of Iran’s file in all international bodies as a completed state, not a prospect.</w:t>
      </w:r>
    </w:p>
    <w:p>
      <w:pPr>
        <w:pStyle w:val="Normal"/>
        <w:rPr/>
      </w:pPr>
      <w:bookmarkStart w:id="150" w:name="part-iv-the-nuclear-track"/>
      <w:bookmarkStart w:id="151" w:name="Xc64c6c0df323a6599b6be91553d12dafdf00072"/>
      <w:bookmarkStart w:id="152" w:name="the-long-term-review"/>
      <w:r>
        <w:rPr/>
        <mc:AlternateContent>
          <mc:Choice Requires="wps">
            <w:drawing>
              <wp:inline distT="0" distB="0" distL="0" distR="0">
                <wp:extent cx="5943600" cy="19050"/>
                <wp:effectExtent l="0" t="0" r="0" b="0"/>
                <wp:docPr id="5" name=""/>
                <a:graphic xmlns:a="http://schemas.openxmlformats.org/drawingml/2006/main">
                  <a:graphicData uri="http://schemas.microsoft.com/office/word/2010/wordprocessingShape">
                    <wps:wsp>
                      <wps:cNvSpPr/>
                      <wps:nvSpPr>
                        <wps:cNvPr id="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0"/>
      <w:bookmarkEnd w:id="151"/>
      <w:bookmarkEnd w:id="152"/>
    </w:p>
    <w:p>
      <w:pPr>
        <w:pStyle w:val="Heading1"/>
        <w:rPr/>
      </w:pPr>
      <w:bookmarkStart w:id="153" w:name="__RefHeading___Toc3591_773522003"/>
      <w:bookmarkStart w:id="154" w:name="X9578e2bd3ae6fc806e1b120c877810906eacc02"/>
      <w:bookmarkEnd w:id="153"/>
      <w:r>
        <w:rPr/>
        <w:t>Part V — Ballistic Missiles and Self-Defense</w:t>
      </w:r>
    </w:p>
    <w:p>
      <w:pPr>
        <w:pStyle w:val="Heading2"/>
        <w:rPr/>
      </w:pPr>
      <w:bookmarkStart w:id="155" w:name="__RefHeading___Toc3593_773522003"/>
      <w:bookmarkStart w:id="156" w:name="article-13-the-proportionality-standard"/>
      <w:bookmarkEnd w:id="155"/>
      <w:r>
        <w:rPr/>
        <w:t>Article 13 — The Proportionality Standard</w:t>
      </w:r>
    </w:p>
    <w:p>
      <w:pPr>
        <w:pStyle w:val="Heading3"/>
        <w:rPr/>
      </w:pPr>
      <w:bookmarkStart w:id="157" w:name="the-settlement-of-the-missile-file"/>
      <w:r>
        <w:rPr/>
        <w:t>13.1 The Settlement of the Missile File</w:t>
      </w:r>
    </w:p>
    <w:p>
      <w:pPr>
        <w:pStyle w:val="FirstParagraph"/>
        <w:rPr/>
      </w:pPr>
      <w:r>
        <w:rPr/>
        <w:t>13.1.1 The Parties resolve the ballistic missile file on the proportionality standard recorded in the negotiation record: the United States accepts that Iran maintains ballistic missile forces in relative proportion to the missile and strike capabilities of neighboring Gulf states; Iran accepts a standing transparency regime and the capability ceilings of this Article. The framework thereby protects legitimate self-defense while foreclosing forces that broadly threaten beyond the region.</w:t>
      </w:r>
    </w:p>
    <w:p>
      <w:pPr>
        <w:pStyle w:val="TextBody"/>
        <w:rPr/>
      </w:pPr>
      <w:bookmarkStart w:id="158" w:name="the-settlement-of-the-missile-file"/>
      <w:r>
        <w:rPr/>
        <w:t>13.1.2 The ceiling architecture: Iran’s deployed ballistic missile forces are limited to systems with a maximum range of 2,000 kilometers, with aggregate deployed launcher numbers and annual production rates declared and verified under Annex D, Section 5. Iran conducts no development, testing, or deployment of intercontinental-range systems, and no testing of systems with ranges above 2,000 kilometers.</w:t>
      </w:r>
      <w:bookmarkEnd w:id="158"/>
    </w:p>
    <w:p>
      <w:pPr>
        <w:pStyle w:val="Heading3"/>
        <w:rPr/>
      </w:pPr>
      <w:bookmarkStart w:id="159" w:name="space-launch-interface"/>
      <w:r>
        <w:rPr/>
        <w:t>13.2 Space Launch Interface</w:t>
      </w:r>
    </w:p>
    <w:p>
      <w:pPr>
        <w:pStyle w:val="FirstParagraph"/>
        <w:rPr/>
      </w:pPr>
      <w:bookmarkStart w:id="160" w:name="space-launch-interface"/>
      <w:r>
        <w:rPr/>
        <w:t>13.2.1 Iran’s space launch program continues as a civilian program under a transparency protocol: all launches announced seventy-two hours in advance through the Joint Implementation Commission, with telemetry data shared and payloads declared. The protocol converts a proliferation-relevant gray zone into a documented civilian activity, and preserves Iran’s scientific and commercial space access.</w:t>
      </w:r>
      <w:bookmarkEnd w:id="160"/>
    </w:p>
    <w:p>
      <w:pPr>
        <w:pStyle w:val="Heading3"/>
        <w:rPr/>
      </w:pPr>
      <w:bookmarkStart w:id="161" w:name="verification"/>
      <w:r>
        <w:rPr/>
        <w:t>13.3 Verification</w:t>
      </w:r>
    </w:p>
    <w:p>
      <w:pPr>
        <w:pStyle w:val="FirstParagraph"/>
        <w:rPr/>
      </w:pPr>
      <w:bookmarkStart w:id="162" w:name="article-13-the-proportionality-standard"/>
      <w:bookmarkStart w:id="163" w:name="verification"/>
      <w:r>
        <w:rPr/>
        <w:t>13.3.1 Verification of this Article operates through national technical means shared to the Commission under the reciprocal transparency protocol of Annex D, Section 5, quarterly force-structure declarations by Iran, and reciprocal declarations by the United States of regional strike-capability deployments relevant to the proportionality baseline. The proportionality baseline is itself reviewed annually so that the standard remains a living equilibrium rather than a frozen snapshot.</w:t>
      </w:r>
      <w:bookmarkEnd w:id="162"/>
      <w:bookmarkEnd w:id="163"/>
    </w:p>
    <w:p>
      <w:pPr>
        <w:pStyle w:val="Heading2"/>
        <w:rPr/>
      </w:pPr>
      <w:bookmarkStart w:id="164" w:name="__RefHeading___Toc3595_773522003"/>
      <w:bookmarkStart w:id="165" w:name="Xd2b719fca5f086653f642ce5c82d261cd48c78b"/>
      <w:bookmarkEnd w:id="164"/>
      <w:r>
        <w:rPr/>
        <w:t>Article 14 — Transparency and Notification Measures</w:t>
      </w:r>
    </w:p>
    <w:p>
      <w:pPr>
        <w:pStyle w:val="Heading3"/>
        <w:rPr/>
      </w:pPr>
      <w:bookmarkStart w:id="166" w:name="test-notification"/>
      <w:r>
        <w:rPr/>
        <w:t>14.1 Test Notification</w:t>
      </w:r>
    </w:p>
    <w:p>
      <w:pPr>
        <w:pStyle w:val="FirstParagraph"/>
        <w:rPr/>
      </w:pPr>
      <w:bookmarkStart w:id="167" w:name="test-notification"/>
      <w:r>
        <w:rPr/>
        <w:t>14.1.1 Iran notifies all ballistic missile flight tests to the Commission no fewer than seventy-two hours in advance, with hazard areas published through maritime and aviation channels. Tests above 1,000 kilometers range occur no more frequently than twice annually and are observed by technical observers nominated by the Commission where the Commission so decides by consensus.</w:t>
      </w:r>
      <w:bookmarkEnd w:id="167"/>
    </w:p>
    <w:p>
      <w:pPr>
        <w:pStyle w:val="Heading3"/>
        <w:rPr/>
      </w:pPr>
      <w:bookmarkStart w:id="168" w:name="transfer-restraints"/>
      <w:r>
        <w:rPr/>
        <w:t>14.2 Transfer Restraints</w:t>
      </w:r>
    </w:p>
    <w:p>
      <w:pPr>
        <w:pStyle w:val="FirstParagraph"/>
        <w:rPr/>
      </w:pPr>
      <w:bookmarkStart w:id="169" w:name="transfer-restraints"/>
      <w:r>
        <w:rPr/>
        <w:t>14.2.1 Iran does not transfer complete ballistic missile systems, production technology, or missiles with ranges above 300 kilometers to non-state actors. Transfers to states, where any, are declared to the Commission and consistent with the range ceiling of Article 13. This clause discharges, in precise treaty form, the core security concern behind the transfer file while leaving Iran’s conventional defense trade within declared channels.</w:t>
      </w:r>
      <w:bookmarkEnd w:id="169"/>
    </w:p>
    <w:p>
      <w:pPr>
        <w:pStyle w:val="Heading3"/>
        <w:rPr/>
      </w:pPr>
      <w:bookmarkStart w:id="170" w:name="relationship-to-the-nuclear-track"/>
      <w:r>
        <w:rPr/>
        <w:t>14.3 Relationship to the Nuclear Track</w:t>
      </w:r>
    </w:p>
    <w:p>
      <w:pPr>
        <w:pStyle w:val="FirstParagraph"/>
        <w:rPr/>
      </w:pPr>
      <w:r>
        <w:rPr/>
        <w:t>14.3.1 The missile track is independent of the nuclear track under the Partial Success Doctrine. The Parties nonetheless record their shared understanding that the non-nuclear-weapon commitment of Article 8 removes the strategic rationale for any expansion of the missile force beyond the proportionality ceiling, and that verified performance of Article 8 is the structural guarantee that the missile file remains settled.</w:t>
      </w:r>
    </w:p>
    <w:p>
      <w:pPr>
        <w:pStyle w:val="Normal"/>
        <w:rPr/>
      </w:pPr>
      <w:bookmarkStart w:id="171" w:name="X9578e2bd3ae6fc806e1b120c877810906eacc02"/>
      <w:bookmarkStart w:id="172" w:name="Xd2b719fca5f086653f642ce5c82d261cd48c78b"/>
      <w:bookmarkStart w:id="173" w:name="relationship-to-the-nuclear-track"/>
      <w:r>
        <w:rPr/>
        <mc:AlternateContent>
          <mc:Choice Requires="wps">
            <w:drawing>
              <wp:inline distT="0" distB="0" distL="0" distR="0">
                <wp:extent cx="5943600" cy="19050"/>
                <wp:effectExtent l="0" t="0" r="0" b="0"/>
                <wp:docPr id="6"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1"/>
      <w:bookmarkEnd w:id="172"/>
      <w:bookmarkEnd w:id="173"/>
    </w:p>
    <w:p>
      <w:pPr>
        <w:pStyle w:val="Heading1"/>
        <w:rPr/>
      </w:pPr>
      <w:bookmarkStart w:id="174" w:name="__RefHeading___Toc3597_773522003"/>
      <w:bookmarkStart w:id="175" w:name="Xfddc689d80cfca7fdf9336311232703f0076141"/>
      <w:bookmarkEnd w:id="174"/>
      <w:r>
        <w:rPr/>
        <w:t>Part VI — Sanctions Relief and Economic Normalization</w:t>
      </w:r>
    </w:p>
    <w:p>
      <w:pPr>
        <w:pStyle w:val="Heading2"/>
        <w:rPr/>
      </w:pPr>
      <w:bookmarkStart w:id="176" w:name="__RefHeading___Toc3599_773522003"/>
      <w:bookmarkStart w:id="177" w:name="article-15-the-relief-architecture"/>
      <w:bookmarkEnd w:id="176"/>
      <w:r>
        <w:rPr/>
        <w:t>Article 15 — The Relief Architecture</w:t>
      </w:r>
    </w:p>
    <w:p>
      <w:pPr>
        <w:pStyle w:val="Heading3"/>
        <w:rPr/>
      </w:pPr>
      <w:bookmarkStart w:id="178" w:name="scope-and-character"/>
      <w:r>
        <w:rPr/>
        <w:t>15.1 Scope and Character</w:t>
      </w:r>
    </w:p>
    <w:p>
      <w:pPr>
        <w:pStyle w:val="FirstParagraph"/>
        <w:rPr/>
      </w:pPr>
      <w:r>
        <w:rPr/>
        <w:t>15.1.1 Upon Day 0, and thereafter per the Sequencing Tables of Annex C, the United States terminates, waives, licenses, or delists — as each measure legally requires — the entirety of the sanctions architecture applied against Iran in connection with the nuclear file, the missile file, the terrorism designations arising from the regional file, and the wartime measures of 2025 and 2026, in the categories and on the schedule of Annex C.</w:t>
      </w:r>
    </w:p>
    <w:p>
      <w:pPr>
        <w:pStyle w:val="TextBody"/>
        <w:rPr/>
      </w:pPr>
      <w:bookmarkStart w:id="179" w:name="scope-and-character"/>
      <w:r>
        <w:rPr/>
        <w:t>15.1.2 Relief under this Agreement is performance-paired but not hostage-held: each relief element pairs with a defined performance milestone, banks permanently upon certification of that milestone under Article 19, and thereafter is reversible only through the Compliance Engine of Article 32. No relief is subject to discretionary reimposition, administrative expiration, or unilateral reinterpretation.</w:t>
      </w:r>
      <w:bookmarkEnd w:id="179"/>
    </w:p>
    <w:p>
      <w:pPr>
        <w:pStyle w:val="Heading3"/>
        <w:rPr/>
      </w:pPr>
      <w:bookmarkStart w:id="180" w:name="the-statutory-and-executive-instruments"/>
      <w:r>
        <w:rPr/>
        <w:t>15.2 The Statutory and Executive Instruments</w:t>
      </w:r>
    </w:p>
    <w:p>
      <w:pPr>
        <w:pStyle w:val="FirstParagraph"/>
        <w:rPr/>
      </w:pPr>
      <w:r>
        <w:rPr/>
        <w:t>15.2.1 The United States implements relief through: (a) termination of the wartime national emergencies and associated executive orders; (b) revocation or permanent waiver of the sanctions executive orders listed in Annex C, Table C-2; (c) issuance of general licenses and delistings by the Office of Foreign Assets Control per the published schedule; (d) cessation of secondary-sanctions enforcement against third-country persons transacting with Iran in the covered categories; and (e) initiation, within ninety days of Day 0, of the legislative process for statutory repeal of the core nuclear-related statutes, with interim waiver authority exercised without interruption until repeal completes.</w:t>
      </w:r>
    </w:p>
    <w:p>
      <w:pPr>
        <w:pStyle w:val="TextBody"/>
        <w:rPr/>
      </w:pPr>
      <w:bookmarkStart w:id="181" w:name="the-statutory-and-executive-instruments"/>
      <w:r>
        <w:rPr/>
        <w:t>15.2.2 Iran implements its corresponding regulatory normalization: removal of wartime capital controls inconsistent with the Agreement, restoration of SWIFT connectivity, and completion of the FATF Action Plan measures Iran has ratified, per Annex C, Table C-4.</w:t>
      </w:r>
      <w:bookmarkEnd w:id="181"/>
    </w:p>
    <w:p>
      <w:pPr>
        <w:pStyle w:val="Heading3"/>
        <w:rPr/>
      </w:pPr>
      <w:bookmarkStart w:id="182" w:name="the-u.s.-investment-position"/>
      <w:r>
        <w:rPr/>
        <w:t>15.3 The U.S. Investment Position</w:t>
      </w:r>
    </w:p>
    <w:p>
      <w:pPr>
        <w:pStyle w:val="FirstParagraph"/>
        <w:rPr/>
      </w:pPr>
      <w:bookmarkStart w:id="183" w:name="the-u.s.-investment-position"/>
      <w:r>
        <w:rPr/>
        <w:t>15.3.1 Consistent with the stated United States position that there is no U.S. state investment in Iran, this Agreement creates no obligation of United States government investment or expenditure in Iran. Private United States persons receive, upon certification of the relevant milestones, general licenses to trade and invest in Iran in the covered categories, and the reconstruction architecture of Article 18 operates through private capital, regional funds, and international financial institutions, not through United States government funds.</w:t>
      </w:r>
      <w:bookmarkEnd w:id="183"/>
    </w:p>
    <w:p>
      <w:pPr>
        <w:pStyle w:val="Heading3"/>
        <w:rPr/>
      </w:pPr>
      <w:bookmarkStart w:id="184" w:name="un-and-multilateral-measures"/>
      <w:r>
        <w:rPr/>
        <w:t>15.4 UN and Multilateral Measures</w:t>
      </w:r>
    </w:p>
    <w:p>
      <w:pPr>
        <w:pStyle w:val="FirstParagraph"/>
        <w:rPr/>
      </w:pPr>
      <w:bookmarkStart w:id="185" w:name="article-15-the-relief-architecture"/>
      <w:bookmarkStart w:id="186" w:name="un-and-multilateral-measures"/>
      <w:r>
        <w:rPr/>
        <w:t>15.4.1 Upon terminal certification of the nuclear track under Article 10.3.2, the United States and Iran jointly request, and the United States supports as a permanent member, the adoption of the UN Security Council resolution of Article 36 terminating all remaining Iran nuclear-related measures of prior resolutions. The European parties’ stated willingness to lift certain sanctions under a new nuclear agreement is engaged through the guarantor consultations of Article 35.4.</w:t>
      </w:r>
      <w:bookmarkEnd w:id="185"/>
      <w:bookmarkEnd w:id="186"/>
    </w:p>
    <w:p>
      <w:pPr>
        <w:pStyle w:val="Heading2"/>
        <w:rPr/>
      </w:pPr>
      <w:bookmarkStart w:id="187" w:name="__RefHeading___Toc3601_773522003"/>
      <w:bookmarkStart w:id="188" w:name="X7590a4d12c22f44ebac9220ef5d4959a24c376f"/>
      <w:bookmarkEnd w:id="187"/>
      <w:r>
        <w:rPr/>
        <w:t>Article 16 — Oil Exports, Banking, Insurance, and Transportation</w:t>
      </w:r>
    </w:p>
    <w:p>
      <w:pPr>
        <w:pStyle w:val="Heading3"/>
        <w:rPr/>
      </w:pPr>
      <w:bookmarkStart w:id="189" w:name="oil-and-petrochemical-exports"/>
      <w:r>
        <w:rPr/>
        <w:t>16.1 Oil and Petrochemical Exports</w:t>
      </w:r>
    </w:p>
    <w:p>
      <w:pPr>
        <w:pStyle w:val="FirstParagraph"/>
        <w:rPr/>
      </w:pPr>
      <w:r>
        <w:rPr/>
        <w:t>16.1.1 From Day 0, the waiver of sanctions on Iranian oil exports, performed under the Islamabad MoU, converts to permanent lifting: Iranian crude, condensate, refined products, and petrochemicals sell on the world market without quantity limit, destination restriction, or price condition, and the proceeds clear through normal banking channels.</w:t>
      </w:r>
    </w:p>
    <w:p>
      <w:pPr>
        <w:pStyle w:val="TextBody"/>
        <w:rPr/>
      </w:pPr>
      <w:bookmarkStart w:id="190" w:name="oil-and-petrochemical-exports"/>
      <w:r>
        <w:rPr/>
        <w:t>16.1.2 The United States issues the corresponding general licenses and terminates enforcement against purchasers, insurers, shippers, classification societies, and financiers of Iranian oil trade.</w:t>
      </w:r>
      <w:bookmarkEnd w:id="190"/>
    </w:p>
    <w:p>
      <w:pPr>
        <w:pStyle w:val="Heading3"/>
        <w:rPr/>
      </w:pPr>
      <w:bookmarkStart w:id="191" w:name="banking-and-financial-channels"/>
      <w:r>
        <w:rPr/>
        <w:t>16.2 Banking and Financial Channels</w:t>
      </w:r>
    </w:p>
    <w:p>
      <w:pPr>
        <w:pStyle w:val="FirstParagraph"/>
        <w:rPr/>
      </w:pPr>
      <w:bookmarkStart w:id="192" w:name="banking-and-financial-channels"/>
      <w:r>
        <w:rPr/>
        <w:t>16.2.1 Sanctions on Iranian banking, insurance, and transportation — lifted on an interim basis under the MoU pending final agreement — are permanently terminated per Annex C. Iranian banks reconnect to international messaging systems within thirty days of Day 0; correspondent banking relationships re-establish under the standard licensing of Annex C, Table C-2; and the United States designates a compliance guidance channel through which financial institutions obtain written, binding comfort on the scope of permitted transactions.</w:t>
      </w:r>
      <w:bookmarkEnd w:id="192"/>
    </w:p>
    <w:p>
      <w:pPr>
        <w:pStyle w:val="Heading3"/>
        <w:rPr/>
      </w:pPr>
      <w:bookmarkStart w:id="193" w:name="insurance-and-shipping"/>
      <w:r>
        <w:rPr/>
        <w:t>16.3 Insurance and Shipping</w:t>
      </w:r>
    </w:p>
    <w:p>
      <w:pPr>
        <w:pStyle w:val="FirstParagraph"/>
        <w:rPr/>
      </w:pPr>
      <w:bookmarkStart w:id="194" w:name="X7590a4d12c22f44ebac9220ef5d4959a24c376f"/>
      <w:bookmarkStart w:id="195" w:name="insurance-and-shipping"/>
      <w:r>
        <w:rPr/>
        <w:t>16.2.3 The war-risk distortion of Gulf shipping unwinds: the United States and Iran jointly request the IMO and the International Group of P&amp;I Clubs to normalize Gulf risk classification upon certification of the corridor interface of Part IX, and the voluntary services fund of Article 25 includes a standing insurance-stabilization facility per Annex E, Section 8.</w:t>
      </w:r>
      <w:bookmarkEnd w:id="194"/>
      <w:bookmarkEnd w:id="195"/>
    </w:p>
    <w:p>
      <w:pPr>
        <w:pStyle w:val="Heading2"/>
        <w:rPr/>
      </w:pPr>
      <w:bookmarkStart w:id="196" w:name="__RefHeading___Toc3603_773522003"/>
      <w:bookmarkStart w:id="197" w:name="X01bf9c7810289561144e4965fa0f46a2f25292c"/>
      <w:bookmarkEnd w:id="196"/>
      <w:r>
        <w:rPr/>
        <w:t>Article 17 — Frozen Assets and the Hormuz Account</w:t>
      </w:r>
    </w:p>
    <w:p>
      <w:pPr>
        <w:pStyle w:val="Heading3"/>
        <w:rPr/>
      </w:pPr>
      <w:bookmarkStart w:id="198" w:name="the-release-schedule"/>
      <w:r>
        <w:rPr/>
        <w:t>17.1 The Release Schedule</w:t>
      </w:r>
    </w:p>
    <w:p>
      <w:pPr>
        <w:pStyle w:val="FirstParagraph"/>
        <w:rPr/>
      </w:pPr>
      <w:r>
        <w:rPr/>
        <w:t>17.1.1 All Iranian sovereign assets frozen or restricted abroad — including central bank reserves, oil revenues, and sovereign funds, estimated in the negotiation record at up to $25 billion in the near-term tranche and substantially more in total — release per the schedule of Annex C, Table C-3: an immediate tranche upon Day 0; milestone tranches paired with nuclear-track certifications; and full release upon terminal certification.</w:t>
      </w:r>
    </w:p>
    <w:p>
      <w:pPr>
        <w:pStyle w:val="TextBody"/>
        <w:rPr/>
      </w:pPr>
      <w:bookmarkStart w:id="199" w:name="the-release-schedule"/>
      <w:r>
        <w:rPr/>
        <w:t>17.1.2 Released assets move through the Hormuz Account, the neutral account structure administered by the Swiss Confederation as Neutral Administrator. The Account provides the compliance firewall that makes release operable: funds move from blocking jurisdictions into the Account, and from the Account to Iranian beneficiaries or to approved end-uses, under transparent, audited, sanctions-clean routing.</w:t>
      </w:r>
      <w:bookmarkEnd w:id="199"/>
    </w:p>
    <w:p>
      <w:pPr>
        <w:pStyle w:val="Heading3"/>
        <w:rPr/>
      </w:pPr>
      <w:bookmarkStart w:id="200" w:name="use-constraints"/>
      <w:r>
        <w:rPr/>
        <w:t>17.2 Use Constraints</w:t>
      </w:r>
    </w:p>
    <w:p>
      <w:pPr>
        <w:pStyle w:val="FirstParagraph"/>
        <w:rPr/>
      </w:pPr>
      <w:bookmarkStart w:id="201" w:name="use-constraints"/>
      <w:r>
        <w:rPr/>
        <w:t>17.2.1 Consistent with the stated United States position, released funds of the near-term tranche are restricted to purchases of food, medicine, medical equipment, and agricultural goods, with the restriction implemented as an Account-level end-use verification, not as a barrier to release. Subsequent tranches release without end-use restriction as the corresponding milestones bank. The end-use architecture is temporary by design: it exists to carry the settlement through its fragile opening, and it dissolves automatically upon terminal certification of the economic track.</w:t>
      </w:r>
      <w:bookmarkEnd w:id="201"/>
    </w:p>
    <w:p>
      <w:pPr>
        <w:pStyle w:val="Heading3"/>
        <w:rPr/>
      </w:pPr>
      <w:bookmarkStart w:id="202" w:name="no-re-freeze"/>
      <w:r>
        <w:rPr/>
        <w:t>17.3 No Re-Freeze</w:t>
      </w:r>
    </w:p>
    <w:p>
      <w:pPr>
        <w:pStyle w:val="FirstParagraph"/>
        <w:rPr/>
      </w:pPr>
      <w:bookmarkStart w:id="203" w:name="X01bf9c7810289561144e4965fa0f46a2f25292c"/>
      <w:bookmarkStart w:id="204" w:name="no-re-freeze"/>
      <w:r>
        <w:rPr/>
        <w:t>17.3.1 Assets once released into the Hormuz Account are not subject to re-freeze by any action of either Party, save through the Compliance Engine of Article 32 applied to the specific paired obligation. The Account’s neutrality is itself protected: the Neutral Administrator’s custodial decisions are governed by the Account charter and not by the unilateral instruction of either Party.</w:t>
      </w:r>
      <w:bookmarkEnd w:id="203"/>
      <w:bookmarkEnd w:id="204"/>
    </w:p>
    <w:p>
      <w:pPr>
        <w:pStyle w:val="Heading2"/>
        <w:rPr/>
      </w:pPr>
      <w:bookmarkStart w:id="205" w:name="__RefHeading___Toc3605_773522003"/>
      <w:bookmarkStart w:id="206" w:name="X43b589edb1cac9c1e758a89d5c7ce3894048dae"/>
      <w:bookmarkEnd w:id="205"/>
      <w:r>
        <w:rPr/>
        <w:t>Article 18 — The Reconstruction and Investment Framework</w:t>
      </w:r>
    </w:p>
    <w:p>
      <w:pPr>
        <w:pStyle w:val="Heading3"/>
        <w:rPr/>
      </w:pPr>
      <w:bookmarkStart w:id="207" w:name="the-reconstruction-program"/>
      <w:r>
        <w:rPr/>
        <w:t>18.1 The Reconstruction Program</w:t>
      </w:r>
    </w:p>
    <w:p>
      <w:pPr>
        <w:pStyle w:val="FirstParagraph"/>
        <w:rPr/>
      </w:pPr>
      <w:bookmarkStart w:id="208" w:name="the-reconstruction-program"/>
      <w:r>
        <w:rPr/>
        <w:t>18.1.1 The Agreement establishes the reconstruction program contemplated by paragraph 6 of the Islamabad MoU — sized in the negotiation record at up to $300 billion across a decade — as a privately and regionally financed program, not a United States government expenditure. The program addresses war damage to Iranian civilian infrastructure: power generation and grid, desalination, ports, roads, housing, health facilities, and the civilian nuclear-linked infrastructure covered by Article 12.1.2.</w:t>
      </w:r>
      <w:bookmarkEnd w:id="208"/>
    </w:p>
    <w:p>
      <w:pPr>
        <w:pStyle w:val="Heading3"/>
        <w:rPr/>
      </w:pPr>
      <w:bookmarkStart w:id="209" w:name="financing-architecture"/>
      <w:r>
        <w:rPr/>
        <w:t>18.2 Financing Architecture</w:t>
      </w:r>
    </w:p>
    <w:p>
      <w:pPr>
        <w:pStyle w:val="FirstParagraph"/>
        <w:rPr/>
      </w:pPr>
      <w:r>
        <w:rPr/>
        <w:t>18.2.1 Financing flows through: (a) the Hormuz Reconstruction Facility, a multilateral facility seeded by Gulf state contributions, international financial institutions, and the development-finance arms of the guarantor states; (b) private investment under the general licenses of Article 15; (c) Iran’s released sovereign assets where Iran so allocates them; and (d) voluntary contributions under the Article 25 services architecture dedicated by the consortium to coastal development.</w:t>
      </w:r>
    </w:p>
    <w:p>
      <w:pPr>
        <w:pStyle w:val="TextBody"/>
        <w:rPr/>
      </w:pPr>
      <w:bookmarkStart w:id="210" w:name="financing-architecture"/>
      <w:r>
        <w:rPr/>
        <w:t>18.2.2 Governance: the Facility operates under a board including Iran, the contributing states, and the Neutral Administrator as audit chair, with procurement open under international competitive standards and disbursement against engineering-certified project milestones. The Facility publishes quarterly accounts and an annual independent audit.</w:t>
      </w:r>
      <w:bookmarkEnd w:id="210"/>
    </w:p>
    <w:p>
      <w:pPr>
        <w:pStyle w:val="Heading3"/>
        <w:rPr/>
      </w:pPr>
      <w:bookmarkStart w:id="211" w:name="sequencing"/>
      <w:r>
        <w:rPr/>
        <w:t>18.3 Sequencing</w:t>
      </w:r>
    </w:p>
    <w:p>
      <w:pPr>
        <w:pStyle w:val="FirstParagraph"/>
        <w:rPr/>
      </w:pPr>
      <w:bookmarkStart w:id="212" w:name="sequencing"/>
      <w:r>
        <w:rPr/>
        <w:t>18.3.1 The Facility is constituted within ninety days of Day 0; first project tranches disburse within one hundred eighty days; the program is planned across ten years with the continuity of Article 4. Reconstruction flows proceed independent of the state of any other track, save that deliberate hostile destruction of completed projects by a Party activates Tier 3 of the Compliance Engine.</w:t>
      </w:r>
      <w:bookmarkEnd w:id="212"/>
    </w:p>
    <w:p>
      <w:pPr>
        <w:pStyle w:val="Heading3"/>
        <w:rPr/>
      </w:pPr>
      <w:bookmarkStart w:id="213" w:name="X8bc6dee640284765cdd79a883b2e807ac140d09"/>
      <w:r>
        <w:rPr/>
        <w:t>18.4 Priority Sectors and the Desalination Clause</w:t>
      </w:r>
    </w:p>
    <w:p>
      <w:pPr>
        <w:pStyle w:val="FirstParagraph"/>
        <w:rPr/>
      </w:pPr>
      <w:bookmarkStart w:id="214" w:name="X8bc6dee640284765cdd79a883b2e807ac140d09"/>
      <w:r>
        <w:rPr/>
        <w:t>18.4.1 The program’s first-tier priorities: desalination and water infrastructure; electricity generation and grid repair; hospitals and public health supply chains; and civilian port and road infrastructure. The wartime strikes on desalination plants and civilian nuclear-linked infrastructure — recorded in both Parties’ public statements — stand at the head of the queue, and the Facility’s first certified projects draw from those sectors.</w:t>
      </w:r>
      <w:bookmarkEnd w:id="214"/>
    </w:p>
    <w:p>
      <w:pPr>
        <w:pStyle w:val="Heading3"/>
        <w:rPr/>
      </w:pPr>
      <w:bookmarkStart w:id="215" w:name="the-anti-corruption-and-audit-frame"/>
      <w:r>
        <w:rPr/>
        <w:t>18.5 The Anti-Corruption and Audit Frame</w:t>
      </w:r>
    </w:p>
    <w:p>
      <w:pPr>
        <w:pStyle w:val="FirstParagraph"/>
        <w:rPr/>
      </w:pPr>
      <w:bookmarkStart w:id="216" w:name="the-anti-corruption-and-audit-frame"/>
      <w:r>
        <w:rPr/>
        <w:t>18.5.1 The Facility operates under international procurement standards, open contracting publication, and the Neutral Administrator’s audit chairmanship. Every contract above a threshold the Facility’s charter sets publishes in full. Audit findings route to the Facility board and, where they evidence diversion, to the Compliance Engine as a Tier 2 economic-track event. Reconstruction money that builds is the settlement’s most visible dividend; reconstruction money that vanishes is its most corrosive threat, and the architecture treats it accordingly.</w:t>
      </w:r>
      <w:bookmarkEnd w:id="216"/>
    </w:p>
    <w:p>
      <w:pPr>
        <w:pStyle w:val="Heading3"/>
        <w:rPr/>
      </w:pPr>
      <w:bookmarkStart w:id="217" w:name="the-investment-horizon"/>
      <w:r>
        <w:rPr/>
        <w:t>18.6 The Investment Horizon</w:t>
      </w:r>
    </w:p>
    <w:p>
      <w:pPr>
        <w:pStyle w:val="FirstParagraph"/>
        <w:rPr/>
      </w:pPr>
      <w:bookmarkStart w:id="218" w:name="X43b589edb1cac9c1e758a89d5c7ce3894048dae"/>
      <w:bookmarkStart w:id="219" w:name="the-investment-horizon"/>
      <w:r>
        <w:rPr/>
        <w:t>18.6.1 Beyond the Facility, the Agreement opens the covered categories of Annex C to private investment by United States, regional, and international persons under the general licenses of Article 15, with the investment-law protections of Annex C, Table C-4, and recourse to the Claims Commission’s successor mechanisms for expropriation disputes arising after signature. No Party guarantees private returns; both Parties guarantee the legal channel.</w:t>
      </w:r>
      <w:bookmarkEnd w:id="218"/>
      <w:bookmarkEnd w:id="219"/>
    </w:p>
    <w:p>
      <w:pPr>
        <w:pStyle w:val="Heading2"/>
        <w:rPr/>
      </w:pPr>
      <w:bookmarkStart w:id="220" w:name="__RefHeading___Toc3607_773522003"/>
      <w:bookmarkStart w:id="221" w:name="Xac14bf6357a3cddb73cb9479cd26c54e6354396"/>
      <w:bookmarkEnd w:id="220"/>
      <w:r>
        <w:rPr/>
        <w:t>Article 19 — Banking of Relief and the No-Snapback Rule</w:t>
      </w:r>
    </w:p>
    <w:p>
      <w:pPr>
        <w:pStyle w:val="Heading3"/>
        <w:rPr/>
      </w:pPr>
      <w:bookmarkStart w:id="222" w:name="the-banking-ledger"/>
      <w:r>
        <w:rPr/>
        <w:t>19.1 The Banking Ledger</w:t>
      </w:r>
    </w:p>
    <w:p>
      <w:pPr>
        <w:pStyle w:val="FirstParagraph"/>
        <w:rPr/>
      </w:pPr>
      <w:bookmarkStart w:id="223" w:name="the-banking-ledger"/>
      <w:r>
        <w:rPr/>
        <w:t>19.1.1 The Joint Implementation Commission maintains the Banking Ledger: the authoritative register recording each relief element, its paired milestone, the certification of that milestone, and the date on which the relief banked permanently. The Ledger is public in substance and updated within seven days of each certification.</w:t>
      </w:r>
      <w:bookmarkEnd w:id="223"/>
    </w:p>
    <w:p>
      <w:pPr>
        <w:pStyle w:val="Heading3"/>
        <w:rPr/>
      </w:pPr>
      <w:bookmarkStart w:id="224" w:name="no-snapback"/>
      <w:r>
        <w:rPr/>
        <w:t>19.2 No Snapback</w:t>
      </w:r>
    </w:p>
    <w:p>
      <w:pPr>
        <w:pStyle w:val="FirstParagraph"/>
        <w:rPr/>
      </w:pPr>
      <w:r>
        <w:rPr/>
        <w:t>19.2.1 This Agreement contains no snapback mechanism. No relief reimposes automatically, by expiry, by allegation, or by unilateral notification. A claimed material breach proceeds only through the Compliance Engine of Article 32: evidence, attribution, tiering, cooling-off, proportionate step-back, and earn-back. The step-back, where it runs at all, suspends the specific paired benefit for the minimum necessary period, and the benefit banks again upon cure.</w:t>
      </w:r>
    </w:p>
    <w:p>
      <w:pPr>
        <w:pStyle w:val="TextBody"/>
        <w:rPr/>
      </w:pPr>
      <w:r>
        <w:rPr/>
        <w:t>19.2.2 The Parties record the shared understanding that the snapback experience of the 2015 arrangement destroyed confidence on all sides, and that this Agreement’s permanence and bankability are its central innovations. The architecture trades automaticity of punishment for automaticity of continuity: what is built stays built, and correction runs through process, never through demolition.</w:t>
      </w:r>
    </w:p>
    <w:p>
      <w:pPr>
        <w:pStyle w:val="Normal"/>
        <w:rPr/>
      </w:pPr>
      <w:bookmarkStart w:id="225" w:name="Xfddc689d80cfca7fdf9336311232703f0076141"/>
      <w:bookmarkStart w:id="226" w:name="Xac14bf6357a3cddb73cb9479cd26c54e6354396"/>
      <w:bookmarkStart w:id="227" w:name="no-snapback"/>
      <w:r>
        <w:rPr/>
        <mc:AlternateContent>
          <mc:Choice Requires="wps">
            <w:drawing>
              <wp:inline distT="0" distB="0" distL="0" distR="0">
                <wp:extent cx="5943600" cy="19050"/>
                <wp:effectExtent l="0" t="0" r="0" b="0"/>
                <wp:docPr id="7" name=""/>
                <a:graphic xmlns:a="http://schemas.openxmlformats.org/drawingml/2006/main">
                  <a:graphicData uri="http://schemas.microsoft.com/office/word/2010/wordprocessingShape">
                    <wps:wsp>
                      <wps:cNvSpPr/>
                      <wps:nvSpPr>
                        <wps:cNvPr id="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5"/>
      <w:bookmarkEnd w:id="226"/>
      <w:bookmarkEnd w:id="227"/>
    </w:p>
    <w:p>
      <w:pPr>
        <w:pStyle w:val="Heading1"/>
        <w:rPr/>
      </w:pPr>
      <w:bookmarkStart w:id="228" w:name="__RefHeading___Toc3609_773522003"/>
      <w:bookmarkStart w:id="229" w:name="Xb5bb09e89a7097be0b987f738936154e1b04bb4"/>
      <w:bookmarkEnd w:id="228"/>
      <w:r>
        <w:rPr/>
        <w:t>Part VII — Blockade Termination and Force Posture</w:t>
      </w:r>
    </w:p>
    <w:p>
      <w:pPr>
        <w:pStyle w:val="Heading2"/>
        <w:rPr/>
      </w:pPr>
      <w:bookmarkStart w:id="230" w:name="__RefHeading___Toc3611_773522003"/>
      <w:bookmarkStart w:id="231" w:name="X6772d24ff2f8fbf14bd86e93f4e94033adb2def"/>
      <w:bookmarkEnd w:id="230"/>
      <w:r>
        <w:rPr/>
        <w:t>Article 20 — Termination of the Naval Blockade</w:t>
      </w:r>
    </w:p>
    <w:p>
      <w:pPr>
        <w:pStyle w:val="Heading3"/>
        <w:rPr/>
      </w:pPr>
      <w:bookmarkStart w:id="232" w:name="termination-state"/>
      <w:r>
        <w:rPr/>
        <w:t>20.1 Termination State</w:t>
      </w:r>
    </w:p>
    <w:p>
      <w:pPr>
        <w:pStyle w:val="FirstParagraph"/>
        <w:rPr/>
      </w:pPr>
      <w:bookmarkStart w:id="233" w:name="termination-state"/>
      <w:r>
        <w:rPr/>
        <w:t>20.1.1 The United States naval blockade of Iranian ports — imposed 12 April 2026, lifted and reimposed during the interim period — terminates permanently upon Day 0. No blockade, quarantine, interdiction line, or equivalent maritime measure against Iranian commerce or Iranian ports reimposes except through the Compliance Engine of Article 32, and no step-back under that Engine reimposes a general blockade: the Engine’s maritime measures are limited to the specific paired suspensions of Annex C and never extend to the closure of Iranian ports or the interdiction of humanitarian cargo.</w:t>
      </w:r>
      <w:bookmarkEnd w:id="233"/>
    </w:p>
    <w:p>
      <w:pPr>
        <w:pStyle w:val="Heading3"/>
        <w:rPr/>
      </w:pPr>
      <w:bookmarkStart w:id="234" w:name="residual-maritime-measures"/>
      <w:r>
        <w:rPr/>
        <w:t>20.2 Residual Maritime Measures</w:t>
      </w:r>
    </w:p>
    <w:p>
      <w:pPr>
        <w:pStyle w:val="FirstParagraph"/>
        <w:rPr/>
      </w:pPr>
      <w:bookmarkStart w:id="235" w:name="residual-maritime-measures"/>
      <w:r>
        <w:rPr/>
        <w:t>20.2.1 The maritime escort and assistance program conducted by the United States during the conflict winds down in proportion to the restoration of normal commercial traffic, per the negotiated record, and converts, at the election of the Hormuz regional consortium, into a contribution to the consortium’s coordinated surveillance function under the regional charter. United States naval presence in the Gulf continues on the peacetime footing of Article 21, outside Iranian territorial waters, consistent with the deconfliction protocol of Annex D.</w:t>
      </w:r>
      <w:bookmarkEnd w:id="235"/>
    </w:p>
    <w:p>
      <w:pPr>
        <w:pStyle w:val="Heading3"/>
        <w:rPr/>
      </w:pPr>
      <w:bookmarkStart w:id="236" w:name="verification-1"/>
      <w:r>
        <w:rPr/>
        <w:t>20.3 Verification</w:t>
      </w:r>
    </w:p>
    <w:p>
      <w:pPr>
        <w:pStyle w:val="FirstParagraph"/>
        <w:rPr/>
      </w:pPr>
      <w:bookmarkStart w:id="237" w:name="X6772d24ff2f8fbf14bd86e93f4e94033adb2def"/>
      <w:bookmarkStart w:id="238" w:name="verification-1"/>
      <w:r>
        <w:rPr/>
        <w:t>20.3.1 Termination of the blockade is verified by the IMO through the corridor interface of Annex E: unrestricted entry to and exit from Iranian ports, cessation of vessel redirection, and publication of the corresponding navigation notices. The certification records in the Banking Ledger and activates the paired Iranian performance tranches of Annex H.</w:t>
      </w:r>
      <w:bookmarkEnd w:id="237"/>
      <w:bookmarkEnd w:id="238"/>
    </w:p>
    <w:p>
      <w:pPr>
        <w:pStyle w:val="Heading2"/>
        <w:rPr/>
      </w:pPr>
      <w:bookmarkStart w:id="239" w:name="__RefHeading___Toc3613_773522003"/>
      <w:bookmarkStart w:id="240" w:name="Xac403c5290028afa09cf84b28a15fd51a43b775"/>
      <w:bookmarkEnd w:id="239"/>
      <w:r>
        <w:rPr/>
        <w:t>Article 21 — Regional Force Posture and Basing</w:t>
      </w:r>
    </w:p>
    <w:p>
      <w:pPr>
        <w:pStyle w:val="Heading3"/>
        <w:rPr/>
      </w:pPr>
      <w:bookmarkStart w:id="241" w:name="the-posture-settlement"/>
      <w:r>
        <w:rPr/>
        <w:t>21.1 The Posture Settlement</w:t>
      </w:r>
    </w:p>
    <w:p>
      <w:pPr>
        <w:pStyle w:val="FirstParagraph"/>
        <w:rPr/>
      </w:pPr>
      <w:r>
        <w:rPr/>
        <w:t>21.1.1 The Parties settle the force posture file as follows. The United States maintains no bases or permanent forces on Iranian territory and conducts no operations from bases in states neighboring Iran directed against Iran while this Agreement stands and Iran performs. The United States regional presence otherwise continues on its peacetime footing, at the invitation of host states, structured for regional stability and not for operations against Iran.</w:t>
      </w:r>
    </w:p>
    <w:p>
      <w:pPr>
        <w:pStyle w:val="TextBody"/>
        <w:rPr/>
      </w:pPr>
      <w:bookmarkStart w:id="242" w:name="the-posture-settlement"/>
      <w:r>
        <w:rPr/>
        <w:t>21.1.2 Iran maintains no forces, advisors, or transferred strike systems positioned for attack on United States bases in Bahrain, Kuwait, Jordan, Qatar, Iraq, or elsewhere in the region, and applies the non-interference compact of Article 6.3 to the territory of those states. The corresponding United States assurances of Article 6.1 apply to operations against Iran from those bases.</w:t>
      </w:r>
      <w:bookmarkEnd w:id="242"/>
    </w:p>
    <w:p>
      <w:pPr>
        <w:pStyle w:val="Heading3"/>
        <w:rPr/>
      </w:pPr>
      <w:bookmarkStart w:id="243" w:name="the-reciprocity-register"/>
      <w:r>
        <w:rPr/>
        <w:t>21.2 The Reciprocity Register</w:t>
      </w:r>
    </w:p>
    <w:p>
      <w:pPr>
        <w:pStyle w:val="FirstParagraph"/>
        <w:rPr/>
      </w:pPr>
      <w:bookmarkStart w:id="244" w:name="the-reciprocity-register"/>
      <w:r>
        <w:rPr/>
        <w:t>21.2.1 Annex D, Section 6 establishes the Reciprocity Register: a semiannual, reciprocal declaration by each Party of the posture elements relevant to this Article — basing, major deployments, missile defense, carrier and bomber presence — exchanged through the Commission and reviewed at the semiannual Commission sessions. The Register converts posture from an accusation into a managed, documented equilibrium.</w:t>
      </w:r>
      <w:bookmarkEnd w:id="244"/>
    </w:p>
    <w:p>
      <w:pPr>
        <w:pStyle w:val="Heading3"/>
        <w:rPr/>
      </w:pPr>
      <w:bookmarkStart w:id="245" w:name="congressional-dimensions"/>
      <w:r>
        <w:rPr/>
        <w:t>21.3 Congressional Dimensions</w:t>
      </w:r>
    </w:p>
    <w:p>
      <w:pPr>
        <w:pStyle w:val="FirstParagraph"/>
        <w:rPr/>
      </w:pPr>
      <w:r>
        <w:rPr/>
        <w:t>21.3.1 The Parties note the United States Senate resolution directing withdrawal of forces from the war with Iran and the constitutional debate it records. This Agreement renders that debate moot as to the war, which it terminates permanently; as to the peace, the United States executes its obligations through the constitutional authorities of the President and such legislation as the Congress enacts, and the anti-abandonment rule of Article 4.3 binds the institutions of the Agreement regardless of the state of domestic debate in either capital.</w:t>
      </w:r>
    </w:p>
    <w:p>
      <w:pPr>
        <w:pStyle w:val="Normal"/>
        <w:rPr/>
      </w:pPr>
      <w:bookmarkStart w:id="246" w:name="Xb5bb09e89a7097be0b987f738936154e1b04bb4"/>
      <w:bookmarkStart w:id="247" w:name="Xac403c5290028afa09cf84b28a15fd51a43b775"/>
      <w:bookmarkStart w:id="248" w:name="congressional-dimensions"/>
      <w:r>
        <w:rPr/>
        <mc:AlternateContent>
          <mc:Choice Requires="wps">
            <w:drawing>
              <wp:inline distT="0" distB="0" distL="0" distR="0">
                <wp:extent cx="5943600" cy="19050"/>
                <wp:effectExtent l="0" t="0" r="0" b="0"/>
                <wp:docPr id="8" name=""/>
                <a:graphic xmlns:a="http://schemas.openxmlformats.org/drawingml/2006/main">
                  <a:graphicData uri="http://schemas.microsoft.com/office/word/2010/wordprocessingShape">
                    <wps:wsp>
                      <wps:cNvSpPr/>
                      <wps:nvSpPr>
                        <wps:cNvPr id="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6"/>
      <w:bookmarkEnd w:id="247"/>
      <w:bookmarkEnd w:id="248"/>
    </w:p>
    <w:p>
      <w:pPr>
        <w:pStyle w:val="Heading1"/>
        <w:rPr/>
      </w:pPr>
      <w:bookmarkStart w:id="249" w:name="__RefHeading___Toc3615_773522003"/>
      <w:bookmarkStart w:id="250" w:name="X95f05dcee3921cdfac935a7b624adf03ff33201"/>
      <w:bookmarkEnd w:id="249"/>
      <w:r>
        <w:rPr/>
        <w:t>Part VIII — Regional De-escalation and the Axis Question</w:t>
      </w:r>
    </w:p>
    <w:p>
      <w:pPr>
        <w:pStyle w:val="Heading2"/>
        <w:rPr/>
      </w:pPr>
      <w:bookmarkStart w:id="251" w:name="__RefHeading___Toc3617_773522003"/>
      <w:bookmarkStart w:id="252" w:name="X4fa59f8f5c5f0dd3bf78eb10a2fcc745bab395c"/>
      <w:bookmarkEnd w:id="251"/>
      <w:r>
        <w:rPr/>
        <w:t>Article 22 — Regional Non-Interference Commitments</w:t>
      </w:r>
    </w:p>
    <w:p>
      <w:pPr>
        <w:pStyle w:val="Heading3"/>
        <w:rPr/>
      </w:pPr>
      <w:bookmarkStart w:id="253" w:name="the-standing-commitments"/>
      <w:r>
        <w:rPr/>
        <w:t>22.1 The Standing Commitments</w:t>
      </w:r>
    </w:p>
    <w:p>
      <w:pPr>
        <w:pStyle w:val="FirstParagraph"/>
        <w:rPr/>
      </w:pPr>
      <w:r>
        <w:rPr/>
        <w:t>22.1.1 Iran maintains no military support, arms transfer, funding, or operational direction to non-state armed groups engaged in hostilities against the United States, its regional partners that accede as guarantors under Article 35.4, or international shipping. This commitment is track-scoped: it governs conduct toward the Parties and guarantors, and it is verified per Article 31.</w:t>
      </w:r>
    </w:p>
    <w:p>
      <w:pPr>
        <w:pStyle w:val="TextBody"/>
        <w:rPr/>
      </w:pPr>
      <w:bookmarkStart w:id="254" w:name="the-standing-commitments"/>
      <w:r>
        <w:rPr/>
        <w:t>22.1.2 The United States maintains no military support, funding, or operational direction to non-state armed groups engaged in hostilities against Iran, and applies the non-interference compact of Article 6.3 to Iranian territory and to Iranian-aligned state governments in the region.</w:t>
      </w:r>
      <w:bookmarkEnd w:id="254"/>
    </w:p>
    <w:p>
      <w:pPr>
        <w:pStyle w:val="Heading3"/>
        <w:rPr/>
      </w:pPr>
      <w:bookmarkStart w:id="255" w:name="the-transformation-principle"/>
      <w:r>
        <w:rPr/>
        <w:t>22.2 The Transformation Principle</w:t>
      </w:r>
    </w:p>
    <w:p>
      <w:pPr>
        <w:pStyle w:val="FirstParagraph"/>
        <w:rPr/>
      </w:pPr>
      <w:bookmarkStart w:id="256" w:name="the-transformation-principle"/>
      <w:r>
        <w:rPr/>
        <w:t>22.2.1 The Parties record the negotiation reality that Iran’s regional relationships are long-standing and political as well as military, and that the settlement targets coercive military conduct, not political affiliation. The architecture’s aim is the transformation of the regional file from armed confrontation to political competition within state-to-state channels. Iran’s diplomatic and political relationships with regional movements continue; the military and arms dimensions governed by 22.1.1 do not.</w:t>
      </w:r>
      <w:bookmarkEnd w:id="256"/>
    </w:p>
    <w:p>
      <w:pPr>
        <w:pStyle w:val="Heading3"/>
        <w:rPr/>
      </w:pPr>
      <w:bookmarkStart w:id="257" w:name="verification-2"/>
      <w:r>
        <w:rPr/>
        <w:t>22.3 Verification</w:t>
      </w:r>
    </w:p>
    <w:p>
      <w:pPr>
        <w:pStyle w:val="FirstParagraph"/>
        <w:rPr/>
      </w:pPr>
      <w:bookmarkStart w:id="258" w:name="X4fa59f8f5c5f0dd3bf78eb10a2fcc745bab395c"/>
      <w:bookmarkStart w:id="259" w:name="verification-2"/>
      <w:r>
        <w:rPr/>
        <w:t>22.3.1 Verification of this Article operates through: declarations and financial-flow transparency under the FATF framework Iran has joined; incident attribution through the joint inquiry mechanism of Annex D; and the standing sanctions-delisting linkage of Annex C, under which verified performance of this Article pairs with the permanent delisting of the terrorism-based designations listed in Annex C, Table C-2.</w:t>
      </w:r>
      <w:bookmarkEnd w:id="258"/>
      <w:bookmarkEnd w:id="259"/>
    </w:p>
    <w:p>
      <w:pPr>
        <w:pStyle w:val="Heading2"/>
        <w:rPr/>
      </w:pPr>
      <w:bookmarkStart w:id="260" w:name="__RefHeading___Toc3619_773522003"/>
      <w:bookmarkStart w:id="261" w:name="X4f99c7fb21993a220f48d39433326f4e5e3374e"/>
      <w:bookmarkEnd w:id="260"/>
      <w:r>
        <w:rPr/>
        <w:t>Article 23 — The Lebanon Interface and Proxy Track</w:t>
      </w:r>
    </w:p>
    <w:p>
      <w:pPr>
        <w:pStyle w:val="Heading3"/>
        <w:rPr/>
      </w:pPr>
      <w:bookmarkStart w:id="262" w:name="the-lebanon-interface"/>
      <w:r>
        <w:rPr/>
        <w:t>23.1 The Lebanon Interface</w:t>
      </w:r>
    </w:p>
    <w:p>
      <w:pPr>
        <w:pStyle w:val="FirstParagraph"/>
        <w:rPr/>
      </w:pPr>
      <w:bookmarkStart w:id="263" w:name="the-lebanon-interface"/>
      <w:r>
        <w:rPr/>
        <w:t>23.1.1 The Parties discharge the Lebanon clause of Article 5.2 through the following mechanism: Iran applies its influence with Hezbollah to sustain the cessation of hostilities with Israel and to support the Lebanese state’s monopoly on the use of force as Lebanese processes determine it; the United States applies its influence with Israel to sustain the cessation and to support the political track between Israel and Lebanon.</w:t>
      </w:r>
      <w:bookmarkEnd w:id="263"/>
    </w:p>
    <w:p>
      <w:pPr>
        <w:pStyle w:val="Heading3"/>
        <w:rPr/>
      </w:pPr>
      <w:bookmarkStart w:id="264" w:name="the-yemen-and-iraq-interfaces"/>
      <w:r>
        <w:rPr/>
        <w:t>23.2 The Yemen and Iraq Interfaces</w:t>
      </w:r>
    </w:p>
    <w:p>
      <w:pPr>
        <w:pStyle w:val="FirstParagraph"/>
        <w:rPr/>
      </w:pPr>
      <w:r>
        <w:rPr/>
        <w:t>23.2.1 Iran applies its influence to sustain the cessation of attacks by the Ansar Allah movement on international shipping and on the territory of guarantor states, and supports the UN-led Yemeni political process. The corresponding relief pairing appears in Annex C, Table C-3.</w:t>
      </w:r>
    </w:p>
    <w:p>
      <w:pPr>
        <w:pStyle w:val="TextBody"/>
        <w:rPr/>
      </w:pPr>
      <w:bookmarkStart w:id="265" w:name="the-yemen-and-iraq-interfaces"/>
      <w:r>
        <w:rPr/>
        <w:t>23.2.2 In Iraq, both Parties respect Iraqi sovereignty, conduct any presence only at Iraqi invitation, and support the integration of armed formations into Iraqi state structures as Iraqi processes determine. Neither Party conducts operations on Iraqi territory against the other.</w:t>
      </w:r>
      <w:bookmarkEnd w:id="265"/>
    </w:p>
    <w:p>
      <w:pPr>
        <w:pStyle w:val="Heading3"/>
        <w:rPr/>
      </w:pPr>
      <w:bookmarkStart w:id="266" w:name="the-allied-restraint-channel"/>
      <w:r>
        <w:rPr/>
        <w:t>23.3 The Allied-Restraint Channel</w:t>
      </w:r>
    </w:p>
    <w:p>
      <w:pPr>
        <w:pStyle w:val="FirstParagraph"/>
        <w:rPr/>
      </w:pPr>
      <w:bookmarkStart w:id="267" w:name="the-allied-restraint-channel"/>
      <w:r>
        <w:rPr/>
        <w:t>23.3.1 The United States maintains a standing channel with Israel concerning this Agreement, through which it communicates the security architecture of Part II, conveys the expectation of allied restraint while Iran performs, and coordinates the deconfliction interfaces of Annex D where Israeli and Iranian forces or affiliates operate in proximity. Israel is not a party to this Agreement, and this Article creates no obligations for it; the Article structures the United States side of the regional equilibrium and nothing more.</w:t>
      </w:r>
      <w:bookmarkEnd w:id="267"/>
    </w:p>
    <w:p>
      <w:pPr>
        <w:pStyle w:val="Heading3"/>
        <w:rPr/>
      </w:pPr>
      <w:bookmarkStart w:id="268" w:name="scope-limit"/>
      <w:r>
        <w:rPr/>
        <w:t>23.4 Scope Limit</w:t>
      </w:r>
    </w:p>
    <w:p>
      <w:pPr>
        <w:pStyle w:val="FirstParagraph"/>
        <w:rPr/>
      </w:pPr>
      <w:bookmarkStart w:id="269" w:name="scope-limit"/>
      <w:r>
        <w:rPr/>
        <w:t>23.4.1 This Part deliberately narrows the proxy file to verifiable conduct: attacks, arms, funding, and direction. It does not adjudicate the legitimacy, ideology, or political character of any movement. The Parties record their agreement that the permanent termination of the bilateral war, the nuclear settlement, and the economic normalization of Part VI are the structural answer to the regional file, and that this Part’s conduct rules operate within that structure rather than in place of it.</w:t>
      </w:r>
      <w:bookmarkEnd w:id="269"/>
    </w:p>
    <w:p>
      <w:pPr>
        <w:pStyle w:val="Heading3"/>
        <w:rPr/>
      </w:pPr>
      <w:bookmarkStart w:id="270" w:name="regional-confidence-building-measures"/>
      <w:r>
        <w:rPr/>
        <w:t>23.5 Regional Confidence-Building Measures</w:t>
      </w:r>
    </w:p>
    <w:p>
      <w:pPr>
        <w:pStyle w:val="FirstParagraph"/>
        <w:rPr/>
      </w:pPr>
      <w:r>
        <w:rPr/>
        <w:t>23.5.1 The Parties support, and the Guarantors host, a standing regional dialogue on maritime security, incident prevention, and disaster response, convened semiannually under Omani chairmanship with Commission observer status. The dialogue’s first-year agenda: unified search-and-rescue protocols for the Gulf; a common incident-notification standard interoperable with Annex D; and a joint environmental exercise under the regional charter’s spill-response roster.</w:t>
      </w:r>
    </w:p>
    <w:p>
      <w:pPr>
        <w:pStyle w:val="TextBody"/>
        <w:rPr/>
      </w:pPr>
      <w:r>
        <w:rPr/>
        <w:t>23.5.2 The Parties further support the expansion of regional normalization processes consistent with the interests of regional states, recording that the settlement of the bilateral conflict removes the principal strategic obstacle to a wider regional realignment, while leaving the pace and content of any such process to the states concerned.</w:t>
      </w:r>
    </w:p>
    <w:p>
      <w:pPr>
        <w:pStyle w:val="Normal"/>
        <w:rPr/>
      </w:pPr>
      <w:bookmarkStart w:id="271" w:name="X95f05dcee3921cdfac935a7b624adf03ff33201"/>
      <w:bookmarkStart w:id="272" w:name="X4f99c7fb21993a220f48d39433326f4e5e3374e"/>
      <w:bookmarkStart w:id="273" w:name="regional-confidence-building-measures"/>
      <w:r>
        <w:rPr/>
        <mc:AlternateContent>
          <mc:Choice Requires="wps">
            <w:drawing>
              <wp:inline distT="0" distB="0" distL="0" distR="0">
                <wp:extent cx="5943600" cy="19050"/>
                <wp:effectExtent l="0" t="0" r="0" b="0"/>
                <wp:docPr id="9" name=""/>
                <a:graphic xmlns:a="http://schemas.openxmlformats.org/drawingml/2006/main">
                  <a:graphicData uri="http://schemas.microsoft.com/office/word/2010/wordprocessingShape">
                    <wps:wsp>
                      <wps:cNvSpPr/>
                      <wps:nvSpPr>
                        <wps:cNvPr id="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1"/>
      <w:bookmarkEnd w:id="272"/>
      <w:bookmarkEnd w:id="273"/>
    </w:p>
    <w:p>
      <w:pPr>
        <w:pStyle w:val="Heading1"/>
        <w:rPr/>
      </w:pPr>
      <w:bookmarkStart w:id="274" w:name="__RefHeading___Toc3621_773522003"/>
      <w:bookmarkStart w:id="275" w:name="X8cb8dcb9503020c615b09595912a5a1e33040d8"/>
      <w:bookmarkEnd w:id="274"/>
      <w:r>
        <w:rPr/>
        <w:t>Part IX — Final Status of Strait Governance</w:t>
      </w:r>
    </w:p>
    <w:p>
      <w:pPr>
        <w:pStyle w:val="Heading2"/>
        <w:rPr/>
      </w:pPr>
      <w:bookmarkStart w:id="276" w:name="__RefHeading___Toc3623_773522003"/>
      <w:bookmarkStart w:id="277" w:name="article-24-the-two-corridor-interface"/>
      <w:bookmarkEnd w:id="276"/>
      <w:r>
        <w:rPr/>
        <w:t>Article 24 — The Two-Corridor Interface</w:t>
      </w:r>
    </w:p>
    <w:p>
      <w:pPr>
        <w:pStyle w:val="Heading3"/>
        <w:rPr/>
      </w:pPr>
      <w:bookmarkStart w:id="278" w:name="the-corridor-settlement"/>
      <w:r>
        <w:rPr/>
        <w:t>24.1 The Corridor Settlement</w:t>
      </w:r>
    </w:p>
    <w:p>
      <w:pPr>
        <w:pStyle w:val="FirstParagraph"/>
        <w:rPr/>
      </w:pPr>
      <w:r>
        <w:rPr/>
        <w:t>24.1.1 The Parties record and accept the corridor architecture of the bilateral Iran-Oman instruments: a two-corridor system in which inbound traffic transits a northern lane administered by the Islamic Republic of Iran and outbound traffic transits a southern lane administered by the Sultanate of Oman, with the consolidation of the two wartime routes into a unified two-way system as the coastal states’ technical work completes. The Strait operates under this coastal-state administration within the regional consortium of the Hormuz Regional Stewardship Charter.</w:t>
      </w:r>
    </w:p>
    <w:p>
      <w:pPr>
        <w:pStyle w:val="TextBody"/>
        <w:rPr/>
      </w:pPr>
      <w:bookmarkStart w:id="279" w:name="the-corridor-settlement"/>
      <w:r>
        <w:rPr/>
        <w:t>24.1.2 The United States accepts Iran’s formal, recognized, and continuous management role in the corridor system — the settlement of the governance file that the war contested. The acceptance is paired, permanently, with the baseline of Article 25: administration governs how vessels transit; no instrument decides which vessels may transit, and no charge conditions passage.</w:t>
      </w:r>
      <w:bookmarkEnd w:id="279"/>
    </w:p>
    <w:p>
      <w:pPr>
        <w:pStyle w:val="Heading3"/>
        <w:rPr/>
      </w:pPr>
      <w:bookmarkStart w:id="280" w:name="the-notification-character-of-transit"/>
      <w:r>
        <w:rPr/>
        <w:t>24.2 The Notification Character of Transit</w:t>
      </w:r>
    </w:p>
    <w:p>
      <w:pPr>
        <w:pStyle w:val="FirstParagraph"/>
        <w:rPr/>
      </w:pPr>
      <w:bookmarkStart w:id="281" w:name="the-notification-character-of-transit"/>
      <w:r>
        <w:rPr/>
        <w:t>24.2.1 The transit regime is notification-based, not permission-based. Vessels provide advance notification per the bilateral instruments’ protocol; vetting is transparent, uniform, and safety-scoped; no prior authorization requirement attaches to transit passage. The United States position that any toll or permission regime is unacceptable, and Iran’s position that its security oversight role is permanent, both find their operative form in this paragraph.</w:t>
      </w:r>
      <w:bookmarkEnd w:id="281"/>
    </w:p>
    <w:p>
      <w:pPr>
        <w:pStyle w:val="Heading3"/>
        <w:rPr/>
      </w:pPr>
      <w:bookmarkStart w:id="282" w:name="mine-clearance-and-certification"/>
      <w:r>
        <w:rPr/>
        <w:t>24.3 Mine Clearance and Certification</w:t>
      </w:r>
    </w:p>
    <w:p>
      <w:pPr>
        <w:pStyle w:val="FirstParagraph"/>
        <w:rPr/>
      </w:pPr>
      <w:bookmarkStart w:id="283" w:name="article-24-the-two-corridor-interface"/>
      <w:bookmarkStart w:id="284" w:name="mine-clearance-and-certification"/>
      <w:r>
        <w:rPr/>
        <w:t>24.3.1 Iran completes the clearance of naval mines from the Governance Area per the bilateral instruments and Annex E, in coordination with the Joint Committee of the bilateral agreement, the UN Mine Action Service, and the regional consortium. Each corridor segment opens upon joint verification of clearance. The United States contributes technical and financial support to the clearance program through the Verification Fund and the Reconstruction Facility, at Iran’s election, on terms that preserve Iran’s lead role.</w:t>
      </w:r>
      <w:bookmarkEnd w:id="283"/>
      <w:bookmarkEnd w:id="284"/>
    </w:p>
    <w:p>
      <w:pPr>
        <w:pStyle w:val="Heading2"/>
        <w:rPr/>
      </w:pPr>
      <w:bookmarkStart w:id="285" w:name="__RefHeading___Toc3625_773522003"/>
      <w:bookmarkStart w:id="286" w:name="Xc0e197a529cd3dc865115538ca01364a0fc23ef"/>
      <w:bookmarkEnd w:id="285"/>
      <w:r>
        <w:rPr/>
        <w:t>Article 25 — The No-Toll Guarantee and the Voluntary Services Architecture</w:t>
      </w:r>
    </w:p>
    <w:p>
      <w:pPr>
        <w:pStyle w:val="Heading3"/>
        <w:rPr/>
      </w:pPr>
      <w:bookmarkStart w:id="287" w:name="the-guarantee"/>
      <w:r>
        <w:rPr/>
        <w:t>25.1 The Guarantee</w:t>
      </w:r>
    </w:p>
    <w:p>
      <w:pPr>
        <w:pStyle w:val="FirstParagraph"/>
        <w:rPr/>
      </w:pPr>
      <w:bookmarkStart w:id="288" w:name="the-guarantee"/>
      <w:r>
        <w:rPr/>
        <w:t>25.1.1 Passage through the Strait of Hormuz carries no transit toll, passage fee, or mandatory charge as a condition of passage, in any corridor, for any vessel, under any label, ever. This is Red Line RL-3, and it binds in this Agreement and, by cross-reference, in every associated instrument. A charge tied to a specific, documented, requested service — pilotage, tugging, navigation assistance, environmental services, search and rescue — is a service fee within the verified services catalog of the bilateral and regional instruments, not a toll, and this Agreement so treats it.</w:t>
      </w:r>
      <w:bookmarkEnd w:id="288"/>
    </w:p>
    <w:p>
      <w:pPr>
        <w:pStyle w:val="Heading3"/>
        <w:rPr/>
      </w:pPr>
      <w:bookmarkStart w:id="289" w:name="the-voluntary-architecture"/>
      <w:r>
        <w:rPr/>
        <w:t>25.2 The Voluntary Architecture</w:t>
      </w:r>
    </w:p>
    <w:p>
      <w:pPr>
        <w:pStyle w:val="FirstParagraph"/>
        <w:rPr/>
      </w:pPr>
      <w:bookmarkStart w:id="290" w:name="the-voluntary-architecture"/>
      <w:r>
        <w:rPr/>
        <w:t>25.2.1 The Parties endorse the voluntary contribution model of the regional charter, modeled on the Strait of Malacca: shipping interests contribute voluntarily to a common fund for navigation safety, environmental protection, and search and rescue, administered by the regional consortium with transparent accounting and shared revenue for the coastal states. The Parties record the negotiation arithmetic plainly: the voluntary model raises on the order of tens of millions annually against the multi-billion revenue aspirations once tabled, and the political settlement accepts the voluntary model in exchange for the permanence, recognition, and reconstruction benefits this Agreement delivers.</w:t>
      </w:r>
      <w:bookmarkEnd w:id="290"/>
    </w:p>
    <w:p>
      <w:pPr>
        <w:pStyle w:val="Heading3"/>
        <w:rPr/>
      </w:pPr>
      <w:bookmarkStart w:id="291" w:name="the-united-states-contribution"/>
      <w:r>
        <w:rPr/>
        <w:t>25.3 The United States Contribution</w:t>
      </w:r>
    </w:p>
    <w:p>
      <w:pPr>
        <w:pStyle w:val="FirstParagraph"/>
        <w:rPr/>
      </w:pPr>
      <w:bookmarkStart w:id="292" w:name="Xc0e197a529cd3dc865115538ca01364a0fc23ef"/>
      <w:bookmarkStart w:id="293" w:name="the-united-states-contribution"/>
      <w:r>
        <w:rPr/>
        <w:t>25.2.3 The United States supports the voluntary architecture through advocacy to its flag and cargo interests, through contribution of navigation-safety data and survey assets, and through the insurance-stabilization facility of Annex E, Section 8, and imposes no mandatory charge and administers no fund.</w:t>
      </w:r>
      <w:bookmarkEnd w:id="292"/>
      <w:bookmarkEnd w:id="293"/>
    </w:p>
    <w:p>
      <w:pPr>
        <w:pStyle w:val="Heading2"/>
        <w:rPr/>
      </w:pPr>
      <w:bookmarkStart w:id="294" w:name="__RefHeading___Toc3627_773522003"/>
      <w:bookmarkStart w:id="295" w:name="Xa28d3402466982616cc1aaf8306b2e19ea92df9"/>
      <w:bookmarkEnd w:id="294"/>
      <w:r>
        <w:rPr/>
        <w:t>Article 26 — Relationship to the Bilateral and Regional Instruments</w:t>
      </w:r>
    </w:p>
    <w:p>
      <w:pPr>
        <w:pStyle w:val="Heading3"/>
        <w:rPr/>
      </w:pPr>
      <w:bookmarkStart w:id="296" w:name="complementarity"/>
      <w:r>
        <w:rPr/>
        <w:t>26.1 Complementarity</w:t>
      </w:r>
    </w:p>
    <w:p>
      <w:pPr>
        <w:pStyle w:val="FirstParagraph"/>
        <w:rPr/>
      </w:pPr>
      <w:bookmarkStart w:id="297" w:name="complementarity"/>
      <w:r>
        <w:rPr/>
        <w:t>26.1.1 This Agreement is separate from but complementary to the Hormuz Bilateral Corridor and Stewardship Agreement and the Hormuz Regional Stewardship Charter. The interface specification of Annex E governs the points of contact: corridor certification, incident reporting, the transparency portals, and the voluntary fund.</w:t>
      </w:r>
      <w:bookmarkEnd w:id="297"/>
    </w:p>
    <w:p>
      <w:pPr>
        <w:pStyle w:val="Heading3"/>
        <w:rPr/>
      </w:pPr>
      <w:bookmarkStart w:id="298" w:name="no-cross-conditionality"/>
      <w:r>
        <w:rPr/>
        <w:t>26.2 No Cross-Conditionality</w:t>
      </w:r>
    </w:p>
    <w:p>
      <w:pPr>
        <w:pStyle w:val="FirstParagraph"/>
        <w:rPr/>
      </w:pPr>
      <w:bookmarkStart w:id="299" w:name="no-cross-conditionality"/>
      <w:r>
        <w:rPr/>
        <w:t>26.2.1 No Party conditions performance of this Agreement on the state of the bilateral or regional instruments, and vice versa. A failure in one instrument proceeds through that instrument’s own compliance mechanisms. This rule is the strait-track expression of the Partial Success Doctrine and appears in all three instruments.</w:t>
      </w:r>
      <w:bookmarkEnd w:id="299"/>
    </w:p>
    <w:p>
      <w:pPr>
        <w:pStyle w:val="Heading3"/>
        <w:rPr/>
      </w:pPr>
      <w:bookmarkStart w:id="300" w:name="the-accession-horizon"/>
      <w:r>
        <w:rPr/>
        <w:t>26.3 The Accession Horizon</w:t>
      </w:r>
    </w:p>
    <w:p>
      <w:pPr>
        <w:pStyle w:val="FirstParagraph"/>
        <w:rPr/>
      </w:pPr>
      <w:r>
        <w:rPr/>
        <w:t>26.3.1 The Parties record their shared expectation that the corridor architecture matures, over time and by the coastal states’ joint written instruments, from the two-corridor interim system toward consolidated two-way routing, with the IMO’s certification role preserved at each step, and that the regional consortium’s membership widens as states accede under the charter. This Agreement neither fixes nor forecloses that maturation; it guarantees the no-toll baseline and the notification character of transit through every phase of it.</w:t>
      </w:r>
    </w:p>
    <w:p>
      <w:pPr>
        <w:pStyle w:val="Normal"/>
        <w:rPr/>
      </w:pPr>
      <w:bookmarkStart w:id="301" w:name="X8cb8dcb9503020c615b09595912a5a1e33040d8"/>
      <w:bookmarkStart w:id="302" w:name="Xa28d3402466982616cc1aaf8306b2e19ea92df9"/>
      <w:bookmarkStart w:id="303" w:name="the-accession-horizon"/>
      <w:r>
        <w:rPr/>
        <mc:AlternateContent>
          <mc:Choice Requires="wps">
            <w:drawing>
              <wp:inline distT="0" distB="0" distL="0" distR="0">
                <wp:extent cx="5943600" cy="19050"/>
                <wp:effectExtent l="0" t="0" r="0" b="0"/>
                <wp:docPr id="10" name=""/>
                <a:graphic xmlns:a="http://schemas.openxmlformats.org/drawingml/2006/main">
                  <a:graphicData uri="http://schemas.microsoft.com/office/word/2010/wordprocessingShape">
                    <wps:wsp>
                      <wps:cNvSpPr/>
                      <wps:nvSpPr>
                        <wps:cNvPr id="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1"/>
      <w:bookmarkEnd w:id="302"/>
      <w:bookmarkEnd w:id="303"/>
    </w:p>
    <w:p>
      <w:pPr>
        <w:pStyle w:val="Heading1"/>
        <w:rPr/>
      </w:pPr>
      <w:bookmarkStart w:id="304" w:name="__RefHeading___Toc3629_773522003"/>
      <w:bookmarkStart w:id="305" w:name="part-x-compensation-and-claims"/>
      <w:bookmarkEnd w:id="304"/>
      <w:r>
        <w:rPr/>
        <w:t>Part X — Compensation and Claims</w:t>
      </w:r>
    </w:p>
    <w:p>
      <w:pPr>
        <w:pStyle w:val="Heading2"/>
        <w:rPr/>
      </w:pPr>
      <w:bookmarkStart w:id="306" w:name="__RefHeading___Toc3631_773522003"/>
      <w:bookmarkStart w:id="307" w:name="X52717e191be73313fd3af8be65c8f64cf59eb17"/>
      <w:bookmarkEnd w:id="306"/>
      <w:r>
        <w:rPr/>
        <w:t>Article 27 — The Claims Settlement Architecture</w:t>
      </w:r>
    </w:p>
    <w:p>
      <w:pPr>
        <w:pStyle w:val="Heading3"/>
        <w:rPr/>
      </w:pPr>
      <w:bookmarkStart w:id="308" w:name="the-competing-claims"/>
      <w:r>
        <w:rPr/>
        <w:t>27.1 The Competing Claims</w:t>
      </w:r>
    </w:p>
    <w:p>
      <w:pPr>
        <w:pStyle w:val="FirstParagraph"/>
        <w:rPr/>
      </w:pPr>
      <w:bookmarkStart w:id="309" w:name="the-competing-claims"/>
      <w:r>
        <w:rPr/>
        <w:t>27.1.1 The Parties acknowledge two irreconcilable declaratory positions: Iran’s demand for full compensation for the damage caused by the wars, and the United States counter-demand for compensation for fifty years of alleged damage. This Article resolves the compensation file not by adjudicating either narrative but by replacing both with the Balanced Ledger of Article 28: a mutual, final, and comprehensive settlement of all state-to-state claims between the Parties, however arising, through the date of signature.</w:t>
      </w:r>
      <w:bookmarkEnd w:id="309"/>
    </w:p>
    <w:p>
      <w:pPr>
        <w:pStyle w:val="Heading3"/>
        <w:rPr/>
      </w:pPr>
      <w:bookmarkStart w:id="310" w:name="the-claims-commission"/>
      <w:r>
        <w:rPr/>
        <w:t>27.2 The Claims Commission</w:t>
      </w:r>
    </w:p>
    <w:p>
      <w:pPr>
        <w:pStyle w:val="FirstParagraph"/>
        <w:rPr/>
      </w:pPr>
      <w:bookmarkStart w:id="311" w:name="the-claims-commission"/>
      <w:r>
        <w:rPr/>
        <w:t>27.2.1 The Parties establish the Iran-United States Claims Commission under this Agreement, seated at The Hague with the Neutral Administrator as secretariat, to receive, consolidate, and finally resolve: (a) claims of either state against the other for damage arising from the 2025 and 2026 conflicts; (b) the claims outstanding before the Iran-United States Claims Tribunal, whose docket transfers to the Commission and continues under its procedures as modified by Annex G; (c) claims of nationals of either Party against the other state, per the lump-sum settlement mechanism of Annex G, Section 5; and (d) claims concerning blocked, frozen, or expropriated assets not otherwise resolved by Article 17.</w:t>
      </w:r>
      <w:bookmarkEnd w:id="311"/>
    </w:p>
    <w:p>
      <w:pPr>
        <w:pStyle w:val="Heading3"/>
        <w:rPr/>
      </w:pPr>
      <w:bookmarkStart w:id="312" w:name="procedure"/>
      <w:r>
        <w:rPr/>
        <w:t>27.3 Procedure</w:t>
      </w:r>
    </w:p>
    <w:p>
      <w:pPr>
        <w:pStyle w:val="FirstParagraph"/>
        <w:rPr/>
      </w:pPr>
      <w:bookmarkStart w:id="313" w:name="X52717e191be73313fd3af8be65c8f64cf59eb17"/>
      <w:bookmarkStart w:id="314" w:name="procedure"/>
      <w:r>
        <w:rPr/>
        <w:t>27.3.1 The Commission comprises three panels: interstate claims, private claims, and asset claims. Each panel decides by majority, with neutral arbitrators holding the deciding voice where the two party-appointed members divide. Procedures, evidence rules, and timelines appear in Annex G. The Commission’s awards are final, binding, and enforceable through the Hormuz Account.</w:t>
      </w:r>
      <w:bookmarkEnd w:id="313"/>
      <w:bookmarkEnd w:id="314"/>
    </w:p>
    <w:p>
      <w:pPr>
        <w:pStyle w:val="Heading2"/>
        <w:rPr/>
      </w:pPr>
      <w:bookmarkStart w:id="315" w:name="__RefHeading___Toc3633_773522003"/>
      <w:bookmarkStart w:id="316" w:name="Xe6885dcdc3c136998e9ffef74305ff24313a13e"/>
      <w:bookmarkEnd w:id="315"/>
      <w:r>
        <w:rPr/>
        <w:t>Article 28 — Mutual Release and the Balanced Ledger</w:t>
      </w:r>
    </w:p>
    <w:p>
      <w:pPr>
        <w:pStyle w:val="Heading3"/>
        <w:rPr/>
      </w:pPr>
      <w:bookmarkStart w:id="317" w:name="the-settlement"/>
      <w:r>
        <w:rPr/>
        <w:t>28.1 The Settlement</w:t>
      </w:r>
    </w:p>
    <w:p>
      <w:pPr>
        <w:pStyle w:val="FirstParagraph"/>
        <w:rPr/>
      </w:pPr>
      <w:bookmarkStart w:id="318" w:name="the-settlement"/>
      <w:r>
        <w:rPr/>
        <w:t>28.1.1 Upon entry into force of this Agreement, and as a complete and final settlement, the Parties record in the Balanced Ledger: (a) the reconstruction architecture of Article 18, valued over the program life at up to $300 billion in financed project volume, credited in full settlement of Iran’s war-damage claims; and (b) the permanent termination of the bilateral conflict, the sanctions relief of Part VI, and the asset releases of Article 17, credited in full settlement of the United States counter-claims. The Parties agree that the Ledger balances, and that no further interstate compensation, reparation, or damages claim between them survives this Agreement.</w:t>
      </w:r>
      <w:bookmarkEnd w:id="318"/>
    </w:p>
    <w:p>
      <w:pPr>
        <w:pStyle w:val="Heading3"/>
        <w:rPr/>
      </w:pPr>
      <w:bookmarkStart w:id="319" w:name="the-mutual-release"/>
      <w:r>
        <w:rPr/>
        <w:t>28.2 The Mutual Release</w:t>
      </w:r>
    </w:p>
    <w:p>
      <w:pPr>
        <w:pStyle w:val="FirstParagraph"/>
        <w:rPr/>
      </w:pPr>
      <w:bookmarkStart w:id="320" w:name="the-mutual-release"/>
      <w:r>
        <w:rPr/>
        <w:t>28.2.1 Each Party, on its own behalf and on behalf of its nationals to the extent of the Commission’s jurisdiction, releases and forever discharges the other Party from all claims, of whatever character, arising from events through the date of signature, save only: (a) obligations created by this Agreement itself; (b) awards of the Claims Commission; and (c) criminal responsibility of individuals, which this Agreement neither creates nor extinguishes.</w:t>
      </w:r>
      <w:bookmarkEnd w:id="320"/>
    </w:p>
    <w:p>
      <w:pPr>
        <w:pStyle w:val="Heading3"/>
        <w:rPr/>
      </w:pPr>
      <w:bookmarkStart w:id="321" w:name="character-of-the-settlement"/>
      <w:r>
        <w:rPr/>
        <w:t>28.3 Character of the Settlement</w:t>
      </w:r>
    </w:p>
    <w:p>
      <w:pPr>
        <w:pStyle w:val="FirstParagraph"/>
        <w:rPr/>
      </w:pPr>
      <w:r>
        <w:rPr/>
        <w:t>28.3.1 The Parties record that the Balanced Ledger is a political settlement of legal claims, not a factual adjudication. Neither Party’s narrative of the conflict is conceded, and both narratives are set aside in favor of the architecture the settlement builds. The dignity of both nations is preserved: Iran receives the largest reconstruction program in the region’s history, and the United States receives the final closure of a half-century of claims.</w:t>
      </w:r>
    </w:p>
    <w:p>
      <w:pPr>
        <w:pStyle w:val="Normal"/>
        <w:rPr/>
      </w:pPr>
      <w:bookmarkStart w:id="322" w:name="part-x-compensation-and-claims"/>
      <w:bookmarkStart w:id="323" w:name="Xe6885dcdc3c136998e9ffef74305ff24313a13e"/>
      <w:bookmarkStart w:id="324" w:name="character-of-the-settlement"/>
      <w:r>
        <w:rPr/>
        <mc:AlternateContent>
          <mc:Choice Requires="wps">
            <w:drawing>
              <wp:inline distT="0" distB="0" distL="0" distR="0">
                <wp:extent cx="5943600" cy="19050"/>
                <wp:effectExtent l="0" t="0" r="0" b="0"/>
                <wp:docPr id="11" name=""/>
                <a:graphic xmlns:a="http://schemas.openxmlformats.org/drawingml/2006/main">
                  <a:graphicData uri="http://schemas.microsoft.com/office/word/2010/wordprocessingShape">
                    <wps:wsp>
                      <wps:cNvSpPr/>
                      <wps:nvSpPr>
                        <wps:cNvPr id="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2"/>
      <w:bookmarkEnd w:id="323"/>
      <w:bookmarkEnd w:id="324"/>
    </w:p>
    <w:p>
      <w:pPr>
        <w:pStyle w:val="Heading1"/>
        <w:rPr/>
      </w:pPr>
      <w:bookmarkStart w:id="325" w:name="__RefHeading___Toc3635_773522003"/>
      <w:bookmarkStart w:id="326" w:name="Xf12ced37a379807622a27ef7b6010d7b0f8d38d"/>
      <w:bookmarkEnd w:id="325"/>
      <w:r>
        <w:rPr/>
        <w:t>Part XI — Implementation, Compliance, and Final Provisions</w:t>
      </w:r>
    </w:p>
    <w:p>
      <w:pPr>
        <w:pStyle w:val="Heading2"/>
        <w:rPr/>
      </w:pPr>
      <w:bookmarkStart w:id="327" w:name="__RefHeading___Toc3637_773522003"/>
      <w:bookmarkStart w:id="328" w:name="article-29-the-implementation-calendar"/>
      <w:bookmarkEnd w:id="327"/>
      <w:r>
        <w:rPr/>
        <w:t>Article 29 — The Implementation Calendar</w:t>
      </w:r>
    </w:p>
    <w:p>
      <w:pPr>
        <w:pStyle w:val="Heading3"/>
        <w:rPr/>
      </w:pPr>
      <w:bookmarkStart w:id="329" w:name="the-calendar"/>
      <w:r>
        <w:rPr/>
        <w:t>29.1 The Calendar</w:t>
      </w:r>
    </w:p>
    <w:p>
      <w:pPr>
        <w:pStyle w:val="FirstParagraph"/>
        <w:rPr/>
      </w:pPr>
      <w:bookmarkStart w:id="330" w:name="the-calendar"/>
      <w:r>
        <w:rPr/>
        <w:t>29.1.1 Annex H states the consolidated implementation calendar. Its spine: Day 0 — entry into force; permanent termination of hostilities; blockade termination; oil sanctions lifting; banking, insurance, and transportation relief; first asset tranche; enrichment suspension verified; deconfliction channel elevated. Day 7 — IAEA access to damaged sites commences. Day 15 — full stockpile declaration. Day 30 — corridor certification of the first segment; banking reconnection; Commission fully seated. Day 90 — reactor fuel forward inventories in place; Reconstruction Facility constituted. Day 180 — stockpile disposition complete or on certified final segment; first reconstruction disbursements. Month 12 — Additional Protocol ratified. Month 24 — Fordow conversion certified. Month 36 — Consortium initial operation. Terminal certification of the nuclear track follows the IAEA broader conclusion, on the Agency’s technical schedule alone.</w:t>
      </w:r>
      <w:bookmarkEnd w:id="330"/>
    </w:p>
    <w:p>
      <w:pPr>
        <w:pStyle w:val="Heading3"/>
        <w:rPr/>
      </w:pPr>
      <w:bookmarkStart w:id="331" w:name="the-milestone-pairing-rule"/>
      <w:r>
        <w:rPr/>
        <w:t>29.2 The Milestone Pairing Rule</w:t>
      </w:r>
    </w:p>
    <w:p>
      <w:pPr>
        <w:pStyle w:val="FirstParagraph"/>
        <w:rPr/>
      </w:pPr>
      <w:bookmarkStart w:id="332" w:name="the-milestone-pairing-rule"/>
      <w:r>
        <w:rPr/>
        <w:t>29.2.1 Every milestone in Annex H pairs, in the same row, the performance of one Party with the paired relief or performance of the other. The pairing is exact and published; neither Party faces an unpaired obligation, and the Banking Ledger records each banked pair as it certifies.</w:t>
      </w:r>
      <w:bookmarkEnd w:id="332"/>
    </w:p>
    <w:p>
      <w:pPr>
        <w:pStyle w:val="Heading3"/>
        <w:rPr/>
      </w:pPr>
      <w:bookmarkStart w:id="333" w:name="concurrent-activation"/>
      <w:r>
        <w:rPr/>
        <w:t>29.3 Concurrent Activation</w:t>
      </w:r>
    </w:p>
    <w:p>
      <w:pPr>
        <w:pStyle w:val="FirstParagraph"/>
        <w:rPr/>
      </w:pPr>
      <w:bookmarkStart w:id="334" w:name="article-29-the-implementation-calendar"/>
      <w:bookmarkStart w:id="335" w:name="concurrent-activation"/>
      <w:r>
        <w:rPr/>
        <w:t>29.3.1 Milestones activate concurrently, not sequentially, wherever their dependencies permit. Delay in one module does not delay any module that does not technically depend on it. The Commission resolves dependency questions by consensus, applying the Partial Success Doctrine to maximize concurrent progress.</w:t>
      </w:r>
      <w:bookmarkEnd w:id="334"/>
      <w:bookmarkEnd w:id="335"/>
    </w:p>
    <w:p>
      <w:pPr>
        <w:pStyle w:val="Heading2"/>
        <w:rPr/>
      </w:pPr>
      <w:bookmarkStart w:id="336" w:name="__RefHeading___Toc3639_773522003"/>
      <w:bookmarkStart w:id="337" w:name="X960fdca29c9e2f850b3651ea65952e4e51140a9"/>
      <w:bookmarkEnd w:id="336"/>
      <w:r>
        <w:rPr/>
        <w:t>Article 30 — The Joint Implementation Commission</w:t>
      </w:r>
    </w:p>
    <w:p>
      <w:pPr>
        <w:pStyle w:val="Heading3"/>
        <w:rPr/>
      </w:pPr>
      <w:bookmarkStart w:id="338" w:name="establishment"/>
      <w:r>
        <w:rPr/>
        <w:t>30.1 Establishment</w:t>
      </w:r>
    </w:p>
    <w:p>
      <w:pPr>
        <w:pStyle w:val="FirstParagraph"/>
        <w:rPr/>
      </w:pPr>
      <w:bookmarkStart w:id="339" w:name="establishment"/>
      <w:r>
        <w:rPr/>
        <w:t>30.1.1 The Parties establish the Joint Implementation Commission as the Executive Mechanism contemplated by the Islamabad MoU. The Commission seats at Muscat, with a mirror facility of equal rank at Geneva, and convenes at principals’ level monthly for the first year and semiannually thereafter, with permanent working-level staffs in continuous session.</w:t>
      </w:r>
      <w:bookmarkEnd w:id="339"/>
    </w:p>
    <w:p>
      <w:pPr>
        <w:pStyle w:val="Heading3"/>
        <w:rPr/>
      </w:pPr>
      <w:bookmarkStart w:id="340" w:name="composition-and-functions"/>
      <w:r>
        <w:rPr/>
        <w:t>30.2 Composition and Functions</w:t>
      </w:r>
    </w:p>
    <w:p>
      <w:pPr>
        <w:pStyle w:val="FirstParagraph"/>
        <w:rPr/>
      </w:pPr>
      <w:bookmarkStart w:id="341" w:name="composition-and-functions"/>
      <w:r>
        <w:rPr/>
        <w:t>30.2.1 The Commission comprises the two Parties at deputy-foreign-minister level, with the Mediator of Record, the Facilitators, and the Neutral Administrator in standing attendance, and the IAEA and IMO attending for their tracks. Its functions: maintaining the Banking Ledger and the Transparency Register; certifying milestones on the reports of the verification organs; administering the Compliance Engine’s procedural stages; operating the interface with the corridor instruments; and adopting, by consensus, the technical annex updates of Article 35.2.</w:t>
      </w:r>
      <w:bookmarkEnd w:id="341"/>
    </w:p>
    <w:p>
      <w:pPr>
        <w:pStyle w:val="Heading3"/>
        <w:rPr/>
      </w:pPr>
      <w:bookmarkStart w:id="342" w:name="the-high-level-committee-lineage"/>
      <w:r>
        <w:rPr/>
        <w:t>30.3 The High-Level Committee Lineage</w:t>
      </w:r>
    </w:p>
    <w:p>
      <w:pPr>
        <w:pStyle w:val="FirstParagraph"/>
        <w:rPr/>
      </w:pPr>
      <w:bookmarkStart w:id="343" w:name="X960fdca29c9e2f850b3651ea65952e4e51140a9"/>
      <w:bookmarkStart w:id="344" w:name="the-high-level-committee-lineage"/>
      <w:r>
        <w:rPr/>
        <w:t>30.3.1 The Commission absorbs and continues the High Level Committee constituted in the Lake Lucerne implementation talks of June 2026, including its maritime security and Lebanon de-escalation mechanisms, which convert into the Commission’s standing working groups.</w:t>
      </w:r>
      <w:bookmarkEnd w:id="343"/>
      <w:bookmarkEnd w:id="344"/>
    </w:p>
    <w:p>
      <w:pPr>
        <w:pStyle w:val="Heading2"/>
        <w:rPr/>
      </w:pPr>
      <w:bookmarkStart w:id="345" w:name="__RefHeading___Toc3641_773522003"/>
      <w:bookmarkStart w:id="346" w:name="Xe09c7e8cce8c3069f2de5f367cf0dae9f3ea5e2"/>
      <w:bookmarkEnd w:id="345"/>
      <w:r>
        <w:rPr/>
        <w:t>Article 31 — Verification, Reporting, and Transparency</w:t>
      </w:r>
    </w:p>
    <w:p>
      <w:pPr>
        <w:pStyle w:val="Heading3"/>
        <w:rPr/>
      </w:pPr>
      <w:bookmarkStart w:id="347" w:name="the-verification-organs"/>
      <w:r>
        <w:rPr/>
        <w:t>31.1 The Verification Organs</w:t>
      </w:r>
    </w:p>
    <w:p>
      <w:pPr>
        <w:pStyle w:val="FirstParagraph"/>
        <w:rPr/>
      </w:pPr>
      <w:bookmarkStart w:id="348" w:name="the-verification-organs"/>
      <w:r>
        <w:rPr/>
        <w:t>31.1.1 Competent verification organs: the IAEA, for the nuclear track; the Commission’s Technical Secretariat with national technical means shared reciprocally, for the missile and force-posture tracks; the IMO and the corridor instruments’ joint verification, for the strait track; the Neutral Administrator’s audit function, for the economic track; and the joint inquiry mechanism of Annex D, for incident attribution across all tracks.</w:t>
      </w:r>
      <w:bookmarkEnd w:id="348"/>
    </w:p>
    <w:p>
      <w:pPr>
        <w:pStyle w:val="Heading3"/>
        <w:rPr/>
      </w:pPr>
      <w:bookmarkStart w:id="349" w:name="the-transparency-register"/>
      <w:r>
        <w:rPr/>
        <w:t>31.2 The Transparency Register</w:t>
      </w:r>
    </w:p>
    <w:p>
      <w:pPr>
        <w:pStyle w:val="FirstParagraph"/>
        <w:rPr/>
      </w:pPr>
      <w:bookmarkStart w:id="350" w:name="the-transparency-register"/>
      <w:r>
        <w:rPr/>
        <w:t>31.2.1 The Commission maintains the public Transparency Register: milestone certifications, Banking Ledger entries, deconfliction channel statistics, corridor status, and the quarterly reports of the verification organs in public summary form. Classified annexes and operational security details route through secure channels; the Register carries everything the safe operation of the Agreement legitimately makes public.</w:t>
      </w:r>
      <w:bookmarkEnd w:id="350"/>
    </w:p>
    <w:p>
      <w:pPr>
        <w:pStyle w:val="Heading3"/>
        <w:rPr/>
      </w:pPr>
      <w:bookmarkStart w:id="351" w:name="reporting-rhythm"/>
      <w:r>
        <w:rPr/>
        <w:t>31.3 Reporting Rhythm</w:t>
      </w:r>
    </w:p>
    <w:p>
      <w:pPr>
        <w:pStyle w:val="FirstParagraph"/>
        <w:rPr/>
      </w:pPr>
      <w:bookmarkStart w:id="352" w:name="reporting-rhythm"/>
      <w:r>
        <w:rPr/>
        <w:t>31.3.1 Reporting rhythm: IAEA reports to the Commission monthly during the suspension phase and quarterly thereafter; the Commission publishes a consolidated compliance report quarterly; the Neutral Administrator publishes the Account and Fund audits quarterly and annually. A report that shows a discrepancy routes to the Compliance Engine, not to the media of either Party, as its first destination.</w:t>
      </w:r>
      <w:bookmarkEnd w:id="352"/>
    </w:p>
    <w:p>
      <w:pPr>
        <w:pStyle w:val="Heading3"/>
        <w:rPr/>
      </w:pPr>
      <w:bookmarkStart w:id="353" w:name="incident-reporting"/>
      <w:r>
        <w:rPr/>
        <w:t>31.4 Incident Reporting</w:t>
      </w:r>
    </w:p>
    <w:p>
      <w:pPr>
        <w:pStyle w:val="FirstParagraph"/>
        <w:rPr/>
      </w:pPr>
      <w:bookmarkStart w:id="354" w:name="Xe09c7e8cce8c3069f2de5f367cf0dae9f3ea5e2"/>
      <w:bookmarkStart w:id="355" w:name="incident-reporting"/>
      <w:r>
        <w:rPr/>
        <w:t>31.4.1 Each Party reports to the Commission within twenty-four hours any incident capable of affecting the Agreement: military contact, corridor incident, verification obstruction, sanctions action, or asset blockage. Reports include identity, position or locus, nature, and response actions. Silence in the face of a known incident is itself a reportable breach.</w:t>
      </w:r>
      <w:bookmarkEnd w:id="354"/>
      <w:bookmarkEnd w:id="355"/>
    </w:p>
    <w:p>
      <w:pPr>
        <w:pStyle w:val="Heading2"/>
        <w:rPr/>
      </w:pPr>
      <w:bookmarkStart w:id="356" w:name="__RefHeading___Toc3643_773522003"/>
      <w:bookmarkStart w:id="357" w:name="X823cf6f6b1dd04dbf2bc5aac43e49f3296dbdbf"/>
      <w:bookmarkEnd w:id="356"/>
      <w:r>
        <w:rPr/>
        <w:t>Article 32 — The Step-Back and Earn-Back Compliance Engine</w:t>
      </w:r>
    </w:p>
    <w:p>
      <w:pPr>
        <w:pStyle w:val="Heading3"/>
        <w:rPr/>
      </w:pPr>
      <w:bookmarkStart w:id="358" w:name="purpose-1"/>
      <w:r>
        <w:rPr/>
        <w:t>32.1 Purpose</w:t>
      </w:r>
    </w:p>
    <w:p>
      <w:pPr>
        <w:pStyle w:val="FirstParagraph"/>
        <w:rPr/>
      </w:pPr>
      <w:bookmarkStart w:id="359" w:name="purpose-1"/>
      <w:r>
        <w:rPr/>
        <w:t>32.1.1 The Compliance Engine corrects deviation without demolishing architecture. Its five rules: proportionality governs everything — the step-back fits the violation; human judgment sits above automation; earn-back is always available — no violation creates permanent exclusion; humanitarian flows are sacred — no step-back touches food, medicine, or safety; and military escalation is structurally decoupled — economic and administrative step-backs never authorize force.</w:t>
      </w:r>
      <w:bookmarkEnd w:id="359"/>
    </w:p>
    <w:p>
      <w:pPr>
        <w:pStyle w:val="Heading3"/>
        <w:rPr/>
      </w:pPr>
      <w:bookmarkStart w:id="360" w:name="the-tiers"/>
      <w:r>
        <w:rPr/>
        <w:t>32.2 The Tiers</w:t>
      </w:r>
    </w:p>
    <w:p>
      <w:pPr>
        <w:pStyle w:val="FirstParagraph"/>
        <w:rPr/>
      </w:pPr>
      <w:r>
        <w:rPr/>
        <w:t>32.2.1 Tier 1 — Technical Dispute (de minimis): a deviation without material effect. Cure period thirty days; no step-back; recorded in the Register.</w:t>
      </w:r>
    </w:p>
    <w:p>
      <w:pPr>
        <w:pStyle w:val="TextBody"/>
        <w:rPr/>
      </w:pPr>
      <w:r>
        <w:rPr/>
        <w:t>32.2.2 Tier 2 — Material Disruption: a deviation with material effect on a paired obligation. Activation requires a verified finding by the competent verification organ, forty-eight hours of mandatory consultation, and a Commission decision under the consensus-minus-one rule of Article 33.2. The step-back suspends the specific paired benefit, proportionately, for the minimum necessary period.</w:t>
      </w:r>
    </w:p>
    <w:p>
      <w:pPr>
        <w:pStyle w:val="TextBody"/>
        <w:rPr/>
      </w:pPr>
      <w:bookmarkStart w:id="361" w:name="the-tiers"/>
      <w:r>
        <w:rPr/>
        <w:t>32.2.3 Tier 3 — Deliberate Hostile Violation: a verified deliberate violation of a Red Line. Activation requires the full attribution procedure of Article 33.4, including the false-flag exclusion, and principals’-level consultation within seventy-two hours. The step-back may suspend the paired core benefits of the affected track; it never suspends the non-nuclear-weapon commitment’s verification, never touches humanitarian flows, never reimposes a general blockade, and never, in itself, terminates the Agreement.</w:t>
      </w:r>
      <w:bookmarkEnd w:id="361"/>
    </w:p>
    <w:p>
      <w:pPr>
        <w:pStyle w:val="Heading3"/>
        <w:rPr/>
      </w:pPr>
      <w:bookmarkStart w:id="362" w:name="earn-back"/>
      <w:r>
        <w:rPr/>
        <w:t>32.3 Earn-Back</w:t>
      </w:r>
    </w:p>
    <w:p>
      <w:pPr>
        <w:pStyle w:val="FirstParagraph"/>
        <w:rPr/>
      </w:pPr>
      <w:bookmarkStart w:id="363" w:name="earn-back"/>
      <w:r>
        <w:rPr/>
        <w:t>32.3.1 Every step-back publishes its earn-back schedule at the moment it activates: the specific acts of cure, the verification standard, and the timeline. Cure verified, the benefit banks again automatically and the Ledger records the restoration. Partial cure earns proportional restoration. The architecture presumes return; it never presumes exile.</w:t>
      </w:r>
      <w:bookmarkEnd w:id="363"/>
    </w:p>
    <w:p>
      <w:pPr>
        <w:pStyle w:val="Heading3"/>
        <w:rPr/>
      </w:pPr>
      <w:bookmarkStart w:id="364" w:name="attribution-and-evidence"/>
      <w:r>
        <w:rPr/>
        <w:t>32.4 Attribution and Evidence</w:t>
      </w:r>
    </w:p>
    <w:p>
      <w:pPr>
        <w:pStyle w:val="FirstParagraph"/>
        <w:rPr/>
      </w:pPr>
      <w:bookmarkStart w:id="365" w:name="attribution-and-evidence"/>
      <w:r>
        <w:rPr/>
        <w:t>32.3.4 Every tier runs on evidence produced by the competent verification organ or the joint inquiry mechanism. Allegation alone activates nothing. The burden rests on the claiming Party; the cost of a frivolous claim, assessed under Annex G, Section 7, deters abuse of the Engine.</w:t>
      </w:r>
      <w:bookmarkEnd w:id="365"/>
    </w:p>
    <w:p>
      <w:pPr>
        <w:pStyle w:val="Heading3"/>
        <w:rPr/>
      </w:pPr>
      <w:bookmarkStart w:id="366" w:name="the-automatic-protective-suspension"/>
      <w:r>
        <w:rPr/>
        <w:t>32.5 The Automatic Protective Suspension</w:t>
      </w:r>
    </w:p>
    <w:p>
      <w:pPr>
        <w:pStyle w:val="FirstParagraph"/>
        <w:rPr/>
      </w:pPr>
      <w:bookmarkStart w:id="367" w:name="the-automatic-protective-suspension"/>
      <w:r>
        <w:rPr/>
        <w:t>32.5.1 One automatic measure alone exists in the Engine: a verified cessation of IAEA monitoring continuity — loss of surveillance data beyond forty-eight hours without innocent explanation — suspends the paired nuclear-track reliefs automatically, without consultation, until continuity restores. This rule has no human override, because verification continuity is the load-bearing wall of the entire settlement; it is also the only rule of its kind, because every other correction benefits from the cooling-off the architecture prefers.</w:t>
      </w:r>
      <w:bookmarkEnd w:id="367"/>
    </w:p>
    <w:p>
      <w:pPr>
        <w:pStyle w:val="Heading3"/>
        <w:rPr/>
      </w:pPr>
      <w:bookmarkStart w:id="368" w:name="the-paired-core-rule"/>
      <w:r>
        <w:rPr/>
        <w:t>32.6 The Paired-Core Rule</w:t>
      </w:r>
    </w:p>
    <w:p>
      <w:pPr>
        <w:pStyle w:val="FirstParagraph"/>
        <w:rPr/>
      </w:pPr>
      <w:bookmarkStart w:id="369" w:name="X823cf6f6b1dd04dbf2bc5aac43e49f3296dbdbf"/>
      <w:bookmarkStart w:id="370" w:name="the-paired-core-rule"/>
      <w:r>
        <w:rPr/>
        <w:t>32.6.1 Only one pairing crosses track boundaries: a verified material breach of the Article 8 non-nuclear-weapon commitment engages the paired core reliefs of the economic track; and a resumption of hostilities by the United States while Iran performs engages the suspension of Iran’s paired obligations. Every other pairing stays within its own track. The architecture concentrates its heaviest interlock exactly where the two nations’ deepest fears reside, and nowhere else.</w:t>
      </w:r>
      <w:bookmarkEnd w:id="369"/>
      <w:bookmarkEnd w:id="370"/>
    </w:p>
    <w:p>
      <w:pPr>
        <w:pStyle w:val="Heading2"/>
        <w:rPr/>
      </w:pPr>
      <w:bookmarkStart w:id="371" w:name="__RefHeading___Toc3645_773522003"/>
      <w:bookmarkStart w:id="372" w:name="X6d6e0f25b954a7f527914b54986dfd4d6c1097b"/>
      <w:bookmarkEnd w:id="371"/>
      <w:r>
        <w:rPr/>
        <w:t>Article 33 — Protective Architecture: Cooling-Off, False Flags, and the Human-in-the-Loop Rule</w:t>
      </w:r>
    </w:p>
    <w:p>
      <w:pPr>
        <w:pStyle w:val="Heading3"/>
        <w:rPr/>
      </w:pPr>
      <w:bookmarkStart w:id="373" w:name="the-forty-eight-hour-rule"/>
      <w:r>
        <w:rPr/>
        <w:t>33.1 The Forty-Eight-Hour Rule</w:t>
      </w:r>
    </w:p>
    <w:p>
      <w:pPr>
        <w:pStyle w:val="FirstParagraph"/>
        <w:rPr/>
      </w:pPr>
      <w:bookmarkStart w:id="374" w:name="the-forty-eight-hour-rule"/>
      <w:r>
        <w:rPr/>
        <w:t>33.1.1 Every suspension, step-back, or escalation decision under this Agreement pauses for forty-eight hours of mandatory consultation before taking effect, save only the automatic protective suspension of Article 32.5. During the pause, the affected state of affairs continues unchanged; no Party exploits the interval to worsen its position.</w:t>
      </w:r>
      <w:bookmarkEnd w:id="374"/>
    </w:p>
    <w:p>
      <w:pPr>
        <w:pStyle w:val="Heading3"/>
        <w:rPr/>
      </w:pPr>
      <w:bookmarkStart w:id="375" w:name="consensus-minus-one"/>
      <w:r>
        <w:rPr/>
        <w:t>33.2 Consensus Minus One</w:t>
      </w:r>
    </w:p>
    <w:p>
      <w:pPr>
        <w:pStyle w:val="FirstParagraph"/>
        <w:rPr/>
      </w:pPr>
      <w:bookmarkStart w:id="376" w:name="consensus-minus-one"/>
      <w:r>
        <w:rPr/>
        <w:t>33.2.1 Commission decisions under the Compliance Engine take by consensus of the Parties, or, where one Party is the subject of the proceeding and withholds consensus, by consensus-minus-one: the deciding organ comprises the Commission’s neutral participants — the Mediator of Record, the Facilitators, and the Neutral Administrator — acting by majority, on the evidence of the competent verification organ alone.</w:t>
      </w:r>
      <w:bookmarkEnd w:id="376"/>
    </w:p>
    <w:p>
      <w:pPr>
        <w:pStyle w:val="Heading3"/>
        <w:rPr/>
      </w:pPr>
      <w:bookmarkStart w:id="377" w:name="the-human-in-the-loop-rule"/>
      <w:r>
        <w:rPr/>
        <w:t>33.3 The Human-in-the-Loop Rule</w:t>
      </w:r>
    </w:p>
    <w:p>
      <w:pPr>
        <w:pStyle w:val="FirstParagraph"/>
        <w:rPr/>
      </w:pPr>
      <w:bookmarkStart w:id="378" w:name="the-human-in-the-loop-rule"/>
      <w:r>
        <w:rPr/>
        <w:t>33.3.1 Technical systems inform; designated human officers decide. No automated monitoring, no algorithmic alert, and no standing instruction executes a step-back, an attribution, or a military-relevant notification without the recorded decision of a named human officer of the deciding organ. Automation detects; humanity judges.</w:t>
      </w:r>
      <w:bookmarkEnd w:id="378"/>
    </w:p>
    <w:p>
      <w:pPr>
        <w:pStyle w:val="Heading3"/>
        <w:rPr/>
      </w:pPr>
      <w:bookmarkStart w:id="379" w:name="the-false-flag-protocol"/>
      <w:r>
        <w:rPr/>
        <w:t>33.4 The False-Flag Protocol</w:t>
      </w:r>
    </w:p>
    <w:p>
      <w:pPr>
        <w:pStyle w:val="FirstParagraph"/>
        <w:rPr/>
      </w:pPr>
      <w:bookmarkStart w:id="380" w:name="the-false-flag-protocol"/>
      <w:r>
        <w:rPr/>
        <w:t>33.4.1 Attribution requires evidence. Where an incident is claimed against a Party and that Party denies responsibility, the joint inquiry mechanism of Annex D investigates before any Engine stage activates; where the evidence indicates a false-flag operation by a third party, the incident exits the Engine entirely, the Commission publishes the finding, and the Parties consult on the protection of the Agreement from manipulation. The architecture refuses to be gamed by actors who profit from its failure.</w:t>
      </w:r>
      <w:bookmarkEnd w:id="380"/>
    </w:p>
    <w:p>
      <w:pPr>
        <w:pStyle w:val="Heading3"/>
        <w:rPr/>
      </w:pPr>
      <w:bookmarkStart w:id="381" w:name="the-good-faith-reset"/>
      <w:r>
        <w:rPr/>
        <w:t>33.5 The Good-Faith Reset</w:t>
      </w:r>
    </w:p>
    <w:p>
      <w:pPr>
        <w:pStyle w:val="FirstParagraph"/>
        <w:rPr/>
      </w:pPr>
      <w:bookmarkStart w:id="382" w:name="X6d6e0f25b954a7f527914b54986dfd4d6c1097b"/>
      <w:bookmarkStart w:id="383" w:name="the-good-faith-reset"/>
      <w:r>
        <w:rPr/>
        <w:t>33.5.1 At the conclusion of any Engine proceeding, the Commission convenes a good-faith reset session: the Parties restate the Agreement’s purposes, record the lesson of the episode in the Register, and adopt any technical amendment needed to prevent recurrence. The Engine’s purpose is not punishment; it is the preservation of a settlement worth more than any episode that tests it.</w:t>
      </w:r>
      <w:bookmarkEnd w:id="382"/>
      <w:bookmarkEnd w:id="383"/>
    </w:p>
    <w:p>
      <w:pPr>
        <w:pStyle w:val="Heading2"/>
        <w:rPr/>
      </w:pPr>
      <w:bookmarkStart w:id="384" w:name="__RefHeading___Toc3647_773522003"/>
      <w:bookmarkStart w:id="385" w:name="article-34-dispute-resolution"/>
      <w:bookmarkEnd w:id="384"/>
      <w:r>
        <w:rPr/>
        <w:t>Article 34 — Dispute Resolution</w:t>
      </w:r>
    </w:p>
    <w:p>
      <w:pPr>
        <w:pStyle w:val="Heading3"/>
        <w:rPr/>
      </w:pPr>
      <w:bookmarkStart w:id="386" w:name="the-ladder"/>
      <w:r>
        <w:rPr/>
        <w:t>34.1 The Ladder</w:t>
      </w:r>
    </w:p>
    <w:p>
      <w:pPr>
        <w:pStyle w:val="FirstParagraph"/>
        <w:rPr/>
      </w:pPr>
      <w:bookmarkStart w:id="387" w:name="the-ladder"/>
      <w:r>
        <w:rPr/>
        <w:t>34.1.1 Disputes concerning interpretation or application of this Agreement resolve through: first, consultation in the Commission, twenty-one days; second, principals-level consultation between the foreign ministers, twenty-one days; third, mediation by the Mediator of Record or such other mediator as the Parties jointly select, thirty days; and fourth, at the election of either Party, binding arbitration under Annex G by a three-member tribunal with a neutral chair, whose award is final.</w:t>
      </w:r>
      <w:bookmarkEnd w:id="387"/>
    </w:p>
    <w:p>
      <w:pPr>
        <w:pStyle w:val="Heading3"/>
        <w:rPr/>
      </w:pPr>
      <w:bookmarkStart w:id="388" w:name="no-suspension-by-dispute"/>
      <w:r>
        <w:rPr/>
        <w:t>34.2 No Suspension by Dispute</w:t>
      </w:r>
    </w:p>
    <w:p>
      <w:pPr>
        <w:pStyle w:val="FirstParagraph"/>
        <w:rPr/>
      </w:pPr>
      <w:bookmarkStart w:id="389" w:name="no-suspension-by-dispute"/>
      <w:r>
        <w:rPr/>
        <w:t>34.2.1 Pendency of a dispute suspends nothing. All obligations, all reliefs, all verification, and all institutions continue in full operation while the ladder runs, save only a step-back properly activated under Article 32.</w:t>
      </w:r>
      <w:bookmarkEnd w:id="389"/>
    </w:p>
    <w:p>
      <w:pPr>
        <w:pStyle w:val="Heading3"/>
        <w:rPr/>
      </w:pPr>
      <w:bookmarkStart w:id="390" w:name="relationship-to-the-un"/>
      <w:r>
        <w:rPr/>
        <w:t>34.3 Relationship to the UN</w:t>
      </w:r>
    </w:p>
    <w:p>
      <w:pPr>
        <w:pStyle w:val="FirstParagraph"/>
        <w:rPr/>
      </w:pPr>
      <w:bookmarkStart w:id="391" w:name="article-34-dispute-resolution"/>
      <w:bookmarkStart w:id="392" w:name="relationship-to-the-un"/>
      <w:r>
        <w:rPr/>
        <w:t>34.3.1 Nothing in this Article limits either Party’s recourse to the UN Security Council or the General Assembly. The Parties record their intention that this Agreement’s machinery resolve bilateral matters bilaterally, and that recourse to New York occur, where it occurs, in the Agreement’s defense rather than in its circumvention.</w:t>
      </w:r>
      <w:bookmarkEnd w:id="391"/>
      <w:bookmarkEnd w:id="392"/>
    </w:p>
    <w:p>
      <w:pPr>
        <w:pStyle w:val="Heading2"/>
        <w:rPr/>
      </w:pPr>
      <w:bookmarkStart w:id="393" w:name="__RefHeading___Toc3649_773522003"/>
      <w:bookmarkStart w:id="394" w:name="Xb63a98e8ebd78d7669d8dcd49ef14d58098df4e"/>
      <w:bookmarkEnd w:id="393"/>
      <w:r>
        <w:rPr/>
        <w:t>Article 35 — Amendment, Review, and Accession of Guarantors</w:t>
      </w:r>
    </w:p>
    <w:p>
      <w:pPr>
        <w:pStyle w:val="Heading3"/>
        <w:rPr/>
      </w:pPr>
      <w:bookmarkStart w:id="395" w:name="amendment"/>
      <w:r>
        <w:rPr/>
        <w:t>35.1 Amendment</w:t>
      </w:r>
    </w:p>
    <w:p>
      <w:pPr>
        <w:pStyle w:val="FirstParagraph"/>
        <w:rPr/>
      </w:pPr>
      <w:bookmarkStart w:id="396" w:name="amendment"/>
      <w:r>
        <w:rPr/>
        <w:t>35.1.1 This Agreement amends only by joint written instrument of the Parties, executed with the same formality as this Agreement. Technical annexes update by consensus of the Commission under Article 30.2, provided no update contradicts an Article or a Red Line.</w:t>
      </w:r>
      <w:bookmarkEnd w:id="396"/>
    </w:p>
    <w:p>
      <w:pPr>
        <w:pStyle w:val="Heading3"/>
        <w:rPr/>
      </w:pPr>
      <w:bookmarkStart w:id="397" w:name="review"/>
      <w:r>
        <w:rPr/>
        <w:t>35.2 Review</w:t>
      </w:r>
    </w:p>
    <w:p>
      <w:pPr>
        <w:pStyle w:val="FirstParagraph"/>
        <w:rPr/>
      </w:pPr>
      <w:bookmarkStart w:id="398" w:name="review"/>
      <w:r>
        <w:rPr/>
        <w:t>35.2.1 The Commission reviews the operation of this Agreement annually for the first five years and every five years thereafter. Review reports are public. Review recommends; it cannot amend, suspend, or terminate.</w:t>
      </w:r>
      <w:bookmarkEnd w:id="398"/>
    </w:p>
    <w:p>
      <w:pPr>
        <w:pStyle w:val="Heading3"/>
        <w:rPr/>
      </w:pPr>
      <w:bookmarkStart w:id="399" w:name="accession-of-guarantors"/>
      <w:r>
        <w:rPr/>
        <w:t>35.3 Accession of Guarantors</w:t>
      </w:r>
    </w:p>
    <w:p>
      <w:pPr>
        <w:pStyle w:val="FirstParagraph"/>
        <w:rPr/>
      </w:pPr>
      <w:bookmarkStart w:id="400" w:name="Xb63a98e8ebd78d7669d8dcd49ef14d58098df4e"/>
      <w:bookmarkStart w:id="401" w:name="accession-of-guarantors"/>
      <w:r>
        <w:rPr/>
        <w:t>35.4.1 The Islamic Republic of Pakistan, the Sultanate of Oman, the State of Qatar, the Swiss Confederation, and any GCC member state or the Republic of Iraq may accede as Guarantors by instrument deposited with the Depositary. A Guarantor undertakes to support the Agreement’s implementation, to participate in the consensus-minus-one organ where applicable, to lend its good offices to dispute resolution, and to uphold the no-toll baseline of RL-3 in its own conduct. Guarantor status creates no obligation of force.</w:t>
      </w:r>
      <w:bookmarkEnd w:id="400"/>
      <w:bookmarkEnd w:id="401"/>
    </w:p>
    <w:p>
      <w:pPr>
        <w:pStyle w:val="Heading2"/>
        <w:rPr/>
      </w:pPr>
      <w:bookmarkStart w:id="402" w:name="__RefHeading___Toc3651_773522003"/>
      <w:bookmarkStart w:id="403" w:name="Xed652d9d1113becde825cf7d49e17d6cf1d09cd"/>
      <w:bookmarkEnd w:id="402"/>
      <w:r>
        <w:rPr/>
        <w:t>Article 36 — Entry into Force, UN Endorsement, and Depositary Functions</w:t>
      </w:r>
    </w:p>
    <w:p>
      <w:pPr>
        <w:pStyle w:val="Heading3"/>
        <w:rPr/>
      </w:pPr>
      <w:bookmarkStart w:id="404" w:name="entry-into-force"/>
      <w:r>
        <w:rPr/>
        <w:t>36.1 Entry into Force</w:t>
      </w:r>
    </w:p>
    <w:p>
      <w:pPr>
        <w:pStyle w:val="FirstParagraph"/>
        <w:rPr/>
      </w:pPr>
      <w:bookmarkStart w:id="405" w:name="entry-into-force"/>
      <w:r>
        <w:rPr/>
        <w:t>36.1.1 This Agreement enters into force upon signature by both Parties, which signature the Parties execute following the constitutional completions each records in the instrument of signature. Signature occurring, the sixty-day window of the Islamabad MoU closes as performed, and the interim arrangements of the MoU merge into this Agreement without interval.</w:t>
      </w:r>
      <w:bookmarkEnd w:id="405"/>
    </w:p>
    <w:p>
      <w:pPr>
        <w:pStyle w:val="Heading3"/>
        <w:rPr/>
      </w:pPr>
      <w:bookmarkStart w:id="406" w:name="un-endorsement"/>
      <w:r>
        <w:rPr/>
        <w:t>36.2 UN Endorsement</w:t>
      </w:r>
    </w:p>
    <w:p>
      <w:pPr>
        <w:pStyle w:val="FirstParagraph"/>
        <w:rPr/>
      </w:pPr>
      <w:bookmarkStart w:id="407" w:name="un-endorsement"/>
      <w:r>
        <w:rPr/>
        <w:t>36.2.1 Consistent with paragraph 14 of the Islamabad MoU, the Parties jointly transmit this Agreement to the United Nations Security Council and jointly request a resolution endorsing it, as the Council endorsed the 2015 nuclear agreement. The Parties request that the resolution terminate prior Iran nuclear-related measures per Article 15.4 upon the certifications this Agreement defines, and that it commend the Commission’s reports to the Council’s attention without creating any snapback or automatic reimposition mechanism, which this Agreement expressly excludes.</w:t>
      </w:r>
      <w:bookmarkEnd w:id="407"/>
    </w:p>
    <w:p>
      <w:pPr>
        <w:pStyle w:val="Heading3"/>
        <w:rPr/>
      </w:pPr>
      <w:bookmarkStart w:id="408" w:name="depositary"/>
      <w:r>
        <w:rPr/>
        <w:t>36.3 Depositary</w:t>
      </w:r>
    </w:p>
    <w:p>
      <w:pPr>
        <w:pStyle w:val="FirstParagraph"/>
        <w:rPr/>
      </w:pPr>
      <w:bookmarkStart w:id="409" w:name="Xed652d9d1113becde825cf7d49e17d6cf1d09cd"/>
      <w:bookmarkStart w:id="410" w:name="depositary"/>
      <w:r>
        <w:rPr/>
        <w:t>36.3.1 The Islamic Republic of Pakistan, Ministry of Foreign Affairs, serves as Depositary: receiving instruments of signature, ratification-confirmation, accession, and notification; maintaining the authentic texts in English, Persian, and Arabic; registering the Agreement with the United Nations under Article 102 of the Charter; and transmitting certified copies to all Parties, Guarantors, and verification organs.</w:t>
      </w:r>
      <w:bookmarkEnd w:id="409"/>
      <w:bookmarkEnd w:id="410"/>
    </w:p>
    <w:p>
      <w:pPr>
        <w:pStyle w:val="Heading2"/>
        <w:rPr/>
      </w:pPr>
      <w:bookmarkStart w:id="411" w:name="__RefHeading___Toc3653_773522003"/>
      <w:bookmarkStart w:id="412" w:name="article-37-withdrawal"/>
      <w:bookmarkEnd w:id="411"/>
      <w:r>
        <w:rPr/>
        <w:t>Article 37 — Withdrawal</w:t>
      </w:r>
    </w:p>
    <w:p>
      <w:pPr>
        <w:pStyle w:val="Heading3"/>
        <w:rPr/>
      </w:pPr>
      <w:bookmarkStart w:id="413" w:name="the-deliberate-exit"/>
      <w:r>
        <w:rPr/>
        <w:t>37.1 The Deliberate Exit</w:t>
      </w:r>
    </w:p>
    <w:p>
      <w:pPr>
        <w:pStyle w:val="FirstParagraph"/>
        <w:rPr/>
      </w:pPr>
      <w:bookmarkStart w:id="414" w:name="the-deliberate-exit"/>
      <w:r>
        <w:rPr/>
        <w:t>37.1.1 A Party withdraws from this Agreement only by written notice to the Depositary stating the extraordinary events it regards as having jeopardized its supreme interests, followed by a withdrawal buffer of one hundred eighty days. During the buffer, the Agreement continues in full operation, the Commission convenes at principals’ level within fifteen days, and the Guarantors lend their good offices to preserve the settlement.</w:t>
      </w:r>
      <w:bookmarkEnd w:id="414"/>
    </w:p>
    <w:p>
      <w:pPr>
        <w:pStyle w:val="Heading3"/>
        <w:rPr/>
      </w:pPr>
      <w:bookmarkStart w:id="415" w:name="the-tail"/>
      <w:r>
        <w:rPr/>
        <w:t>37.2 The Tail</w:t>
      </w:r>
    </w:p>
    <w:p>
      <w:pPr>
        <w:pStyle w:val="FirstParagraph"/>
        <w:rPr/>
      </w:pPr>
      <w:bookmarkStart w:id="416" w:name="the-tail"/>
      <w:r>
        <w:rPr/>
        <w:t>37.2.1 Withdrawal does not disturb: banked reliefs and released assets, which remain vested; the twenty-year verification tail of Article 8.1.2; awards of the Claims Commission; and completed acts, which are final. Withdrawal ends future performance; it never rewrites the past.</w:t>
      </w:r>
      <w:bookmarkEnd w:id="416"/>
    </w:p>
    <w:p>
      <w:pPr>
        <w:pStyle w:val="Heading3"/>
        <w:rPr/>
      </w:pPr>
      <w:bookmarkStart w:id="417" w:name="the-architectures-answer"/>
      <w:r>
        <w:rPr/>
        <w:t>37.3 The Architecture’s Answer</w:t>
      </w:r>
    </w:p>
    <w:p>
      <w:pPr>
        <w:pStyle w:val="FirstParagraph"/>
        <w:rPr/>
      </w:pPr>
      <w:r>
        <w:rPr/>
        <w:t>37.3.1 The Parties record their shared conviction that this Agreement’s permanence, its banked benefits, its earn-back pathways, and its decoupling of compliance from force together make withdrawal a remedy no performing Party will ever rationally choose — and that the buffer exists not in expectation of failure but so that even the gravest crisis passes through one hundred eighty days of architecture before it touches the open air.</w:t>
      </w:r>
    </w:p>
    <w:p>
      <w:pPr>
        <w:pStyle w:val="Normal"/>
        <w:rPr/>
      </w:pPr>
      <w:bookmarkStart w:id="418" w:name="Xf12ced37a379807622a27ef7b6010d7b0f8d38d"/>
      <w:bookmarkStart w:id="419" w:name="article-37-withdrawal"/>
      <w:bookmarkStart w:id="420" w:name="the-architectures-answer"/>
      <w:r>
        <w:rPr/>
        <mc:AlternateContent>
          <mc:Choice Requires="wps">
            <w:drawing>
              <wp:inline distT="0" distB="0" distL="0" distR="0">
                <wp:extent cx="5943600" cy="19050"/>
                <wp:effectExtent l="0" t="0" r="0" b="0"/>
                <wp:docPr id="12" name=""/>
                <a:graphic xmlns:a="http://schemas.openxmlformats.org/drawingml/2006/main">
                  <a:graphicData uri="http://schemas.microsoft.com/office/word/2010/wordprocessingShape">
                    <wps:wsp>
                      <wps:cNvSpPr/>
                      <wps:nvSpPr>
                        <wps:cNvPr id="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18"/>
      <w:bookmarkEnd w:id="419"/>
      <w:bookmarkEnd w:id="420"/>
    </w:p>
    <w:p>
      <w:pPr>
        <w:pStyle w:val="Heading1"/>
        <w:rPr/>
      </w:pPr>
      <w:bookmarkStart w:id="421" w:name="__RefHeading___Toc3655_773522003"/>
      <w:bookmarkStart w:id="422" w:name="Xd1191a0890332ccb8ae2585fd3458058cd43967"/>
      <w:bookmarkEnd w:id="421"/>
      <w:r>
        <w:rPr/>
        <w:t>Annex A — The Nuclear Verification Protocol</w:t>
      </w:r>
    </w:p>
    <w:p>
      <w:pPr>
        <w:pStyle w:val="Heading2"/>
        <w:rPr/>
      </w:pPr>
      <w:bookmarkStart w:id="423" w:name="__RefHeading___Toc3657_773522003"/>
      <w:bookmarkStart w:id="424" w:name="section-1-scope-and-legal-basis"/>
      <w:bookmarkEnd w:id="423"/>
      <w:r>
        <w:rPr/>
        <w:t>Section 1 — Scope and Legal Basis</w:t>
      </w:r>
    </w:p>
    <w:p>
      <w:pPr>
        <w:pStyle w:val="FirstParagraph"/>
        <w:rPr/>
      </w:pPr>
      <w:r>
        <w:rPr/>
        <w:t>A.1.1 This Protocol implements Article 11. It supplements, and never diminishes, Iran’s Comprehensive Safeguards Agreement with the IAEA and the Additional Protocol, which Iran applies provisionally from Day 0 and ratifies within twelve months.</w:t>
      </w:r>
    </w:p>
    <w:p>
      <w:pPr>
        <w:pStyle w:val="TextBody"/>
        <w:rPr/>
      </w:pPr>
      <w:bookmarkStart w:id="425" w:name="section-1-scope-and-legal-basis"/>
      <w:r>
        <w:rPr/>
        <w:t>A.1.2 The measures of this Protocol are permanent unless this Agreement expressly schedules their review. No measure sunsets by time alone, per the Continuity Principle.</w:t>
      </w:r>
      <w:bookmarkEnd w:id="425"/>
    </w:p>
    <w:p>
      <w:pPr>
        <w:pStyle w:val="Heading2"/>
        <w:rPr/>
      </w:pPr>
      <w:bookmarkStart w:id="426" w:name="__RefHeading___Toc3659_773522003"/>
      <w:bookmarkStart w:id="427" w:name="X39a0e7955120c76856e3ed859624949fddce74f"/>
      <w:bookmarkEnd w:id="426"/>
      <w:r>
        <w:rPr/>
        <w:t>Section 2 — Declared Facilities and Daily Access</w:t>
      </w:r>
    </w:p>
    <w:p>
      <w:pPr>
        <w:pStyle w:val="FirstParagraph"/>
        <w:rPr/>
      </w:pPr>
      <w:r>
        <w:rPr/>
        <w:t>A.2.1 The IAEA maintains continuous inspector presence, on a rotating basis, at: Natanz (enrichment complex and centrifuge research center post-conversion); Fordow (international research center post-conversion); Isfahan (conversion and fuel fabrication); the Tehran Research Reactor; Bushehr; Darkhovin; and all uranium mines, mills, and concentration plants.</w:t>
      </w:r>
    </w:p>
    <w:p>
      <w:pPr>
        <w:pStyle w:val="TextBody"/>
        <w:rPr/>
      </w:pPr>
      <w:bookmarkStart w:id="428" w:name="X39a0e7955120c76856e3ed859624949fddce74f"/>
      <w:r>
        <w:rPr/>
        <w:t>A.2.2 Daily access: inspectors access every declared site daily, without prior announcement, during any hour, with no numerical or temporal cap. Access includes all buildings, all process areas, and all supporting infrastructure within the site boundary.</w:t>
      </w:r>
      <w:bookmarkEnd w:id="428"/>
    </w:p>
    <w:p>
      <w:pPr>
        <w:pStyle w:val="Heading2"/>
        <w:rPr/>
      </w:pPr>
      <w:bookmarkStart w:id="429" w:name="__RefHeading___Toc3661_773522003"/>
      <w:bookmarkStart w:id="430" w:name="X2d63853a0a3fb491e46702d756213007129531c"/>
      <w:bookmarkEnd w:id="429"/>
      <w:r>
        <w:rPr/>
        <w:t>Section 3 — Surveillance and Monitoring Technology</w:t>
      </w:r>
    </w:p>
    <w:p>
      <w:pPr>
        <w:pStyle w:val="FirstParagraph"/>
        <w:rPr/>
      </w:pPr>
      <w:r>
        <w:rPr/>
        <w:t>A.3.1 The IAEA installs and operates, at Iran’s declared facilities: continuous online enrichment monitors on every cascade hall (post-consortium, on research equipment); real-time transmission of surveillance imagery and seals data to Agency headquarters; environmental sampling capability without prior notice; and unattended monitoring systems with autonomous power and encrypted data links.</w:t>
      </w:r>
    </w:p>
    <w:p>
      <w:pPr>
        <w:pStyle w:val="TextBody"/>
        <w:rPr/>
      </w:pPr>
      <w:bookmarkStart w:id="431" w:name="X2d63853a0a3fb491e46702d756213007129531c"/>
      <w:r>
        <w:rPr/>
        <w:t>A.3.2 Interruption of monitoring data beyond forty-eight hours without an innocent technical explanation confirmed by the Agency activates the automatic protective suspension of Article 32.5. The clock runs on the data gap alone; attribution is unnecessary and irrelevant to activation.</w:t>
      </w:r>
      <w:bookmarkEnd w:id="431"/>
    </w:p>
    <w:p>
      <w:pPr>
        <w:pStyle w:val="Heading2"/>
        <w:rPr/>
      </w:pPr>
      <w:bookmarkStart w:id="432" w:name="__RefHeading___Toc3663_773522003"/>
      <w:bookmarkStart w:id="433" w:name="X7c34e718756721c555e1c30e9dad577bdfc8d39"/>
      <w:bookmarkEnd w:id="432"/>
      <w:r>
        <w:rPr/>
        <w:t>Section 4 — Managed Access Beyond Declared Sites</w:t>
      </w:r>
    </w:p>
    <w:p>
      <w:pPr>
        <w:pStyle w:val="FirstParagraph"/>
        <w:rPr/>
      </w:pPr>
      <w:r>
        <w:rPr/>
        <w:t>A.4.1 The IAEA requests access to any location in Iran — declared or undeclared — by written request stating the basis. Access occurs within twenty-four hours of the request. Where Iran raises national-security concerns at a non-nuclear site, the managed-access procedures of the Additional Protocol apply, with the Commission informed of every invocation and every resolution.</w:t>
      </w:r>
    </w:p>
    <w:p>
      <w:pPr>
        <w:pStyle w:val="TextBody"/>
        <w:rPr/>
      </w:pPr>
      <w:bookmarkStart w:id="434" w:name="X7c34e718756721c555e1c30e9dad577bdfc8d39"/>
      <w:r>
        <w:rPr/>
        <w:t>A.4.2 A refusal of access that the IAEA Director General reports as impeding the Agency’s verification task routes to the Compliance Engine as a Tier 2 event in the first instance, escalating to Tier 3 upon a second verified refusal within ninety days.</w:t>
      </w:r>
      <w:bookmarkEnd w:id="434"/>
    </w:p>
    <w:p>
      <w:pPr>
        <w:pStyle w:val="Heading2"/>
        <w:rPr/>
      </w:pPr>
      <w:bookmarkStart w:id="435" w:name="__RefHeading___Toc3665_773522003"/>
      <w:bookmarkStart w:id="436" w:name="X089c73c8b1ea7aa8ce17e466bdaec2846faa7a8"/>
      <w:bookmarkEnd w:id="435"/>
      <w:r>
        <w:rPr/>
        <w:t>Section 5 — Centrifuge Research and Manufacturing</w:t>
      </w:r>
    </w:p>
    <w:p>
      <w:pPr>
        <w:pStyle w:val="FirstParagraph"/>
        <w:rPr/>
      </w:pPr>
      <w:r>
        <w:rPr/>
        <w:t>A.5.1 Post-conversion centrifuge research at Natanz operates under the following verified parameters: single-machine and small non-cascaded testing only; no accumulation of enriched product (all product returns to the Agency’s custody monthly); declared machine-type inventory with serial-number tracking; and continuous inspector presence.</w:t>
      </w:r>
    </w:p>
    <w:p>
      <w:pPr>
        <w:pStyle w:val="TextBody"/>
        <w:rPr/>
      </w:pPr>
      <w:bookmarkStart w:id="437" w:name="X089c73c8b1ea7aa8ce17e466bdaec2846faa7a8"/>
      <w:r>
        <w:rPr/>
        <w:t>A.5.2 Centrifuge component manufacturing operates under declared-workshop monitoring: the IAEA maintains a verified inventory of rotors, bellows, and magnetic bearings, with production rates declared quarterly and verified against workshop output.</w:t>
      </w:r>
      <w:bookmarkEnd w:id="437"/>
    </w:p>
    <w:p>
      <w:pPr>
        <w:pStyle w:val="Heading2"/>
        <w:rPr/>
      </w:pPr>
      <w:bookmarkStart w:id="438" w:name="__RefHeading___Toc3667_773522003"/>
      <w:bookmarkStart w:id="439" w:name="section-6-uranium-mining-and-milling"/>
      <w:bookmarkEnd w:id="438"/>
      <w:r>
        <w:rPr/>
        <w:t>Section 6 — Uranium Mining and Milling</w:t>
      </w:r>
    </w:p>
    <w:p>
      <w:pPr>
        <w:pStyle w:val="FirstParagraph"/>
        <w:rPr/>
      </w:pPr>
      <w:bookmarkStart w:id="440" w:name="section-6-uranium-mining-and-milling"/>
      <w:r>
        <w:rPr/>
        <w:t>A.6.1 All uranium mining, milling, and yellowcake production declares to the Agency under the Additional Protocol’s expanded declaration regime, with continuous monitoring of yellowcake inventory and movement. No ore concentrate leaves declared custody except to declared conversion facilities under seal.</w:t>
      </w:r>
      <w:bookmarkEnd w:id="440"/>
    </w:p>
    <w:p>
      <w:pPr>
        <w:pStyle w:val="Heading2"/>
        <w:rPr/>
      </w:pPr>
      <w:bookmarkStart w:id="441" w:name="__RefHeading___Toc3669_773522003"/>
      <w:bookmarkStart w:id="442" w:name="Xc8e8f68b78876d3cef9bb5aa3a87762b1c12b27"/>
      <w:bookmarkEnd w:id="441"/>
      <w:r>
        <w:rPr/>
        <w:t>Section 7 — The Fordow and Natanz Conversion Protocols</w:t>
      </w:r>
    </w:p>
    <w:p>
      <w:pPr>
        <w:pStyle w:val="FirstParagraph"/>
        <w:rPr/>
      </w:pPr>
      <w:r>
        <w:rPr/>
        <w:t>A.7.1 Fordow conversion: within twenty-four months of Day 0, Fordow operates as the International Center for Physics and Isotope Research. All enrichment infrastructure is removed or irreversibly disabled under Agency verification; the center’s programs are co-governed by an international scientific board including the Consortium members; no nuclear material above exempt quantities is present on site.</w:t>
      </w:r>
    </w:p>
    <w:p>
      <w:pPr>
        <w:pStyle w:val="TextBody"/>
        <w:rPr/>
      </w:pPr>
      <w:bookmarkStart w:id="443" w:name="Xc8e8f68b78876d3cef9bb5aa3a87762b1c12b27"/>
      <w:r>
        <w:rPr/>
        <w:t>A.7.2 Natanz conversion: the industrial enrichment halls enter verified cold standby upon Day 0 and convert, per the Consortium construction schedule of Annex B, Section 6, to the research configuration of Section 5, with surplus cascade infrastructure transferred to the Consortium or rendered unusable under verification.</w:t>
      </w:r>
      <w:bookmarkEnd w:id="443"/>
    </w:p>
    <w:p>
      <w:pPr>
        <w:pStyle w:val="Heading2"/>
        <w:rPr/>
      </w:pPr>
      <w:bookmarkStart w:id="444" w:name="__RefHeading___Toc3671_773522003"/>
      <w:bookmarkStart w:id="445" w:name="X6e4489ede81489d2ed98532cd0bf0c66fea0abc"/>
      <w:bookmarkEnd w:id="444"/>
      <w:r>
        <w:rPr/>
        <w:t>Section 8 — Damaged Sites: Access, Assessment, and Salvage</w:t>
      </w:r>
    </w:p>
    <w:p>
      <w:pPr>
        <w:pStyle w:val="FirstParagraph"/>
        <w:rPr/>
      </w:pPr>
      <w:r>
        <w:rPr/>
        <w:t>A.8.1 Within seven days of Day 0, IAEA teams access Fordow, Natanz, Isfahan, and all other struck nuclear locations for: radiological and structural assessment; accounting of safeguarded material in rubble and debris, using environmental sampling, ground-penetrating survey, and declaration cross-check; supervision of any recovery of safeguarded material into sealed Agency custody; and verification that damaged infrastructure enters the conversion or disposition channels of this Agreement and no other use.</w:t>
      </w:r>
    </w:p>
    <w:p>
      <w:pPr>
        <w:pStyle w:val="TextBody"/>
        <w:rPr/>
      </w:pPr>
      <w:bookmarkStart w:id="446" w:name="X6e4489ede81489d2ed98532cd0bf0c66fea0abc"/>
      <w:r>
        <w:rPr/>
        <w:t>A.8.2 Iran provides the engineering and safety support the Agency requires for safe access, and the Verification Fund bears the incremental cost of the damaged-sites program.</w:t>
      </w:r>
      <w:bookmarkEnd w:id="446"/>
    </w:p>
    <w:p>
      <w:pPr>
        <w:pStyle w:val="Heading2"/>
        <w:rPr/>
      </w:pPr>
      <w:bookmarkStart w:id="447" w:name="__RefHeading___Toc3673_773522003"/>
      <w:bookmarkStart w:id="448" w:name="X2437bdb47422b9ec311c80c44462b78a9b13cd5"/>
      <w:bookmarkEnd w:id="447"/>
      <w:r>
        <w:rPr/>
        <w:t>Section 9 — Possible Military Dimensions Procedure</w:t>
      </w:r>
    </w:p>
    <w:p>
      <w:pPr>
        <w:pStyle w:val="FirstParagraph"/>
        <w:rPr/>
      </w:pPr>
      <w:bookmarkStart w:id="449" w:name="X2437bdb47422b9ec311c80c44462b78a9b13cd5"/>
      <w:r>
        <w:rPr/>
        <w:t>A.9.1 The IAEA pursues, to technical closure, all outstanding questions concerning past or present activities relevant to nuclear weapon design, under the managed-access and information protocols of this Annex. Iran provides the information, access, and interviews the Agency requests for this purpose. The Agency reports closure, or the absence of closure, to the Board of Governors and the Commission; the Commission treats the Agency’s technical judgment as final within its competence.</w:t>
      </w:r>
      <w:bookmarkEnd w:id="449"/>
    </w:p>
    <w:p>
      <w:pPr>
        <w:pStyle w:val="Heading2"/>
        <w:rPr/>
      </w:pPr>
      <w:bookmarkStart w:id="450" w:name="__RefHeading___Toc3675_773522003"/>
      <w:bookmarkStart w:id="451" w:name="section-10-the-broader-conclusion"/>
      <w:bookmarkEnd w:id="450"/>
      <w:r>
        <w:rPr/>
        <w:t>Section 10 — The Broader Conclusion</w:t>
      </w:r>
    </w:p>
    <w:p>
      <w:pPr>
        <w:pStyle w:val="FirstParagraph"/>
        <w:rPr/>
      </w:pPr>
      <w:bookmarkStart w:id="452" w:name="section-10-the-broader-conclusion"/>
      <w:r>
        <w:rPr/>
        <w:t>A.10.1 The IAEA’s broader conclusion — the determination that all nuclear material in Iran remains in peaceful activities — issues on the Agency’s technical schedule alone. The Commission’s sole role is to ensure the Agency has every access, every datum, and every resource it requires. Terminal certification of the nuclear track follows the conclusion, per Article 10.3.2.</w:t>
      </w:r>
      <w:bookmarkEnd w:id="452"/>
    </w:p>
    <w:p>
      <w:pPr>
        <w:pStyle w:val="Heading2"/>
        <w:rPr/>
      </w:pPr>
      <w:bookmarkStart w:id="453" w:name="__RefHeading___Toc3677_773522003"/>
      <w:bookmarkStart w:id="454" w:name="section-11-the-verification-fund"/>
      <w:bookmarkEnd w:id="453"/>
      <w:r>
        <w:rPr/>
        <w:t>Section 11 — The Verification Fund</w:t>
      </w:r>
    </w:p>
    <w:p>
      <w:pPr>
        <w:pStyle w:val="FirstParagraph"/>
        <w:rPr/>
      </w:pPr>
      <w:bookmarkStart w:id="455" w:name="section-11-the-verification-fund"/>
      <w:r>
        <w:rPr/>
        <w:t>A.11.1 The Verification Fund, administered by the Neutral Administrator, finances the enhanced measures of this Protocol above the Agency’s regular budget: continuous presence costs, surveillance technology, damaged-sites operations, and the monitoring data infrastructure. Contributions: one-third the United States; one-third the Consortium members other than Iran; one-third the voluntary Hormuz services fund. The Fund’s charter prohibits any contributor from conditioning disbursement, and the Fund publishes its accounts annually.</w:t>
      </w:r>
      <w:bookmarkEnd w:id="455"/>
    </w:p>
    <w:p>
      <w:pPr>
        <w:pStyle w:val="Heading2"/>
        <w:rPr/>
      </w:pPr>
      <w:bookmarkStart w:id="456" w:name="__RefHeading___Toc3679_773522003"/>
      <w:bookmarkStart w:id="457" w:name="Xffb9519783040dc0b008b343499e6ad91912652"/>
      <w:bookmarkEnd w:id="456"/>
      <w:r>
        <w:rPr/>
        <w:t>Section 12 — Environmental Sampling Protocol</w:t>
      </w:r>
    </w:p>
    <w:p>
      <w:pPr>
        <w:pStyle w:val="FirstParagraph"/>
        <w:rPr/>
      </w:pPr>
      <w:r>
        <w:rPr/>
        <w:t>A.12.1 The Agency conducts environmental sampling — swipe, soil, water, vegetation, and air — at any location in Iran without prior notice, under the managed-access procedures of Section 4 where a location lies outside declared sites. Sampling teams deploy within twenty-four hours of the Agency’s request, with Iranian escorts for safety and logistics whose presence does not extend to interference with collection.</w:t>
      </w:r>
    </w:p>
    <w:p>
      <w:pPr>
        <w:pStyle w:val="TextBody"/>
        <w:rPr/>
      </w:pPr>
      <w:bookmarkStart w:id="458" w:name="Xffb9519783040dc0b008b343499e6ad91912652"/>
      <w:r>
        <w:rPr/>
        <w:t>A.12.2 Samples divide in three at collection: one portion to the Agency’s network of analytical laboratories, one retained under seal by the Agency for confirmation, one offered to Iran for its own parallel analysis. Divergent results route to the Agency’s reference-laboratory arbitration procedure, whose finding is final for verification purposes.</w:t>
      </w:r>
      <w:bookmarkEnd w:id="458"/>
    </w:p>
    <w:p>
      <w:pPr>
        <w:pStyle w:val="Heading2"/>
        <w:rPr/>
      </w:pPr>
      <w:bookmarkStart w:id="459" w:name="__RefHeading___Toc3681_773522003"/>
      <w:bookmarkStart w:id="460" w:name="X6a0545e462bbb5aebba2274814827b77efaf760"/>
      <w:bookmarkEnd w:id="459"/>
      <w:r>
        <w:rPr/>
        <w:t>Section 13 — The Verification Continuity Dashboard</w:t>
      </w:r>
    </w:p>
    <w:p>
      <w:pPr>
        <w:pStyle w:val="FirstParagraph"/>
        <w:rPr/>
      </w:pPr>
      <w:bookmarkStart w:id="461" w:name="Xd1191a0890332ccb8ae2585fd3458058cd43967"/>
      <w:bookmarkStart w:id="462" w:name="X6a0545e462bbb5aebba2274814827b77efaf760"/>
      <w:r>
        <w:rPr/>
        <w:t>A.13.1 The Agency maintains a continuous monitoring dashboard covering every surveillance feed, seal, and online monitor of this Protocol. The dashboard’s continuity status reports automatically to the Commission’s Technical Secretariat every six hours. A continuity interruption anywhere in the network timestamps itself, and the forty-eight-hour clock of Article 32.5 runs from that timestamp, without discretion and without override.</w:t>
      </w:r>
      <w:bookmarkEnd w:id="461"/>
      <w:bookmarkEnd w:id="462"/>
    </w:p>
    <w:p>
      <w:pPr>
        <w:pStyle w:val="Heading1"/>
        <w:rPr/>
      </w:pPr>
      <w:bookmarkStart w:id="463" w:name="__RefHeading___Toc3683_773522003"/>
      <w:bookmarkStart w:id="464" w:name="Xb72ad1dc7ee522bac04f6463ee35cfc0b7af2c8"/>
      <w:bookmarkEnd w:id="463"/>
      <w:r>
        <w:rPr/>
        <w:t>Annex B — The Stockpile Disposition Schedule</w:t>
      </w:r>
    </w:p>
    <w:p>
      <w:pPr>
        <w:pStyle w:val="Heading2"/>
        <w:rPr/>
      </w:pPr>
      <w:bookmarkStart w:id="465" w:name="__RefHeading___Toc3685_773522003"/>
      <w:bookmarkStart w:id="466" w:name="section-1-declaration"/>
      <w:bookmarkEnd w:id="465"/>
      <w:r>
        <w:rPr/>
        <w:t>Section 1 — Declaration</w:t>
      </w:r>
    </w:p>
    <w:p>
      <w:pPr>
        <w:pStyle w:val="FirstParagraph"/>
        <w:rPr/>
      </w:pPr>
      <w:r>
        <w:rPr/>
        <w:t>B.1.1 By Day 15, Iran delivers to the IAEA the complete declaration of Article 10.1.1: inventory by location, chemical form, enrichment assay, container, and history, including all material relocated in connection with the 2025 and 2026 strikes.</w:t>
      </w:r>
    </w:p>
    <w:p>
      <w:pPr>
        <w:pStyle w:val="TextBody"/>
        <w:rPr/>
      </w:pPr>
      <w:bookmarkStart w:id="467" w:name="section-1-declaration"/>
      <w:r>
        <w:rPr/>
        <w:t>B.1.2 The Agency verifies the declaration by Day 45 against continuity of knowledge, satellite imagery, commercial imagery supplied by the Parties, environmental sampling, and material-accountancy reconstruction.</w:t>
      </w:r>
      <w:bookmarkEnd w:id="467"/>
    </w:p>
    <w:p>
      <w:pPr>
        <w:pStyle w:val="Heading2"/>
        <w:rPr/>
      </w:pPr>
      <w:bookmarkStart w:id="468" w:name="__RefHeading___Toc3687_773522003"/>
      <w:bookmarkStart w:id="469" w:name="section-2-disposition-segments"/>
      <w:bookmarkEnd w:id="468"/>
      <w:r>
        <w:rPr/>
        <w:t>Section 2 — Disposition Segments</w:t>
      </w:r>
    </w:p>
    <w:p>
      <w:pPr>
        <w:pStyle w:val="FirstParagraph"/>
        <w:rPr/>
      </w:pPr>
      <w:bookmarkStart w:id="470" w:name="section-2-disposition-segments"/>
      <w:r>
        <w:rPr/>
        <w:t>B.2.1 The stockpile divides into segments by assay and form: (a) 60-percent material; (b) 20-percent material; (c) material between 5 and 20 percent; (d) conversion and process residues containing recoverable enriched uranium. Each segment carries its own disposition line, schedule, and certification, and the Partial Success Doctrine applies segment by segment.</w:t>
      </w:r>
      <w:bookmarkEnd w:id="470"/>
    </w:p>
    <w:p>
      <w:pPr>
        <w:pStyle w:val="Heading2"/>
        <w:rPr/>
      </w:pPr>
      <w:bookmarkStart w:id="471" w:name="__RefHeading___Toc3689_773522003"/>
      <w:bookmarkStart w:id="472" w:name="section-3-schedule"/>
      <w:bookmarkEnd w:id="471"/>
      <w:r>
        <w:rPr/>
        <w:t>Section 3 — Schedule</w:t>
      </w:r>
    </w:p>
    <w:p>
      <w:pPr>
        <w:pStyle w:val="FirstParagraph"/>
        <w:rPr/>
      </w:pPr>
      <w:r>
        <w:rPr/>
        <w:t>B.3.1 Segment (a) — 60-percent material: down-blending begins by Day 60 under Agency supervision at a declared facility configured for the task; completion by Day 120. Where the Commission elects the removal track of Article 10.2.2 for any portion, transfer to the Neutral Administrator’s custody completes by Day 90.</w:t>
      </w:r>
    </w:p>
    <w:p>
      <w:pPr>
        <w:pStyle w:val="TextBody"/>
        <w:rPr/>
      </w:pPr>
      <w:r>
        <w:rPr/>
        <w:t>B.3.2 Segment (b) — 20-percent material: down-blending or fabrication into Tehran Research Reactor fuel and targets under Article 10.2.3; completion by Day 150.</w:t>
      </w:r>
    </w:p>
    <w:p>
      <w:pPr>
        <w:pStyle w:val="TextBody"/>
        <w:rPr/>
      </w:pPr>
      <w:r>
        <w:rPr/>
        <w:t>B.3.3 Segments (c) and (d): down-blending or processing to natural assay; completion by Day 180.</w:t>
      </w:r>
    </w:p>
    <w:p>
      <w:pPr>
        <w:pStyle w:val="TextBody"/>
        <w:rPr/>
      </w:pPr>
      <w:bookmarkStart w:id="473" w:name="section-3-schedule"/>
      <w:r>
        <w:rPr/>
        <w:t>B.3.4 Any schedule slippage routes to the Commission with the Agency’s technical explanation; slippage attributable to verified obstruction enters the Compliance Engine at Tier 2.</w:t>
      </w:r>
      <w:bookmarkEnd w:id="473"/>
    </w:p>
    <w:p>
      <w:pPr>
        <w:pStyle w:val="Heading2"/>
        <w:rPr/>
      </w:pPr>
      <w:bookmarkStart w:id="474" w:name="__RefHeading___Toc3691_773522003"/>
      <w:bookmarkStart w:id="475" w:name="Xdbe30017976048f5d1dbd272d616264fd58390e"/>
      <w:bookmarkEnd w:id="474"/>
      <w:r>
        <w:rPr/>
        <w:t>Section 4 — Compensation for Transferred Material</w:t>
      </w:r>
    </w:p>
    <w:p>
      <w:pPr>
        <w:pStyle w:val="FirstParagraph"/>
        <w:rPr/>
      </w:pPr>
      <w:bookmarkStart w:id="476" w:name="Xdbe30017976048f5d1dbd272d616264fd58390e"/>
      <w:r>
        <w:rPr/>
        <w:t>B.4.1 Where material transfers abroad under the removal track, the Consortium credits Iran, through the Hormuz Account, the commercial value of the contained uranium and the separative work it embodies, per the valuation schedule the Commission adopts by Day 30 on the basis of independent expert appraisal.</w:t>
      </w:r>
      <w:bookmarkEnd w:id="476"/>
    </w:p>
    <w:p>
      <w:pPr>
        <w:pStyle w:val="Heading2"/>
        <w:rPr/>
      </w:pPr>
      <w:bookmarkStart w:id="477" w:name="__RefHeading___Toc3693_773522003"/>
      <w:bookmarkStart w:id="478" w:name="section-5-sealed-inventories"/>
      <w:bookmarkEnd w:id="477"/>
      <w:r>
        <w:rPr/>
        <w:t>Section 5 — Sealed Inventories</w:t>
      </w:r>
    </w:p>
    <w:p>
      <w:pPr>
        <w:pStyle w:val="FirstParagraph"/>
        <w:rPr/>
      </w:pPr>
      <w:bookmarkStart w:id="479" w:name="section-5-sealed-inventories"/>
      <w:r>
        <w:rPr/>
        <w:t>B.5.1 Fuel and targets fabricated under Article 10.2.3 enter sealed reactor inventories under Agency safeguards, dedicated permanently to civilian use, with any future discharge handled per Article 12.2.1.</w:t>
      </w:r>
      <w:bookmarkEnd w:id="479"/>
    </w:p>
    <w:p>
      <w:pPr>
        <w:pStyle w:val="Heading2"/>
        <w:rPr/>
      </w:pPr>
      <w:bookmarkStart w:id="480" w:name="__RefHeading___Toc3695_773522003"/>
      <w:bookmarkStart w:id="481" w:name="X716672be5e6281f4f59b444666dca4386920977"/>
      <w:bookmarkEnd w:id="480"/>
      <w:r>
        <w:rPr/>
        <w:t>Section 6 — The Consortium Site and Construction</w:t>
      </w:r>
    </w:p>
    <w:p>
      <w:pPr>
        <w:pStyle w:val="FirstParagraph"/>
        <w:rPr/>
      </w:pPr>
      <w:bookmarkStart w:id="482" w:name="X716672be5e6281f4f59b444666dca4386920977"/>
      <w:r>
        <w:rPr/>
        <w:t>B.6.1 The Consortium site selection completes by Day 90, from candidate sites in Oman evaluated by the joint technical committee on safety, security, seismic, and infrastructure criteria. Construction begins by Day 180 and targets initial operation by Month 36, with the Commission publishing a quarterly construction report. The United States and the guarantor states support the Consortium through export-control clearances, financing guarantees for private participants, and technical cooperation, each within its own law.</w:t>
      </w:r>
      <w:bookmarkEnd w:id="482"/>
    </w:p>
    <w:p>
      <w:pPr>
        <w:pStyle w:val="Heading2"/>
        <w:rPr/>
      </w:pPr>
      <w:bookmarkStart w:id="483" w:name="__RefHeading___Toc3697_773522003"/>
      <w:bookmarkStart w:id="484" w:name="section-7-heavy-water"/>
      <w:bookmarkEnd w:id="483"/>
      <w:r>
        <w:rPr/>
        <w:t>Section 7 — Heavy Water</w:t>
      </w:r>
    </w:p>
    <w:p>
      <w:pPr>
        <w:pStyle w:val="FirstParagraph"/>
        <w:rPr/>
      </w:pPr>
      <w:r>
        <w:rPr/>
        <w:t>B.7.1 Iran’s heavy water production operates within the verified stock limit the Commission sets at 130 metric tonnes, consistent with modernized practice; production above the limit sells promptly on the international market through the Hormuz Account; the redesigned reactor configuration at the relevant facility operates so as to preclude weapons-grade plutonium production, under Agency verification.</w:t>
      </w:r>
    </w:p>
    <w:p>
      <w:pPr>
        <w:pStyle w:val="Normal"/>
        <w:rPr/>
      </w:pPr>
      <w:bookmarkStart w:id="485" w:name="Xb72ad1dc7ee522bac04f6463ee35cfc0b7af2c8"/>
      <w:bookmarkStart w:id="486" w:name="section-7-heavy-water"/>
      <w:r>
        <w:rPr/>
        <mc:AlternateContent>
          <mc:Choice Requires="wps">
            <w:drawing>
              <wp:inline distT="0" distB="0" distL="0" distR="0">
                <wp:extent cx="5943600" cy="19050"/>
                <wp:effectExtent l="0" t="0" r="0" b="0"/>
                <wp:docPr id="13" name=""/>
                <a:graphic xmlns:a="http://schemas.openxmlformats.org/drawingml/2006/main">
                  <a:graphicData uri="http://schemas.microsoft.com/office/word/2010/wordprocessingShape">
                    <wps:wsp>
                      <wps:cNvSpPr/>
                      <wps:nvSpPr>
                        <wps:cNvPr id="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85"/>
      <w:bookmarkEnd w:id="486"/>
    </w:p>
    <w:p>
      <w:pPr>
        <w:pStyle w:val="Heading1"/>
        <w:rPr/>
      </w:pPr>
      <w:bookmarkStart w:id="487" w:name="__RefHeading___Toc3699_773522003"/>
      <w:bookmarkStart w:id="488" w:name="X32c023d3522fb2618a4766f5d4daa8ce00bb37f"/>
      <w:bookmarkEnd w:id="487"/>
      <w:r>
        <w:rPr/>
        <w:t>Annex C — The Sanctions Relief Sequencing Tables</w:t>
      </w:r>
    </w:p>
    <w:p>
      <w:pPr>
        <w:pStyle w:val="Heading2"/>
        <w:rPr/>
      </w:pPr>
      <w:bookmarkStart w:id="489" w:name="__RefHeading___Toc3701_773522003"/>
      <w:bookmarkStart w:id="490" w:name="X35674a6ce1a4c59b7158d644716fd91a5d9ce1c"/>
      <w:bookmarkEnd w:id="489"/>
      <w:r>
        <w:rPr/>
        <w:t>Table C-1 — Day 0 Relief (Interim Measures Made Permanent)</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w:t>
            </w:r>
          </w:p>
        </w:tc>
        <w:tc>
          <w:tcPr>
            <w:tcW w:w="234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Relief Element</w:t>
            </w:r>
          </w:p>
        </w:tc>
        <w:tc>
          <w:tcPr>
            <w:tcW w:w="234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Instrument of Implementation</w:t>
            </w:r>
          </w:p>
        </w:tc>
        <w:tc>
          <w:tcPr>
            <w:tcW w:w="234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Paired Performance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C1-1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Lifting of sanctions on Iranian oil, condensate, refined product, and petrochemical exports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Termination of relevant executive orders; OFAC general licenses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Permanent termination of hostilities (Art. 5)</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C1-2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Termination of the naval blockade of Iranian ports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Presidential proclamation; CENTCOM order; IMO notices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Corridor interface activation (Art. 24)</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C1-3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Banking, insurance, and transportation relief</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OFAC general licenses; SDN delistings per Table C-2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Enrichment suspension verified (Art. 9.2)</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C1-4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frozen-asset tranche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Hormuz Account activation; blocking-jurisdiction releases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Stockpile declaration delivered (Art. 10.1.1)</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C1-5</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Wartime emergency measures terminated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Termination of national emergencies of 2025–2026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bookmarkStart w:id="491" w:name="X35674a6ce1a4c59b7158d644716fd91a5d9ce1c"/>
            <w:r>
              <w:rPr>
                <w:rFonts w:eastAsia="Cambria" w:cs=""/>
                <w:kern w:val="0"/>
                <w:sz w:val="24"/>
                <w:szCs w:val="24"/>
                <w:lang w:val="en-US" w:eastAsia="en-US" w:bidi="ar-SA"/>
              </w:rPr>
              <w:t>Deconfliction channel elevation (Art. 7)</w:t>
            </w:r>
            <w:bookmarkEnd w:id="491"/>
          </w:p>
        </w:tc>
      </w:tr>
    </w:tbl>
    <w:p>
      <w:pPr>
        <w:pStyle w:val="Heading2"/>
        <w:rPr/>
      </w:pPr>
      <w:bookmarkStart w:id="492" w:name="__RefHeading___Toc3703_773522003"/>
      <w:bookmarkEnd w:id="492"/>
      <w:r>
        <w:rPr/>
        <w:t>Table C-2 — Milestone-Paired Relief</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w:t>
            </w:r>
          </w:p>
        </w:tc>
        <w:tc>
          <w:tcPr>
            <w:tcW w:w="234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Relief Element</w:t>
            </w:r>
          </w:p>
        </w:tc>
        <w:tc>
          <w:tcPr>
            <w:tcW w:w="234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Trigger</w:t>
            </w:r>
          </w:p>
        </w:tc>
        <w:tc>
          <w:tcPr>
            <w:tcW w:w="234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Paired Performance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C2-1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SWIFT reconnection; correspondent banking general license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Day 30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corridor segment certified (Annex 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C2-2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Delisting of nuclear-related designations (primary)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Day 60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60-percent down-blending commenced (B.3.1)</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C2-3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Civil aviation trade general license; parts and safety services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Day 90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Damaged-sites access completed (A.8)</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C2-4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Secondary sanctions non-enforcement, covered categories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Day 90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Fuel forward inventories in place (Art. 9.4.1)</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C2-5</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Terrorism-based designations of regional-file entities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Day 180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Regional-track performance certified (Art. 22–23)</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C2-6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Missile-related designations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Day 180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Missile declarations and ceiling verified (Art. 13)</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C2-7</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Statutory repeal process initiated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Day 90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Day-90 milestones certified</w:t>
            </w:r>
          </w:p>
        </w:tc>
      </w:tr>
    </w:tbl>
    <w:p>
      <w:pPr>
        <w:pStyle w:val="Heading2"/>
        <w:rPr/>
      </w:pPr>
      <w:bookmarkStart w:id="493" w:name="__RefHeading___Toc3705_773522003"/>
      <w:bookmarkEnd w:id="493"/>
      <w:r>
        <w:rPr/>
        <w:t>Table C-3 — Terminal Relief</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w:t>
            </w:r>
          </w:p>
        </w:tc>
        <w:tc>
          <w:tcPr>
            <w:tcW w:w="234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Relief Element</w:t>
            </w:r>
          </w:p>
        </w:tc>
        <w:tc>
          <w:tcPr>
            <w:tcW w:w="234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Trigger</w:t>
            </w:r>
          </w:p>
        </w:tc>
        <w:tc>
          <w:tcPr>
            <w:tcW w:w="234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Paired Performance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C3-1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frozen-asset release, unrestricted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Terminal certification, economic track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Stockpile disposition complete (B.3)</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C3-2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Remaining primary designations terminated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Terminal certification, nuclear track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IAEA broader conclusion (A.10)</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C3-3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Joint UNSC resolution terminating prior measures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Terminal certification, nuclear track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Additional Protocol ratified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C3-4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End-use restrictions on the Hormuz Account dissolve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Terminal certification, economic track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Automatic upon C3-1</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C3-5</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General license for U.S. private trade and investment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Certified in stages per Commission schedule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Corresponding milestone banks</w:t>
            </w:r>
          </w:p>
        </w:tc>
      </w:tr>
    </w:tbl>
    <w:p>
      <w:pPr>
        <w:pStyle w:val="Heading2"/>
        <w:rPr/>
      </w:pPr>
      <w:bookmarkStart w:id="494" w:name="__RefHeading___Toc3707_773522003"/>
      <w:bookmarkEnd w:id="494"/>
      <w:r>
        <w:rPr/>
        <w:t>Table C-4 — Iranian Regulatory Normalization</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w:t>
            </w:r>
          </w:p>
        </w:tc>
        <w:tc>
          <w:tcPr>
            <w:tcW w:w="31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Measure</w:t>
            </w:r>
          </w:p>
        </w:tc>
        <w:tc>
          <w:tcPr>
            <w:tcW w:w="31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Timeline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C4-1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Removal of wartime capital controls inconsistent with the Agreement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Day 90</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C4-2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FATF Action Plan completion, building on ratified conventions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Month 12</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C4-3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Restoration of transparent central-bank reporting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Day 180</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C4-4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Investment-law protections for licensed foreign participants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Month 12</w:t>
            </w:r>
          </w:p>
        </w:tc>
      </w:tr>
    </w:tbl>
    <w:p>
      <w:pPr>
        <w:pStyle w:val="Heading2"/>
        <w:rPr/>
      </w:pPr>
      <w:bookmarkStart w:id="495" w:name="__RefHeading___Toc3709_773522003"/>
      <w:bookmarkEnd w:id="495"/>
      <w:r>
        <w:rPr/>
        <w:t>Section 5 — The Banking Rule</w:t>
      </w:r>
    </w:p>
    <w:p>
      <w:pPr>
        <w:pStyle w:val="FirstParagraph"/>
        <w:rPr/>
      </w:pPr>
      <w:bookmarkStart w:id="496" w:name="X32c023d3522fb2618a4766f5d4daa8ce00bb37f"/>
      <w:r>
        <w:rPr/>
        <w:t>C.5.1 Each element of Tables C-1 through C-3 banks permanently upon the Commission’s certification of its paired performance, and records in the Banking Ledger within seven days. No banked element reverses except through Article 32. Administrative or legislative delay in the implementing instrument does not suspend the relief’s operative effect as between the Parties; the United States executes the instrument on the published schedule, and delay itself enters the Compliance Engine.</w:t>
      </w:r>
      <w:bookmarkEnd w:id="496"/>
    </w:p>
    <w:p>
      <w:pPr>
        <w:pStyle w:val="Heading1"/>
        <w:rPr/>
      </w:pPr>
      <w:bookmarkStart w:id="497" w:name="__RefHeading___Toc3711_773522003"/>
      <w:bookmarkStart w:id="498" w:name="X1a567dba84b4b9f820daf3b210166cbc9b9714b"/>
      <w:bookmarkEnd w:id="497"/>
      <w:r>
        <w:rPr/>
        <w:t>Annex D — The Deconfliction and Force Posture Protocol</w:t>
      </w:r>
    </w:p>
    <w:p>
      <w:pPr>
        <w:pStyle w:val="Heading2"/>
        <w:rPr/>
      </w:pPr>
      <w:bookmarkStart w:id="499" w:name="__RefHeading___Toc3713_773522003"/>
      <w:bookmarkStart w:id="500" w:name="section-1-the-standing-channel"/>
      <w:bookmarkEnd w:id="499"/>
      <w:r>
        <w:rPr/>
        <w:t>Section 1 — The Standing Channel</w:t>
      </w:r>
    </w:p>
    <w:p>
      <w:pPr>
        <w:pStyle w:val="FirstParagraph"/>
        <w:rPr/>
      </w:pPr>
      <w:r>
        <w:rPr/>
        <w:t>D.1.1 Nodes: USCENTCOM operations; U.S. Fifth Fleet; the General Staff of the Armed Forces of the Islamic Republic of Iran; IRGC Navy operations center; liaison seats for Oman and the IMO for maritime traffic. Answer standard: fifteen minutes, 24/7, satellite fallback. A missed standard beyond sixty minutes is a reportable incident.</w:t>
      </w:r>
    </w:p>
    <w:p>
      <w:pPr>
        <w:pStyle w:val="TextBody"/>
        <w:rPr/>
      </w:pPr>
      <w:bookmarkStart w:id="501" w:name="section-1-the-standing-channel"/>
      <w:r>
        <w:rPr/>
        <w:t>D.1.2 Rhythm: weekly flag-officer call; monthly working-level conference; annual principals’ tabletop exercise on incident scenarios. Records enter the Transparency Register in summary form.</w:t>
      </w:r>
      <w:bookmarkEnd w:id="501"/>
    </w:p>
    <w:p>
      <w:pPr>
        <w:pStyle w:val="Heading2"/>
        <w:rPr/>
      </w:pPr>
      <w:bookmarkStart w:id="502" w:name="__RefHeading___Toc3715_773522003"/>
      <w:bookmarkStart w:id="503" w:name="section-2-maritime-deconfliction"/>
      <w:bookmarkEnd w:id="502"/>
      <w:r>
        <w:rPr/>
        <w:t>Section 2 — Maritime Deconfliction</w:t>
      </w:r>
    </w:p>
    <w:p>
      <w:pPr>
        <w:pStyle w:val="FirstParagraph"/>
        <w:rPr/>
      </w:pPr>
      <w:r>
        <w:rPr/>
        <w:t>D.2.1 Standoff distances: armed vessels of one Party maintain a minimum of 500 yards from the other’s vessels outside coordinated exercises, and 2 nautical miles from the other’s underway formations, absent prior channel coordination. Approach within these distances triggers immediate channel contact by the approaching unit.</w:t>
      </w:r>
    </w:p>
    <w:p>
      <w:pPr>
        <w:pStyle w:val="TextBody"/>
        <w:rPr/>
      </w:pPr>
      <w:r>
        <w:rPr/>
        <w:t>D.2.2 Live-fire notification: no live-fire exercise within 50 nautical miles of the Strait corridors without forty-eight hours’ prior channel notification with hazard areas.</w:t>
      </w:r>
    </w:p>
    <w:p>
      <w:pPr>
        <w:pStyle w:val="TextBody"/>
        <w:rPr/>
      </w:pPr>
      <w:bookmarkStart w:id="504" w:name="section-2-maritime-deconfliction"/>
      <w:r>
        <w:rPr/>
        <w:t>D.2.3 Aircraft: military aircraft of one Party maintain a minimum of 5 nautical miles from the other’s vessels and 10 nautical miles from the other’s territorial airspace, absent coordination; transponder and identification-friend-or-foe discipline applies as stated in the technical schedules.</w:t>
      </w:r>
      <w:bookmarkEnd w:id="504"/>
    </w:p>
    <w:p>
      <w:pPr>
        <w:pStyle w:val="Heading2"/>
        <w:rPr/>
      </w:pPr>
      <w:bookmarkStart w:id="505" w:name="__RefHeading___Toc3717_773522003"/>
      <w:bookmarkStart w:id="506" w:name="section-3-incident-management-ladder"/>
      <w:bookmarkEnd w:id="505"/>
      <w:r>
        <w:rPr/>
        <w:t>Section 3 — Incident Management Ladder</w:t>
      </w:r>
    </w:p>
    <w:p>
      <w:pPr>
        <w:pStyle w:val="FirstParagraph"/>
        <w:rPr/>
      </w:pPr>
      <w:bookmarkStart w:id="507" w:name="section-3-incident-management-ladder"/>
      <w:r>
        <w:rPr/>
        <w:t>D.3.1 Channel contact within fifteen minutes; unit stand-down within one hour; joint factual inquiry within seventy-two hours; public factual summary within seven days; Commission review at its next session. The inquiry’s evidence record supports any subsequent Engine proceeding; it never substitutes for the Engine’s own attribution procedures.</w:t>
      </w:r>
      <w:bookmarkEnd w:id="507"/>
    </w:p>
    <w:p>
      <w:pPr>
        <w:pStyle w:val="Heading2"/>
        <w:rPr/>
      </w:pPr>
      <w:bookmarkStart w:id="508" w:name="__RefHeading___Toc3719_773522003"/>
      <w:bookmarkStart w:id="509" w:name="section-4-cyber-deconfliction"/>
      <w:bookmarkEnd w:id="508"/>
      <w:r>
        <w:rPr/>
        <w:t>Section 4 — Cyber Deconfliction</w:t>
      </w:r>
    </w:p>
    <w:p>
      <w:pPr>
        <w:pStyle w:val="FirstParagraph"/>
        <w:rPr/>
      </w:pPr>
      <w:bookmarkStart w:id="510" w:name="section-4-cyber-deconfliction"/>
      <w:r>
        <w:rPr/>
        <w:t>D.4.1 Each Party maintains a standing cyber channel for notification of malware, intrusions, or anomalies affecting the other’s civilian critical infrastructure, with a four-hour response standard for active incidents. The prohibition of Article 5.3.1(e) is verified through this channel’s incident record and the joint inquiry mechanism where attribution is contested.</w:t>
      </w:r>
      <w:bookmarkEnd w:id="510"/>
    </w:p>
    <w:p>
      <w:pPr>
        <w:pStyle w:val="Heading2"/>
        <w:rPr/>
      </w:pPr>
      <w:bookmarkStart w:id="511" w:name="__RefHeading___Toc3721_773522003"/>
      <w:bookmarkStart w:id="512" w:name="section-5-missile-transparency-protocol"/>
      <w:bookmarkEnd w:id="511"/>
      <w:r>
        <w:rPr/>
        <w:t>Section 5 — Missile Transparency Protocol</w:t>
      </w:r>
    </w:p>
    <w:p>
      <w:pPr>
        <w:pStyle w:val="FirstParagraph"/>
        <w:rPr/>
      </w:pPr>
      <w:bookmarkStart w:id="513" w:name="section-5-missile-transparency-protocol"/>
      <w:r>
        <w:rPr/>
        <w:t>D.5.1 Quarterly declarations: deployed launcher numbers by type, production rates, and test schedule, verified against shared national technical means. Reciprocal United States declarations: regional strike-capability deployments relevant to the proportionality baseline. Annual proportionality review per Article 13.3.1.</w:t>
      </w:r>
      <w:bookmarkEnd w:id="513"/>
    </w:p>
    <w:p>
      <w:pPr>
        <w:pStyle w:val="Heading2"/>
        <w:rPr/>
      </w:pPr>
      <w:bookmarkStart w:id="514" w:name="__RefHeading___Toc3723_773522003"/>
      <w:bookmarkStart w:id="515" w:name="section-6-the-reciprocity-register"/>
      <w:bookmarkEnd w:id="514"/>
      <w:r>
        <w:rPr/>
        <w:t>Section 6 — The Reciprocity Register</w:t>
      </w:r>
    </w:p>
    <w:p>
      <w:pPr>
        <w:pStyle w:val="FirstParagraph"/>
        <w:rPr/>
      </w:pPr>
      <w:bookmarkStart w:id="516" w:name="section-6-the-reciprocity-register"/>
      <w:r>
        <w:rPr/>
        <w:t>D.6.1 Semiannual reciprocal declarations of basing, major deployments, missile defense, and carrier and bomber presence, exchanged through the Commission and reviewed in session. The Register is internal to the Commission; its summary enters the Transparency Register.</w:t>
      </w:r>
      <w:bookmarkEnd w:id="516"/>
    </w:p>
    <w:p>
      <w:pPr>
        <w:pStyle w:val="Heading2"/>
        <w:rPr/>
      </w:pPr>
      <w:bookmarkStart w:id="517" w:name="__RefHeading___Toc3725_773522003"/>
      <w:bookmarkStart w:id="518" w:name="section-7-air-incident-protocol"/>
      <w:bookmarkEnd w:id="517"/>
      <w:r>
        <w:rPr/>
        <w:t>Section 7 — Air Incident Protocol</w:t>
      </w:r>
    </w:p>
    <w:p>
      <w:pPr>
        <w:pStyle w:val="FirstParagraph"/>
        <w:rPr/>
      </w:pPr>
      <w:r>
        <w:rPr/>
        <w:t>D.7.1 An intercept between military aircraft of the Parties follows the standing intercept procedures exchanged through the channel: standard ICAO signals, no aggressive maneuvering within 500 feet, no weapons-system illumination of the other’s aircraft. An illumination or lock-on event is a reportable incident and triggers the ladder of Section 3 within its standard timelines.</w:t>
      </w:r>
    </w:p>
    <w:p>
      <w:pPr>
        <w:pStyle w:val="TextBody"/>
        <w:rPr/>
      </w:pPr>
      <w:bookmarkStart w:id="519" w:name="section-7-air-incident-protocol"/>
      <w:r>
        <w:rPr/>
        <w:t>D.7.2 Unmanned systems: each Party declares the operating areas of its armed unmanned systems in the Gulf theater through the channel, updates them on change, and maintains positive control links; a lost-link armed system switches to a pre-declared recover-or-terminate profile, and the event notifies immediately.</w:t>
      </w:r>
      <w:bookmarkEnd w:id="519"/>
    </w:p>
    <w:p>
      <w:pPr>
        <w:pStyle w:val="Heading2"/>
        <w:rPr/>
      </w:pPr>
      <w:bookmarkStart w:id="520" w:name="__RefHeading___Toc3727_773522003"/>
      <w:bookmarkStart w:id="521" w:name="section-8-the-annual-capstone-exercise"/>
      <w:bookmarkEnd w:id="520"/>
      <w:r>
        <w:rPr/>
        <w:t>Section 8 — The Annual Capstone Exercise</w:t>
      </w:r>
    </w:p>
    <w:p>
      <w:pPr>
        <w:pStyle w:val="FirstParagraph"/>
        <w:rPr/>
      </w:pPr>
      <w:bookmarkStart w:id="522" w:name="X1a567dba84b4b9f820daf3b210166cbc9b9714b"/>
      <w:bookmarkStart w:id="523" w:name="section-8-the-annual-capstone-exercise"/>
      <w:r>
        <w:rPr/>
        <w:t>D.8.1 Once each year, the channel’s principals conduct a capstone tabletop exercise spanning a full-spectrum incident scenario — maritime contact, air intercept, cyber anomaly, and a contested-attribution crisis — and publish an unclassified lessons summary in the Transparency Register. The exercise exists so that the architecture’s worst day is rehearsed before it is lived.</w:t>
      </w:r>
      <w:bookmarkEnd w:id="522"/>
      <w:bookmarkEnd w:id="523"/>
    </w:p>
    <w:p>
      <w:pPr>
        <w:pStyle w:val="Heading1"/>
        <w:rPr/>
      </w:pPr>
      <w:bookmarkStart w:id="524" w:name="__RefHeading___Toc3729_773522003"/>
      <w:bookmarkStart w:id="525" w:name="X5bc17871b3a76a778e4b3435b2df7d4e6ac49b6"/>
      <w:bookmarkEnd w:id="524"/>
      <w:r>
        <w:rPr/>
        <w:t>Annex E — The Hormuz Corridor Interface Specification</w:t>
      </w:r>
    </w:p>
    <w:p>
      <w:pPr>
        <w:pStyle w:val="Heading2"/>
        <w:rPr/>
      </w:pPr>
      <w:bookmarkStart w:id="526" w:name="__RefHeading___Toc3731_773522003"/>
      <w:bookmarkStart w:id="527" w:name="section-1-the-governance-area"/>
      <w:bookmarkEnd w:id="526"/>
      <w:r>
        <w:rPr/>
        <w:t>Section 1 — The Governance Area</w:t>
      </w:r>
    </w:p>
    <w:p>
      <w:pPr>
        <w:pStyle w:val="FirstParagraph"/>
        <w:rPr/>
      </w:pPr>
      <w:bookmarkStart w:id="528" w:name="section-1-the-governance-area"/>
      <w:r>
        <w:rPr/>
        <w:t>E.1.1 The Governance Area comprises the Strait of Hormuz between the lines the bilateral instruments define, together with the designated approaches and waiting areas published by the coastal states through Notice to Mariners. This Agreement adopts the bilateral definitions by reference; the Depositary holds the current coordinates as published by the Joint Committee.</w:t>
      </w:r>
      <w:bookmarkEnd w:id="528"/>
    </w:p>
    <w:p>
      <w:pPr>
        <w:pStyle w:val="Heading2"/>
        <w:rPr/>
      </w:pPr>
      <w:bookmarkStart w:id="529" w:name="__RefHeading___Toc3733_773522003"/>
      <w:bookmarkStart w:id="530" w:name="section-2-corridor-interface-points"/>
      <w:bookmarkEnd w:id="529"/>
      <w:r>
        <w:rPr/>
        <w:t>Section 2 — Corridor Interface Points</w:t>
      </w:r>
    </w:p>
    <w:p>
      <w:pPr>
        <w:pStyle w:val="FirstParagraph"/>
        <w:rPr/>
      </w:pPr>
      <w:bookmarkStart w:id="531" w:name="section-2-corridor-interface-points"/>
      <w:r>
        <w:rPr/>
        <w:t>E.2.1 Interface points between this Agreement and the corridor instruments: (a) certification of mine-cleared segments — performed under the bilateral instruments, recorded in this Agreement’s Banking Ledger for its paired purposes; (b) incident reporting — corridor incidents route to the consortium’s incident database and, where they touch U.S.-Iran obligations, to the Commission within twenty-four hours; (c) the transparency portals — the Commission’s Transparency Register links the consortium’s public portals; (d) the voluntary fund — the Commission receives the fund’s quarterly accounts as they bear on the Verification Fund contribution of Annex A, Section 11.</w:t>
      </w:r>
      <w:bookmarkEnd w:id="531"/>
    </w:p>
    <w:p>
      <w:pPr>
        <w:pStyle w:val="Heading2"/>
        <w:rPr/>
      </w:pPr>
      <w:bookmarkStart w:id="532" w:name="__RefHeading___Toc3735_773522003"/>
      <w:bookmarkStart w:id="533" w:name="section-3-the-no-toll-baseline"/>
      <w:bookmarkEnd w:id="532"/>
      <w:r>
        <w:rPr/>
        <w:t>Section 3 — The No-Toll Baseline</w:t>
      </w:r>
    </w:p>
    <w:p>
      <w:pPr>
        <w:pStyle w:val="FirstParagraph"/>
        <w:rPr/>
      </w:pPr>
      <w:bookmarkStart w:id="534" w:name="section-3-the-no-toll-baseline"/>
      <w:r>
        <w:rPr/>
        <w:t>E.3.1 The no-toll guarantee of Article 25.1 applies in the Governance Area without exception. A measure by any administrator of the corridor system that imposes a charge as a condition of passage, under any label, engages the dispute procedures of the instrument under which the measure issues, and the Commission records the matter in the Register. The verified services catalog of the bilateral instruments — a closed list of reimbursable, documented, requested services — defines the lawful boundary.</w:t>
      </w:r>
      <w:bookmarkEnd w:id="534"/>
    </w:p>
    <w:p>
      <w:pPr>
        <w:pStyle w:val="Heading2"/>
        <w:rPr/>
      </w:pPr>
      <w:bookmarkStart w:id="535" w:name="__RefHeading___Toc3737_773522003"/>
      <w:bookmarkStart w:id="536" w:name="section-4-notification-based-transit"/>
      <w:bookmarkEnd w:id="535"/>
      <w:r>
        <w:rPr/>
        <w:t>Section 4 — Notification-Based Transit</w:t>
      </w:r>
    </w:p>
    <w:p>
      <w:pPr>
        <w:pStyle w:val="FirstParagraph"/>
        <w:rPr/>
      </w:pPr>
      <w:bookmarkStart w:id="537" w:name="section-4-notification-based-transit"/>
      <w:r>
        <w:rPr/>
        <w:t>E.4.1 Transit through the corridors operates on advance notification per the bilateral protocol: vessel identity, flag, last and next port, cargo category (humanitarian, energy, general), and hazardous-material status. Vetting is safety-scoped, transparent, and uniform. No permission requirement attaches; a vessel that has notified transits.</w:t>
      </w:r>
      <w:bookmarkEnd w:id="537"/>
    </w:p>
    <w:p>
      <w:pPr>
        <w:pStyle w:val="Heading2"/>
        <w:rPr/>
      </w:pPr>
      <w:bookmarkStart w:id="538" w:name="__RefHeading___Toc3739_773522003"/>
      <w:bookmarkStart w:id="539" w:name="section-5-humanitarian-priority"/>
      <w:bookmarkEnd w:id="538"/>
      <w:r>
        <w:rPr/>
        <w:t>Section 5 — Humanitarian Priority</w:t>
      </w:r>
    </w:p>
    <w:p>
      <w:pPr>
        <w:pStyle w:val="FirstParagraph"/>
        <w:rPr/>
      </w:pPr>
      <w:bookmarkStart w:id="540" w:name="section-5-humanitarian-priority"/>
      <w:r>
        <w:rPr/>
        <w:t>E.5.1 Humanitarian traffic — food, medicine, medical equipment, fertilizer, and relief cargo — transits first, under every condition, without exception, exempt from every tier consequence, step-back, and dispute outcome in every instrument. The corridor administrators maintain a standing humanitarian lane designation and a twenty-four-hour expedite desk.</w:t>
      </w:r>
      <w:bookmarkEnd w:id="540"/>
    </w:p>
    <w:p>
      <w:pPr>
        <w:pStyle w:val="Heading2"/>
        <w:rPr/>
      </w:pPr>
      <w:bookmarkStart w:id="541" w:name="__RefHeading___Toc3741_773522003"/>
      <w:bookmarkStart w:id="542" w:name="section-6-mine-clearance-interface"/>
      <w:bookmarkEnd w:id="541"/>
      <w:r>
        <w:rPr/>
        <w:t>Section 6 — Mine Clearance Interface</w:t>
      </w:r>
    </w:p>
    <w:p>
      <w:pPr>
        <w:pStyle w:val="FirstParagraph"/>
        <w:rPr/>
      </w:pPr>
      <w:bookmarkStart w:id="543" w:name="section-6-mine-clearance-interface"/>
      <w:r>
        <w:rPr/>
        <w:t>E.6.1 Iran’s clearance responsibility operates under the bilateral instruments with UN Mine Action Service technical support. Segment certification requires joint verification by the coastal states with international observers. The Commission’s role is confined to recording certifications and to the paired-relief linkages of Annex C.</w:t>
      </w:r>
      <w:bookmarkEnd w:id="543"/>
    </w:p>
    <w:p>
      <w:pPr>
        <w:pStyle w:val="Heading2"/>
        <w:rPr/>
      </w:pPr>
      <w:bookmarkStart w:id="544" w:name="__RefHeading___Toc3743_773522003"/>
      <w:bookmarkStart w:id="545" w:name="section-7-environmental-interface"/>
      <w:bookmarkEnd w:id="544"/>
      <w:r>
        <w:rPr/>
        <w:t>Section 7 — Environmental Interface</w:t>
      </w:r>
    </w:p>
    <w:p>
      <w:pPr>
        <w:pStyle w:val="FirstParagraph"/>
        <w:rPr/>
      </w:pPr>
      <w:bookmarkStart w:id="546" w:name="section-7-environmental-interface"/>
      <w:r>
        <w:rPr/>
        <w:t>E.7.1 The environmental monitoring and spill-response rosters of the regional charter operate for the Governance Area; incidents with transboundary potential report simultaneously to the consortium and the Commission.</w:t>
      </w:r>
      <w:bookmarkEnd w:id="546"/>
    </w:p>
    <w:p>
      <w:pPr>
        <w:pStyle w:val="Heading2"/>
        <w:rPr/>
      </w:pPr>
      <w:bookmarkStart w:id="547" w:name="__RefHeading___Toc3745_773522003"/>
      <w:bookmarkStart w:id="548" w:name="Xcad354cecc46a368d677fe571e0ef93ca516b5b"/>
      <w:bookmarkEnd w:id="547"/>
      <w:r>
        <w:rPr/>
        <w:t>Section 8 — The Insurance-Stabilization Facility</w:t>
      </w:r>
    </w:p>
    <w:p>
      <w:pPr>
        <w:pStyle w:val="FirstParagraph"/>
        <w:rPr/>
      </w:pPr>
      <w:r>
        <w:rPr/>
        <w:t>E.8.1 The voluntary fund maintains an insurance-stabilization facility that underwrites, on a standby basis, war-risk premium spikes arising from corridor incidents, funded from the fund’s reserve and replenished by voluntary contributions. The facility’s purpose is to prevent security events from re-pricing Gulf trade; it activates on the consortium’s certification of a qualifying incident and deactivates upon normalization of premiums.</w:t>
      </w:r>
    </w:p>
    <w:p>
      <w:pPr>
        <w:pStyle w:val="Normal"/>
        <w:rPr/>
      </w:pPr>
      <w:bookmarkStart w:id="549" w:name="X5bc17871b3a76a778e4b3435b2df7d4e6ac49b6"/>
      <w:bookmarkStart w:id="550" w:name="Xcad354cecc46a368d677fe571e0ef93ca516b5b"/>
      <w:r>
        <w:rPr/>
        <mc:AlternateContent>
          <mc:Choice Requires="wps">
            <w:drawing>
              <wp:inline distT="0" distB="0" distL="0" distR="0">
                <wp:extent cx="5943600" cy="19050"/>
                <wp:effectExtent l="0" t="0" r="0" b="0"/>
                <wp:docPr id="14" name=""/>
                <a:graphic xmlns:a="http://schemas.openxmlformats.org/drawingml/2006/main">
                  <a:graphicData uri="http://schemas.microsoft.com/office/word/2010/wordprocessingShape">
                    <wps:wsp>
                      <wps:cNvSpPr/>
                      <wps:nvSpPr>
                        <wps:cNvPr id="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49"/>
      <w:bookmarkEnd w:id="550"/>
    </w:p>
    <w:p>
      <w:pPr>
        <w:pStyle w:val="Heading1"/>
        <w:rPr/>
      </w:pPr>
      <w:bookmarkStart w:id="551" w:name="__RefHeading___Toc3747_773522003"/>
      <w:bookmarkStart w:id="552" w:name="annex-f-the-red-lines-register-full-form"/>
      <w:bookmarkEnd w:id="551"/>
      <w:r>
        <w:rPr/>
        <w:t>Annex F — The Red Lines Register (Full Form)</w:t>
      </w:r>
    </w:p>
    <w:p>
      <w:pPr>
        <w:pStyle w:val="FirstParagraph"/>
        <w:rPr/>
      </w:pPr>
      <w:r>
        <w:rPr/>
        <w:t>F.1 The fifteen Red Lines stated in summary in the Declaration of Principles bind in full form as follows. A measure that touches a Red Line proceeds only in the exact form the corresponding safeguard permits; a measure that crosses a Red Line fails automatically, without further process.</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w:t>
            </w:r>
          </w:p>
        </w:tc>
        <w:tc>
          <w:tcPr>
            <w:tcW w:w="31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Red Line (Full Form)</w:t>
            </w:r>
          </w:p>
        </w:tc>
        <w:tc>
          <w:tcPr>
            <w:tcW w:w="31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Safeguard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RL-1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Iran does not develop, acquire, stockpile, or possess a nuclear weapon, ever.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Art. 8; Annex A; 20-year verification tail (Art. 8.1.2)</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RL-2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United States does not attack or invade Iran while Iran performs.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Art. 6.1; Compliance Engine adjudication precedes any response (Art. 32)</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RL-3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transit toll or mandatory charge conditions passage through the Strait, ever.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Art. 25.1; Annex E, Section 3; cross-reference in all instruments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RL-4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Verification access is continuous and insulated; monitoring gaps trigger automatic protective suspension of paired relief, never force.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Art. 11.3; Art. 32.5</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RL-5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Banked relief reverses only through the Compliance Engine.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Art. 19; Annex C, Section 5</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RL-6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Released assets are not subject to re-freeze except through the Compliance Engine.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Art. 17.3</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RL-7</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Humanitarian flows move first, always, exempt from every step-back.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Art. 32.1; Annex E, Section 5</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RL-8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cross-track conditionality.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Art. 3.2.2; Art. 26.2</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RL-9</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Self-defense capability within the proportionality ceiling is preserved; regime-change objectives are excluded from operative text.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Art. 13; Art. 6.3</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RL-10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Economic penalties never authorize force.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Art. 32.1</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RL-11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Attribution requires evidence; false flags exit the Engine.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Art. 33.4</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RL-12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Earn-back is always available; no permanent exclusion.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Art. 32.3</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RL-13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Human officers decide; automation informs.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Art. 33.3</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RL-14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Forty-eight-hour cooling-off precedes every suspension save the automatic protective suspension.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Art. 33.1</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RL-15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Sovereign equality of both nations in every provision.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Art. 2.7; Declaration of Principles</w:t>
            </w:r>
          </w:p>
        </w:tc>
      </w:tr>
    </w:tbl>
    <w:p>
      <w:pPr>
        <w:pStyle w:val="TextBody"/>
        <w:rPr/>
      </w:pPr>
      <w:bookmarkStart w:id="553" w:name="annex-f-the-red-lines-register-full-form"/>
      <w:r>
        <w:rPr/>
        <w:t>F.2 Every organ, officer, dispute panel, and reviewing authority of this Agreement reads every provision against this Register. A construction of any provision that produces a result crossing a Red Line is a misconstruction, and the correct construction is the one the safeguard permits.</w:t>
      </w:r>
      <w:bookmarkEnd w:id="553"/>
    </w:p>
    <w:p>
      <w:pPr>
        <w:pStyle w:val="Heading1"/>
        <w:rPr/>
      </w:pPr>
      <w:bookmarkStart w:id="554" w:name="__RefHeading___Toc3749_773522003"/>
      <w:bookmarkStart w:id="555" w:name="X54faaf08f36ab009ef4526eae0cafb3438223ed"/>
      <w:bookmarkEnd w:id="554"/>
      <w:r>
        <w:rPr/>
        <w:t>Annex G — The Claims and Compensation Procedures</w:t>
      </w:r>
    </w:p>
    <w:p>
      <w:pPr>
        <w:pStyle w:val="Heading2"/>
        <w:rPr/>
      </w:pPr>
      <w:bookmarkStart w:id="556" w:name="__RefHeading___Toc3751_773522003"/>
      <w:bookmarkStart w:id="557" w:name="section-1-the-claims-commission"/>
      <w:bookmarkEnd w:id="556"/>
      <w:r>
        <w:rPr/>
        <w:t>Section 1 — The Claims Commission</w:t>
      </w:r>
    </w:p>
    <w:p>
      <w:pPr>
        <w:pStyle w:val="FirstParagraph"/>
        <w:rPr/>
      </w:pPr>
      <w:r>
        <w:rPr/>
        <w:t>G.1.1 Seat: The Hague. Secretariat: the Neutral Administrator. Working languages: English and Persian, with interpretation as required.</w:t>
      </w:r>
    </w:p>
    <w:p>
      <w:pPr>
        <w:pStyle w:val="TextBody"/>
        <w:rPr/>
      </w:pPr>
      <w:bookmarkStart w:id="558" w:name="section-1-the-claims-commission"/>
      <w:r>
        <w:rPr/>
        <w:t>G.1.2 Composition: three panels — Interstate, Private, and Asset. Each panel: one arbitrator appointed by each Party and a neutral president appointed jointly, or, failing joint appointment within sixty days, by the Neutral Administrator from a standing roster of arbitrators of recognized competence in international claims practice.</w:t>
      </w:r>
      <w:bookmarkEnd w:id="558"/>
    </w:p>
    <w:p>
      <w:pPr>
        <w:pStyle w:val="Heading2"/>
        <w:rPr/>
      </w:pPr>
      <w:bookmarkStart w:id="559" w:name="__RefHeading___Toc3753_773522003"/>
      <w:bookmarkStart w:id="560" w:name="section-2-jurisdiction"/>
      <w:bookmarkEnd w:id="559"/>
      <w:r>
        <w:rPr/>
        <w:t>Section 2 — Jurisdiction</w:t>
      </w:r>
    </w:p>
    <w:p>
      <w:pPr>
        <w:pStyle w:val="FirstParagraph"/>
        <w:rPr/>
      </w:pPr>
      <w:bookmarkStart w:id="561" w:name="section-2-jurisdiction"/>
      <w:r>
        <w:rPr/>
        <w:t>G.2.1 The Commission has exclusive jurisdiction over the claim classes of Article 27.2. The pending docket of the Iran-United States Claims Tribunal transfers to the Commission, which continues those cases under procedures it adopts within ninety days of Day 0, preserving the parties’ accrued procedural rights.</w:t>
      </w:r>
      <w:bookmarkEnd w:id="561"/>
    </w:p>
    <w:p>
      <w:pPr>
        <w:pStyle w:val="Heading2"/>
        <w:rPr/>
      </w:pPr>
      <w:bookmarkStart w:id="562" w:name="__RefHeading___Toc3755_773522003"/>
      <w:bookmarkStart w:id="563" w:name="section-3-procedure"/>
      <w:bookmarkEnd w:id="562"/>
      <w:r>
        <w:rPr/>
        <w:t>Section 3 — Procedure</w:t>
      </w:r>
    </w:p>
    <w:p>
      <w:pPr>
        <w:pStyle w:val="FirstParagraph"/>
        <w:rPr/>
      </w:pPr>
      <w:r>
        <w:rPr/>
        <w:t>G.3.1 Filing window: claims of nationals file within two years of Day 0 through the lump-sum mechanism of Section 5. Interstate claims file within one year. The Commission decides on written proceedings with oral hearing at a panel’s discretion.</w:t>
      </w:r>
    </w:p>
    <w:p>
      <w:pPr>
        <w:pStyle w:val="TextBody"/>
        <w:rPr/>
      </w:pPr>
      <w:r>
        <w:rPr/>
        <w:t>G.3.2 Evidence: the Commission receives evidence under liberal admission with weight reserved; the false-flag and attribution standards of Article 33.4 apply to contested wartime-conduct facts.</w:t>
      </w:r>
    </w:p>
    <w:p>
      <w:pPr>
        <w:pStyle w:val="TextBody"/>
        <w:rPr/>
      </w:pPr>
      <w:bookmarkStart w:id="564" w:name="section-3-procedure"/>
      <w:r>
        <w:rPr/>
        <w:t>G.3.3 Awards: final, binding, not subject to appeal, enforceable through the Hormuz Account, which executes payment within ninety days of award.</w:t>
      </w:r>
      <w:bookmarkEnd w:id="564"/>
    </w:p>
    <w:p>
      <w:pPr>
        <w:pStyle w:val="Heading2"/>
        <w:rPr/>
      </w:pPr>
      <w:bookmarkStart w:id="565" w:name="__RefHeading___Toc3757_773522003"/>
      <w:bookmarkStart w:id="566" w:name="section-4-the-balanced-ledger-execution"/>
      <w:bookmarkEnd w:id="565"/>
      <w:r>
        <w:rPr/>
        <w:t>Section 4 — The Balanced Ledger Execution</w:t>
      </w:r>
    </w:p>
    <w:p>
      <w:pPr>
        <w:pStyle w:val="FirstParagraph"/>
        <w:rPr/>
      </w:pPr>
      <w:bookmarkStart w:id="567" w:name="section-4-the-balanced-ledger-execution"/>
      <w:r>
        <w:rPr/>
        <w:t>G.4.1 The Balanced Ledger of Article 28 executes as follows: upon entry into force, the Depositary records the mutual release; the Reconstruction Facility’s charter of Article 18 constitutes the consideration for Iran’s war-damage claims; and the reliefs and releases of Part VI and Article 17 constitute the consideration for the United States counter-claims. The Commission dismisses, as settled by the Ledger, any interstate claim within the Ledger’s scope.</w:t>
      </w:r>
      <w:bookmarkEnd w:id="567"/>
    </w:p>
    <w:p>
      <w:pPr>
        <w:pStyle w:val="Heading2"/>
        <w:rPr/>
      </w:pPr>
      <w:bookmarkStart w:id="568" w:name="__RefHeading___Toc3759_773522003"/>
      <w:bookmarkStart w:id="569" w:name="Xf8e6517cbc93795613727785c7a6f1fe8f28341"/>
      <w:bookmarkEnd w:id="568"/>
      <w:r>
        <w:rPr/>
        <w:t>Section 5 — The Private Claims Lump-Sum Mechanism</w:t>
      </w:r>
    </w:p>
    <w:p>
      <w:pPr>
        <w:pStyle w:val="FirstParagraph"/>
        <w:rPr/>
      </w:pPr>
      <w:bookmarkStart w:id="570" w:name="Xf8e6517cbc93795613727785c7a6f1fe8f28341"/>
      <w:r>
        <w:rPr/>
        <w:t>G.5.1 Private claims of nationals resolve through category-based lump-sum settlement: the Commission values claims by category, certifies an aggregate per category, and the Hormuz Account funds payment pro rata, with a dedicated allocation the Commission sizes in its first year from the Account’s uncommitted balances and from such voluntary contributions as guarantor states make for this purpose.</w:t>
      </w:r>
      <w:bookmarkEnd w:id="570"/>
    </w:p>
    <w:p>
      <w:pPr>
        <w:pStyle w:val="Heading2"/>
        <w:rPr/>
      </w:pPr>
      <w:bookmarkStart w:id="571" w:name="__RefHeading___Toc3761_773522003"/>
      <w:bookmarkStart w:id="572" w:name="section-6-costs"/>
      <w:bookmarkEnd w:id="571"/>
      <w:r>
        <w:rPr/>
        <w:t>Section 6 — Costs</w:t>
      </w:r>
    </w:p>
    <w:p>
      <w:pPr>
        <w:pStyle w:val="FirstParagraph"/>
        <w:rPr/>
      </w:pPr>
      <w:bookmarkStart w:id="573" w:name="section-6-costs"/>
      <w:r>
        <w:rPr/>
        <w:t>G.6.1 Each Party bears its own costs; the Commission’s institutional costs divide equally between the Parties, advanced through the Verification Fund pending reimbursement.</w:t>
      </w:r>
      <w:bookmarkEnd w:id="573"/>
    </w:p>
    <w:p>
      <w:pPr>
        <w:pStyle w:val="Heading2"/>
        <w:rPr/>
      </w:pPr>
      <w:bookmarkStart w:id="574" w:name="__RefHeading___Toc3763_773522003"/>
      <w:bookmarkStart w:id="575" w:name="section-7-frivolous-claims"/>
      <w:bookmarkEnd w:id="574"/>
      <w:r>
        <w:rPr/>
        <w:t>Section 7 — Frivolous Claims</w:t>
      </w:r>
    </w:p>
    <w:p>
      <w:pPr>
        <w:pStyle w:val="FirstParagraph"/>
        <w:rPr/>
      </w:pPr>
      <w:bookmarkStart w:id="576" w:name="X54faaf08f36ab009ef4526eae0cafb3438223ed"/>
      <w:bookmarkStart w:id="577" w:name="section-7-frivolous-claims"/>
      <w:r>
        <w:rPr/>
        <w:t>G.7.1 A claim manifestly without foundation, or an Engine claim under Article 32.4 found frivolous, bears the responding party’s costs and a fixed administrative charge, assessed by the deciding organ and published. The rule disciplines the machinery without deterring good-faith recourse.</w:t>
      </w:r>
      <w:bookmarkEnd w:id="576"/>
      <w:bookmarkEnd w:id="577"/>
    </w:p>
    <w:p>
      <w:pPr>
        <w:pStyle w:val="Heading1"/>
        <w:rPr/>
      </w:pPr>
      <w:bookmarkStart w:id="578" w:name="__RefHeading___Toc3765_773522003"/>
      <w:bookmarkStart w:id="579" w:name="X48a50004417814e40ba80f15075aebc7d9dcbbc"/>
      <w:bookmarkEnd w:id="578"/>
      <w:r>
        <w:rPr/>
        <w:t>Annex H — The Implementation Calendar (Consolidated)</w:t>
      </w:r>
    </w:p>
    <w:p>
      <w:pPr>
        <w:pStyle w:val="Heading2"/>
        <w:rPr/>
      </w:pPr>
      <w:bookmarkStart w:id="580" w:name="__RefHeading___Toc3767_773522003"/>
      <w:bookmarkStart w:id="581" w:name="section-1-the-master-table"/>
      <w:bookmarkEnd w:id="580"/>
      <w:r>
        <w:rPr/>
        <w:t>Section 1 — The Master Table</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Date</w:t>
            </w:r>
          </w:p>
        </w:tc>
        <w:tc>
          <w:tcPr>
            <w:tcW w:w="234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(Iran)</w:t>
            </w:r>
          </w:p>
        </w:tc>
        <w:tc>
          <w:tcPr>
            <w:tcW w:w="234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(United States)</w:t>
            </w:r>
          </w:p>
        </w:tc>
        <w:tc>
          <w:tcPr>
            <w:tcW w:w="234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Certification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Day 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Permanent termination of hostilities; enrichment suspension; deconfliction elevation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Blockade termination; Table C-1 reliefs; first asset tranche released to Hormuz Account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IMO (strait); IAEA (suspension); Neutral Administrator (account)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Day 7</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IAEA access to damaged sites commences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Damaged-sites support contributions to Verification Fund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IAEA</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Day 15</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stockpile declaration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Export-control clearances for reconstruction pre-positioning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IAEA (verification by Day 45)</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Day 30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Corridor segment-one clearance complete (with Oman)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SWIFT reconnection; banking licenses (C2-1)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Joint verification; Commission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Day 45</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Declaration verification cooperation complete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C2-2 nuclear delistings staged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IAEA</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Day 60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60-percent down-blending commenced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C2-2 effective; compliance guidance channel operational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IAEA</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Day 90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Fuel forward inventories received; Consortium site selected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C2-3, C2-4 reliefs; statutory repeal initiated; Reconstruction Facility constituted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Commission; Neutral Administrator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Day 120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60-percent segment disposition complete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Second asset tranche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IAEA</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Day 150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20-percent segment disposition complete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Third asset tranche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IAEA</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Day 180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Stockpile disposition complete; regional-track and missile declarations verified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C2-5, C2-6 delistings; C3-1 full asset release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IAEA; Commission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Month 12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Additional Protocol ratified; FATF completion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C2-7 repeal progress report to Commission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IAEA; Commission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Month 24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Fordow conversion certified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Civil-nuclear cooperation general licenses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IAEA</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Month 36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Consortium initial operation; suspension phase closes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Terminal reliefs per C3-2 as broader conclusion follows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IAEA; Commission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Terminal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Broader conclusion issued on Agency schedule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C3-2, C3-3 executed; joint UNSC request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bookmarkStart w:id="582" w:name="section-1-the-master-table"/>
            <w:r>
              <w:rPr>
                <w:rFonts w:eastAsia="Cambria" w:cs=""/>
                <w:kern w:val="0"/>
                <w:sz w:val="24"/>
                <w:szCs w:val="24"/>
                <w:lang w:val="en-US" w:eastAsia="en-US" w:bidi="ar-SA"/>
              </w:rPr>
              <w:t>IAEA; UNSC</w:t>
            </w:r>
            <w:bookmarkEnd w:id="582"/>
          </w:p>
        </w:tc>
      </w:tr>
    </w:tbl>
    <w:p>
      <w:pPr>
        <w:pStyle w:val="Heading2"/>
        <w:rPr/>
      </w:pPr>
      <w:bookmarkStart w:id="583" w:name="__RefHeading___Toc3769_773522003"/>
      <w:bookmarkEnd w:id="583"/>
      <w:r>
        <w:rPr/>
        <w:t>Section 2 — Slippage Rules</w:t>
      </w:r>
    </w:p>
    <w:p>
      <w:pPr>
        <w:pStyle w:val="FirstParagraph"/>
        <w:rPr/>
      </w:pPr>
      <w:r>
        <w:rPr/>
        <w:t>H.2.1 A milestone that slips reports to the Commission with the cause; slippage without verified obstruction simply re-schedules within the same track; slippage with verified obstruction enters the Compliance Engine at the tier the evidence supports. No slippage in one row delays any independent row.</w:t>
      </w:r>
    </w:p>
    <w:p>
      <w:pPr>
        <w:pStyle w:val="Heading2"/>
        <w:rPr/>
      </w:pPr>
      <w:bookmarkStart w:id="584" w:name="__RefHeading___Toc3771_773522003"/>
      <w:bookmarkStart w:id="585" w:name="section-3-publication"/>
      <w:bookmarkEnd w:id="584"/>
      <w:r>
        <w:rPr/>
        <w:t>Section 3 — Publication</w:t>
      </w:r>
    </w:p>
    <w:p>
      <w:pPr>
        <w:pStyle w:val="FirstParagraph"/>
        <w:rPr/>
      </w:pPr>
      <w:bookmarkStart w:id="586" w:name="section-3-publication"/>
      <w:r>
        <w:rPr/>
        <w:t>H.3.1 The Commission publishes this calendar, and its running certification status, in the Transparency Register. The calendar is the public spine of the settlement: any citizen of either nation, and any observer anywhere, reads in one table what was promised, what was performed, and what banked.</w:t>
      </w:r>
      <w:bookmarkEnd w:id="586"/>
    </w:p>
    <w:p>
      <w:pPr>
        <w:pStyle w:val="Heading2"/>
        <w:rPr/>
      </w:pPr>
      <w:bookmarkStart w:id="587" w:name="__RefHeading___Toc3773_773522003"/>
      <w:bookmarkStart w:id="588" w:name="Xe667d09279c83efe001a5dcd7d4693567648c68"/>
      <w:bookmarkEnd w:id="587"/>
      <w:r>
        <w:rPr/>
        <w:t>Section 4 — The Ninety-Day Walkthrough Cycles</w:t>
      </w:r>
    </w:p>
    <w:p>
      <w:pPr>
        <w:pStyle w:val="FirstParagraph"/>
        <w:rPr/>
      </w:pPr>
      <w:r>
        <w:rPr/>
        <w:t>H.4.1 The first year operates in ninety-day walkthrough cycles. Each cycle runs: days 1–15, performance execution against the master table; days 16–45, verification and certification; days 46–75, Commission review, Banking Ledger entries, and correction of discrepancies; days 76–90, public reporting, lessons recorded, and the next cycle’s schedule published. Four cycles complete the first year; thereafter the rhythm of Article 31.3 governs.</w:t>
      </w:r>
    </w:p>
    <w:p>
      <w:pPr>
        <w:pStyle w:val="TextBody"/>
        <w:rPr/>
      </w:pPr>
      <w:r>
        <w:rPr/>
        <w:t>H.4.2 A cycle closes with a written Commission statement of the state of each track — green, amber, or red — with amber and red accompanied by the corrective plan and the Engine stage, if any, in operation. The color of the tracks is public. The architecture insists on being seen.</w:t>
      </w:r>
    </w:p>
    <w:p>
      <w:pPr>
        <w:pStyle w:val="Normal"/>
        <w:rPr/>
      </w:pPr>
      <w:bookmarkStart w:id="589" w:name="X48a50004417814e40ba80f15075aebc7d9dcbbc"/>
      <w:bookmarkStart w:id="590" w:name="Xe667d09279c83efe001a5dcd7d4693567648c68"/>
      <w:r>
        <w:rPr/>
        <mc:AlternateContent>
          <mc:Choice Requires="wps">
            <w:drawing>
              <wp:inline distT="0" distB="0" distL="0" distR="0">
                <wp:extent cx="5943600" cy="19050"/>
                <wp:effectExtent l="0" t="0" r="0" b="0"/>
                <wp:docPr id="15" name=""/>
                <a:graphic xmlns:a="http://schemas.openxmlformats.org/drawingml/2006/main">
                  <a:graphicData uri="http://schemas.microsoft.com/office/word/2010/wordprocessingShape">
                    <wps:wsp>
                      <wps:cNvSpPr/>
                      <wps:nvSpPr>
                        <wps:cNvPr id="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89"/>
      <w:bookmarkEnd w:id="590"/>
    </w:p>
    <w:p>
      <w:pPr>
        <w:pStyle w:val="Heading1"/>
        <w:rPr/>
      </w:pPr>
      <w:bookmarkStart w:id="591" w:name="__RefHeading___Toc3775_773522003"/>
      <w:bookmarkStart w:id="592" w:name="signature-blocks"/>
      <w:bookmarkEnd w:id="591"/>
      <w:r>
        <w:rPr/>
        <w:t>Signature Blocks</w:t>
      </w:r>
    </w:p>
    <w:p>
      <w:pPr>
        <w:pStyle w:val="FirstParagraph"/>
        <w:rPr/>
      </w:pPr>
      <w:r>
        <w:rPr/>
        <w:t>Done at Islamabad, in the English, Persian, and Arabic languages, each text equally authoritative.</w:t>
      </w:r>
    </w:p>
    <w:tbl>
      <w:tblPr>
        <w:tblStyle w:val="Table"/>
        <w:tblW w:w="7920" w:type="dxa"/>
        <w:jc w:val="left"/>
        <w:tblInd w:w="0"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Party</w:t>
            </w:r>
          </w:p>
        </w:tc>
        <w:tc>
          <w:tcPr>
            <w:tcW w:w="198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Representative</w:t>
            </w:r>
          </w:p>
        </w:tc>
        <w:tc>
          <w:tcPr>
            <w:tcW w:w="198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Title</w:t>
            </w:r>
          </w:p>
        </w:tc>
        <w:tc>
          <w:tcPr>
            <w:tcW w:w="1979"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United States of America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Islamic Republic of Iran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Mediator of Record — Islamic Republic of Pakistan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Facilitator — Sultanate of Oman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Facilitator — State of Qatar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Neutral Administrator — Swiss Confederation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bl>
    <w:p>
      <w:pPr>
        <w:pStyle w:val="Normal"/>
        <w:rPr/>
      </w:pPr>
      <w:r>
        <w:rPr/>
      </w:r>
    </w:p>
    <w:tbl>
      <w:tblPr>
        <w:tblStyle w:val="Table"/>
        <w:tblW w:w="7920" w:type="dxa"/>
        <w:jc w:val="left"/>
        <w:tblInd w:w="0"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Guarantor Accession (as deposited)</w:t>
            </w:r>
          </w:p>
        </w:tc>
        <w:tc>
          <w:tcPr>
            <w:tcW w:w="264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Representative</w:t>
            </w:r>
          </w:p>
        </w:tc>
        <w:tc>
          <w:tcPr>
            <w:tcW w:w="264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Kingdom of Saudi Arabia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United Arab Emirates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 of Kuwait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Kingdom of Bahrain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Republic of Iraq</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bl>
    <w:p>
      <w:pPr>
        <w:pStyle w:val="TextBody"/>
        <w:spacing w:before="180" w:after="180"/>
        <w:rPr/>
      </w:pPr>
      <w:bookmarkStart w:id="593" w:name="signature-blocks"/>
      <w:r>
        <w:rPr>
          <w:i/>
          <w:iCs/>
        </w:rPr>
        <w:t>Certified true copies deposited with the Depositary per Article 36.3.</w:t>
      </w:r>
      <w:bookmarkEnd w:id="593"/>
    </w:p>
    <w:sectPr>
      <w:headerReference w:type="default" r:id="rId4"/>
      <w:footerReference w:type="default" r:id="rId5"/>
      <w:type w:val="nextPage"/>
      <w:pgSz w:w="12240" w:h="15840"/>
      <w:pgMar w:left="1440" w:right="1440" w:gutter="0" w:header="72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Calibri">
    <w:charset w:val="00"/>
    <w:family w:val="roman"/>
    <w:pitch w:val="variable"/>
  </w:font>
  <w:font w:name="Consolas">
    <w:charset w:val="00"/>
    <w:family w:val="roman"/>
    <w:pitch w:val="variable"/>
  </w:font>
  <w:font w:name="Liberation Sans">
    <w:altName w:val="Arial"/>
    <w:charset w:val="00"/>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2" w:space="4" w:color="B0BEC5"/>
      </w:pBdr>
      <w:spacing w:before="0" w:after="120"/>
      <w:jc w:val="center"/>
      <w:rPr/>
    </w:pPr>
    <w:r>
      <w:rPr>
        <w:rFonts w:ascii="Calibri" w:hAnsi="Calibri" w:cs="Calibri"/>
        <w:b w:val="0"/>
        <w:color w:val="78909C"/>
        <w:sz w:val="18"/>
      </w:rPr>
      <w:t xml:space="preserve">Page </w:t>
    </w:r>
    <w:r>
      <w:rPr>
        <w:rFonts w:ascii="Calibri" w:hAnsi="Calibri" w:cs="Calibri"/>
        <w:b w:val="0"/>
        <w:color w:val="78909C"/>
        <w:sz w:val="18"/>
      </w:rPr>
      <w:fldChar w:fldCharType="begin"/>
    </w:r>
    <w:r>
      <w:rPr>
        <w:rFonts w:ascii="Calibri" w:hAnsi="Calibri" w:cs="Calibri"/>
        <w:b w:val="0"/>
        <w:color w:val="78909C"/>
        <w:sz w:val="18"/>
      </w:rPr>
      <w:instrText xml:space="preserve"> PAGE </w:instrText>
    </w:r>
    <w:r>
      <w:rPr>
        <w:rFonts w:ascii="Calibri" w:hAnsi="Calibri" w:cs="Calibri"/>
        <w:b w:val="0"/>
        <w:color w:val="78909C"/>
        <w:sz w:val="18"/>
      </w:rPr>
      <w:fldChar w:fldCharType="separate"/>
    </w:r>
    <w:r>
      <w:rPr>
        <w:rFonts w:ascii="Calibri" w:hAnsi="Calibri" w:cs="Calibri"/>
        <w:b w:val="0"/>
        <w:color w:val="78909C"/>
        <w:sz w:val="18"/>
      </w:rPr>
      <w:t>4</w:t>
    </w:r>
    <w:r>
      <w:rPr>
        <w:rFonts w:ascii="Calibri" w:hAnsi="Calibri" w:cs="Calibri"/>
        <w:b w:val="0"/>
        <w:color w:val="78909C"/>
        <w:sz w:val="1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2" w:space="4" w:color="B0BEC5"/>
      </w:pBdr>
      <w:spacing w:before="0" w:after="120"/>
      <w:jc w:val="center"/>
      <w:rPr/>
    </w:pPr>
    <w:r>
      <w:rPr>
        <w:rFonts w:ascii="Calibri" w:hAnsi="Calibri" w:cs="Calibri"/>
        <w:b w:val="0"/>
        <w:color w:val="78909C"/>
        <w:sz w:val="18"/>
      </w:rPr>
      <w:t xml:space="preserve">Page </w:t>
    </w:r>
    <w:r>
      <w:rPr>
        <w:rFonts w:ascii="Calibri" w:hAnsi="Calibri" w:cs="Calibri"/>
        <w:b w:val="0"/>
        <w:color w:val="78909C"/>
        <w:sz w:val="18"/>
      </w:rPr>
      <w:fldChar w:fldCharType="begin"/>
    </w:r>
    <w:r>
      <w:rPr>
        <w:rFonts w:ascii="Calibri" w:hAnsi="Calibri" w:cs="Calibri"/>
        <w:b w:val="0"/>
        <w:color w:val="78909C"/>
        <w:sz w:val="18"/>
      </w:rPr>
      <w:instrText xml:space="preserve"> PAGE </w:instrText>
    </w:r>
    <w:r>
      <w:rPr>
        <w:rFonts w:ascii="Calibri" w:hAnsi="Calibri" w:cs="Calibri"/>
        <w:b w:val="0"/>
        <w:color w:val="78909C"/>
        <w:sz w:val="18"/>
      </w:rPr>
      <w:fldChar w:fldCharType="separate"/>
    </w:r>
    <w:r>
      <w:rPr>
        <w:rFonts w:ascii="Calibri" w:hAnsi="Calibri" w:cs="Calibri"/>
        <w:b w:val="0"/>
        <w:color w:val="78909C"/>
        <w:sz w:val="18"/>
      </w:rPr>
      <w:t>54</w:t>
    </w:r>
    <w:r>
      <w:rPr>
        <w:rFonts w:ascii="Calibri" w:hAnsi="Calibri" w:cs="Calibri"/>
        <w:b w:val="0"/>
        <w:color w:val="78909C"/>
        <w:sz w:val="18"/>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2" w:space="4" w:color="B0BEC5"/>
      </w:pBdr>
      <w:spacing w:before="0" w:after="120"/>
      <w:jc w:val="right"/>
      <w:rPr/>
    </w:pPr>
    <w:r>
      <w:rPr>
        <w:rFonts w:ascii="Calibri" w:hAnsi="Calibri" w:cs="Calibri"/>
        <w:b w:val="false"/>
        <w:caps/>
        <w:color w:val="78909C"/>
        <w:sz w:val="16"/>
      </w:rPr>
      <w:t>THE U.S.-IRAN STRATEGIC FRAMEWORK AGREEMENT  ·  PERMANENT SETTLEMENT ARCHITECTURE</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2" w:space="4" w:color="B0BEC5"/>
      </w:pBdr>
      <w:spacing w:before="0" w:after="120"/>
      <w:jc w:val="right"/>
      <w:rPr/>
    </w:pPr>
    <w:r>
      <w:rPr>
        <w:rFonts w:ascii="Calibri" w:hAnsi="Calibri" w:cs="Calibri"/>
        <w:b w:val="false"/>
        <w:caps/>
        <w:color w:val="78909C"/>
        <w:sz w:val="16"/>
      </w:rPr>
      <w:t>THE U.S.-IRAN STRATEGIC FRAMEWORK AGREEMENT  ·  PERMANENT SETTLEMENT ARCHITECTURE</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TextBody"/>
    <w:uiPriority w:val="9"/>
    <w:qFormat/>
    <w:pPr>
      <w:keepNext w:val="true"/>
      <w:keepLines/>
      <w:spacing w:before="480" w:after="0"/>
      <w:outlineLvl w:val="0"/>
    </w:pPr>
    <w:rPr>
      <w:rFonts w:ascii="Calibri" w:hAnsi="Calibri" w:eastAsia="" w:cs="" w:asciiTheme="majorHAnsi" w:cstheme="majorBidi" w:eastAsiaTheme="majorEastAsia" w:hAnsiTheme="majorHAnsi"/>
      <w:b/>
      <w:bCs/>
      <w:color w:val="4F81BD" w:themeColor="accent1"/>
      <w:sz w:val="32"/>
      <w:szCs w:val="32"/>
    </w:rPr>
  </w:style>
  <w:style w:type="paragraph" w:styleId="Heading2">
    <w:name w:val="Heading 2"/>
    <w:basedOn w:val="Normal"/>
    <w:next w:val="TextBody"/>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val="4F81BD" w:themeColor="accent1"/>
      <w:sz w:val="28"/>
      <w:szCs w:val="28"/>
    </w:rPr>
  </w:style>
  <w:style w:type="paragraph" w:styleId="Heading3">
    <w:name w:val="Heading 3"/>
    <w:basedOn w:val="Normal"/>
    <w:next w:val="TextBody"/>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val="4F81BD" w:themeColor="accent1"/>
      <w:sz w:val="24"/>
      <w:szCs w:val="24"/>
    </w:rPr>
  </w:style>
  <w:style w:type="paragraph" w:styleId="Heading4">
    <w:name w:val="Heading 4"/>
    <w:basedOn w:val="Normal"/>
    <w:next w:val="TextBody"/>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val="4F81BD" w:themeColor="accent1"/>
      <w:sz w:val="24"/>
      <w:szCs w:val="24"/>
    </w:rPr>
  </w:style>
  <w:style w:type="paragraph" w:styleId="Heading5">
    <w:name w:val="Heading 5"/>
    <w:basedOn w:val="Normal"/>
    <w:next w:val="TextBody"/>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val="4F81BD" w:themeColor="accent1"/>
      <w:sz w:val="24"/>
      <w:szCs w:val="24"/>
    </w:rPr>
  </w:style>
  <w:style w:type="paragraph" w:styleId="Heading6">
    <w:name w:val="Heading 6"/>
    <w:basedOn w:val="Normal"/>
    <w:next w:val="TextBody"/>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val="4F81BD" w:themeColor="accent1"/>
      <w:sz w:val="24"/>
      <w:szCs w:val="24"/>
    </w:rPr>
  </w:style>
  <w:style w:type="paragraph" w:styleId="Heading7">
    <w:name w:val="Heading 7"/>
    <w:basedOn w:val="Normal"/>
    <w:next w:val="TextBody"/>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val="4F81BD" w:themeColor="accent1"/>
      <w:sz w:val="24"/>
      <w:szCs w:val="24"/>
    </w:rPr>
  </w:style>
  <w:style w:type="paragraph" w:styleId="Heading8">
    <w:name w:val="Heading 8"/>
    <w:basedOn w:val="Normal"/>
    <w:next w:val="TextBody"/>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val="4F81BD" w:themeColor="accent1"/>
      <w:sz w:val="24"/>
      <w:szCs w:val="24"/>
    </w:rPr>
  </w:style>
  <w:style w:type="paragraph" w:styleId="Heading9">
    <w:name w:val="Heading 9"/>
    <w:basedOn w:val="Normal"/>
    <w:next w:val="TextBody"/>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val="4F81BD" w:themeColor="accent1"/>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Anchor">
    <w:name w:val="Footnote Reference"/>
    <w:rPr>
      <w:vertAlign w:val="superscript"/>
    </w:rPr>
  </w:style>
  <w:style w:type="character" w:styleId="InternetLink">
    <w:name w:val="Hyperlink"/>
    <w:basedOn w:val="BodyTextChar"/>
    <w:rPr>
      <w:color w:val="4F81BD" w:themeColor="accent1"/>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TextBody"/>
    <w:qFormat/>
    <w:pPr>
      <w:keepNext w:val="true"/>
      <w:spacing w:before="240" w:after="120"/>
    </w:pPr>
    <w:rPr>
      <w:rFonts w:ascii="Liberation Sans" w:hAnsi="Liberation Sans" w:eastAsia="Noto Sans CJK SC" w:cs="FreeSans"/>
      <w:sz w:val="28"/>
      <w:szCs w:val="28"/>
    </w:rPr>
  </w:style>
  <w:style w:type="paragraph" w:styleId="TextBody">
    <w:name w:val="Body Text"/>
    <w:basedOn w:val="Normal"/>
    <w:link w:val="BodyTextChar"/>
    <w:qFormat/>
    <w:pPr>
      <w:spacing w:before="180" w:after="180"/>
    </w:pPr>
    <w:rPr/>
  </w:style>
  <w:style w:type="paragraph" w:styleId="List">
    <w:name w:val="List"/>
    <w:basedOn w:val="TextBody"/>
    <w:pPr/>
    <w:rPr>
      <w:rFonts w:cs="Free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FreeSans"/>
    </w:rPr>
  </w:style>
  <w:style w:type="paragraph" w:styleId="FirstParagraph" w:customStyle="1">
    <w:name w:val="First Paragraph"/>
    <w:basedOn w:val="TextBody"/>
    <w:next w:val="TextBody"/>
    <w:qFormat/>
    <w:pPr/>
    <w:rPr/>
  </w:style>
  <w:style w:type="paragraph" w:styleId="Compact" w:customStyle="1">
    <w:name w:val="Compact"/>
    <w:basedOn w:val="TextBody"/>
    <w:qFormat/>
    <w:pPr>
      <w:spacing w:before="36" w:after="36"/>
    </w:pPr>
    <w:rPr/>
  </w:style>
  <w:style w:type="paragraph" w:styleId="Title">
    <w:name w:val="Title"/>
    <w:basedOn w:val="Normal"/>
    <w:next w:val="TextBody"/>
    <w:qFormat/>
    <w:pPr>
      <w:keepNext w:val="true"/>
      <w:keepLines/>
      <w:spacing w:before="480" w:after="240"/>
      <w:jc w:val="center"/>
    </w:pPr>
    <w:rPr>
      <w:rFonts w:ascii="Calibri" w:hAnsi="Calibri" w:eastAsia="" w:cs="" w:asciiTheme="majorHAnsi" w:cstheme="majorBidi" w:eastAsiaTheme="majorEastAsia" w:hAnsiTheme="majorHAnsi"/>
      <w:b/>
      <w:bCs/>
      <w:color w:val="345A8A" w:themeColor="accent1" w:themeShade="b5"/>
      <w:sz w:val="36"/>
      <w:szCs w:val="36"/>
    </w:rPr>
  </w:style>
  <w:style w:type="paragraph" w:styleId="Subtitle">
    <w:name w:val="Subtitle"/>
    <w:basedOn w:val="Title"/>
    <w:next w:val="TextBody"/>
    <w:qFormat/>
    <w:pPr>
      <w:keepNext w:val="true"/>
      <w:keepLines/>
      <w:spacing w:before="240" w:after="240"/>
      <w:jc w:val="center"/>
    </w:pPr>
    <w:rPr>
      <w:sz w:val="30"/>
      <w:szCs w:val="30"/>
    </w:rPr>
  </w:style>
  <w:style w:type="paragraph" w:styleId="Author" w:customStyle="1">
    <w:name w:val="Author"/>
    <w:next w:val="TextBody"/>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TextBody"/>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 w:customStyle="1">
    <w:name w:val="Abstract"/>
    <w:basedOn w:val="Normal"/>
    <w:next w:val="TextBody"/>
    <w:qFormat/>
    <w:pPr>
      <w:keepNext w:val="true"/>
      <w:keepLines/>
      <w:spacing w:before="300" w:after="300"/>
    </w:pPr>
    <w:rPr>
      <w:sz w:val="20"/>
      <w:szCs w:val="20"/>
    </w:rPr>
  </w:style>
  <w:style w:type="paragraph" w:styleId="Bibliography">
    <w:name w:val="Bibliography"/>
    <w:basedOn w:val="Normal"/>
    <w:qFormat/>
    <w:pPr/>
    <w:rPr/>
  </w:style>
  <w:style w:type="paragraph" w:styleId="BlockText">
    <w:name w:val="Block Text"/>
    <w:basedOn w:val="TextBody"/>
    <w:next w:val="TextBody"/>
    <w:uiPriority w:val="9"/>
    <w:unhideWhenUsed/>
    <w:qFormat/>
    <w:pPr>
      <w:spacing w:before="100" w:after="100"/>
      <w:ind w:left="480" w:right="480" w:hanging="0"/>
    </w:pPr>
    <w:rPr/>
  </w:style>
  <w:style w:type="paragraph" w:styleId="Footnote">
    <w:name w:val="Footnote Text"/>
    <w:basedOn w:val="Normal"/>
    <w:uiPriority w:val="9"/>
    <w:unhideWhenUsed/>
    <w:qFormat/>
    <w:pPr>
      <w:spacing w:lineRule="exact" w:line="200" w:before="0" w:after="0"/>
    </w:pPr>
    <w:rPr>
      <w:sz w:val="18"/>
      <w:szCs w:val="18"/>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ContentsHeading">
    <w:name w:val="TOC Heading"/>
    <w:basedOn w:val="Heading1"/>
    <w:next w:val="TextBody"/>
    <w:uiPriority w:val="39"/>
    <w:unhideWhenUsed/>
    <w:qFormat/>
    <w:pPr>
      <w:spacing w:lineRule="auto" w:line="259" w:before="240" w:after="0"/>
      <w:outlineLvl w:val="9"/>
    </w:pPr>
    <w:rPr>
      <w:rFonts w:ascii="Calibri" w:hAnsi="Calibri" w:eastAsia="" w:cs="" w:asciiTheme="majorHAnsi" w:cstheme="majorBidi" w:eastAsiaTheme="majorEastAsia" w:hAnsiTheme="majorHAnsi"/>
      <w:b/>
      <w:bCs w:val="false"/>
      <w:color w:val="37474F"/>
      <w:sz w:val="32"/>
    </w:rPr>
  </w:style>
  <w:style w:type="paragraph" w:styleId="SourceCode" w:customStyle="1">
    <w:name w:val="Source Code"/>
    <w:basedOn w:val="Normal"/>
    <w:link w:val="VerbatimChar"/>
    <w:qFormat/>
    <w:pPr/>
    <w:rPr/>
  </w:style>
  <w:style w:type="paragraph" w:styleId="Contents1" w:customStyle="1">
    <w:name w:val="TOC 1"/>
    <w:pPr>
      <w:widowControl/>
      <w:bidi w:val="0"/>
      <w:spacing w:before="120" w:after="40"/>
      <w:ind w:left="0" w:hanging="0"/>
      <w:jc w:val="left"/>
    </w:pPr>
    <w:rPr>
      <w:rFonts w:ascii="Calibri" w:hAnsi="Calibri" w:cs="Calibri" w:eastAsia="Cambria"/>
      <w:b/>
      <w:color w:val="000000"/>
      <w:kern w:val="0"/>
      <w:sz w:val="24"/>
      <w:szCs w:val="24"/>
      <w:lang w:val="en-US" w:eastAsia="en-US" w:bidi="ar-SA"/>
    </w:rPr>
  </w:style>
  <w:style w:type="paragraph" w:styleId="Contents2" w:customStyle="1">
    <w:name w:val="TOC 2"/>
    <w:pPr>
      <w:widowControl/>
      <w:bidi w:val="0"/>
      <w:spacing w:before="0" w:after="20"/>
      <w:ind w:left="360" w:hanging="0"/>
      <w:jc w:val="left"/>
    </w:pPr>
    <w:rPr>
      <w:rFonts w:ascii="Calibri" w:hAnsi="Calibri" w:cs="Calibri" w:eastAsia="Cambria"/>
      <w:b w:val="false"/>
      <w:color w:val="000000"/>
      <w:kern w:val="0"/>
      <w:sz w:val="24"/>
      <w:szCs w:val="24"/>
      <w:lang w:val="en-US" w:eastAsia="en-US" w:bidi="ar-SA"/>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LibreOffice/7.4.7.2$Linux_X86_64 LibreOffice_project/40$Build-2</Application>
  <AppVersion>15.0000</AppVersion>
  <Pages>53</Pages>
  <Words>17664</Words>
  <Characters>106297</Characters>
  <CharactersWithSpaces>123309</CharactersWithSpaces>
  <Paragraphs>838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2026-08-14T08:26:42Z</dcterms:created>
  <dc:creator/>
  <dc:description/>
  <dc:language>en-US</dc:language>
  <cp:lastModifiedBy/>
  <dcterms:modified xsi:type="dcterms:W3CDTF">2026-08-14T09:25:11Z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