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959c4caaab3c4403" /></Relationships>
</file>

<file path=word/document.xml><?xml version="1.0" encoding="utf-8"?>
<w:document xmlns:r="http://schemas.openxmlformats.org/officeDocument/2006/relationships" xmlns:w="http://schemas.openxmlformats.org/wordprocessingml/2006/main">
  <w:body>
    <w:p>
      <w:pPr>
        <w:pBdr>
          <w:bottom w:val="single" w:color="3d5a6c" w:sz="16" w:space="10"/>
        </w:pBdr>
        <w:spacing w:before="600" w:after="0"/>
        <w:jc w:val="center"/>
      </w:pPr>
      <w:r>
        <w:rPr>
          <w:sz w:val="8"/>
        </w:rPr>
        <w:t> </w:t>
      </w:r>
    </w:p>
    <w:p>
      <w:pPr>
        <w:spacing w:before="4000"/>
      </w:pPr>
      <w:r/>
    </w:p>
    <w:p>
      <w:pPr>
        <w:spacing w:after="300"/>
        <w:jc w:val="center"/>
      </w:pPr>
      <w:r>
        <w:rPr>
          <w:color w:val="5a7d94"/>
          <w:spacing w:val="50"/>
          <w:sz w:val="24"/>
        </w:rPr>
        <w:t>A STABILITY-SUPPORT ANNEX TO THE REGIONAL MARITIME FRAMEWORK</w:t>
      </w:r>
    </w:p>
    <w:p>
      <w:pPr>
        <w:spacing w:after="200"/>
        <w:jc w:val="center"/>
      </w:pPr>
      <w:r>
        <w:rPr>
          <w:b/>
          <w:color w:val="3d5a6c"/>
          <w:spacing w:val="25"/>
          <w:sz w:val="64"/>
        </w:rPr>
        <w:t>De-Escalation</w:t>
      </w:r>
    </w:p>
    <w:p>
      <w:pPr>
        <w:spacing w:after="200"/>
        <w:jc w:val="center"/>
      </w:pPr>
      <w:r>
        <w:rPr>
          <w:b/>
          <w:color w:val="3d5a6c"/>
          <w:spacing w:val="25"/>
          <w:sz w:val="64"/>
        </w:rPr>
        <w:t>Confidence-Building</w:t>
      </w:r>
    </w:p>
    <w:p>
      <w:pPr>
        <w:spacing w:after="600"/>
        <w:jc w:val="center"/>
      </w:pPr>
      <w:r>
        <w:rPr>
          <w:b/>
          <w:color w:val="3d5a6c"/>
          <w:spacing w:val="25"/>
          <w:sz w:val="64"/>
        </w:rPr>
        <w:t>Measures Package</w:t>
      </w:r>
    </w:p>
    <w:p>
      <w:pPr>
        <w:spacing w:after="200"/>
        <w:jc w:val="center"/>
      </w:pPr>
      <w:r>
        <w:rPr>
          <w:i/>
          <w:color w:val="5a7d94"/>
          <w:sz w:val="22"/>
        </w:rPr>
        <w:t>Strait of Hormuz – Regional Maritime Stability Framework</w:t>
      </w:r>
    </w:p>
    <w:p>
      <w:pPr>
        <w:spacing w:after="3000"/>
        <w:jc w:val="center"/>
      </w:pPr>
      <w:r>
        <w:rPr>
          <w:color w:val="6e8fa8"/>
          <w:sz w:val="22"/>
        </w:rPr>
        <w:t>12 July 2026</w:t>
      </w:r>
    </w:p>
    <w:p>
      <w:pPr>
        <w:spacing w:after="120"/>
        <w:jc w:val="center"/>
      </w:pPr>
      <w:r>
        <w:rPr>
          <w:color w:val="6e8fa8"/>
          <w:sz w:val="20"/>
        </w:rPr>
        <w:t>Islamic Republic of Iran  |  Sultanate of Oman  |  State of Qatar</w:t>
      </w:r>
    </w:p>
    <w:p>
      <w:pPr>
        <w:jc w:val="center"/>
      </w:pPr>
      <w:r>
        <w:rPr>
          <w:color w:val="6e8fa8"/>
          <w:sz w:val="18"/>
        </w:rPr>
        <w:t>With Acknowledgment from Concerned External Parties</w:t>
      </w:r>
    </w:p>
    <w:p>
      <w:pPr>
        <w:pBdr>
          <w:top w:val="single" w:color="3d5a6c" w:sz="16" w:space="10"/>
        </w:pBdr>
        <w:spacing w:before="600" w:after="0"/>
        <w:jc w:val="center"/>
      </w:pPr>
      <w:r>
        <w:rPr>
          <w:sz w:val="8"/>
        </w:rPr>
        <w:t> </w:t>
      </w:r>
    </w:p>
    <w:p>
      <w:pPr>
        <w:sectPr>
          <w:type w:val="nextPage"/>
          <w:pgSz w:w="11906" w:h="16838"/>
          <w:pgMar w:top="0" w:right="0" w:bottom="0" w:left="0" w:header="0" w:footer="0"/>
          <w:titlePg/>
        </w:sectPr>
      </w:pPr>
    </w:p>
    <w:p>
      <w:pPr>
        <w:spacing w:before="400" w:after="400"/>
        <w:jc w:val="center"/>
      </w:pPr>
      <w:r>
        <w:rPr>
          <w:b/>
          <w:color w:val="3d5a6c"/>
          <w:sz w:val="32"/>
        </w:rPr>
        <w:t>Table of Contents</w:t>
      </w:r>
    </w:p>
    <w:p>
      <w:pPr>
        <w:spacing w:after="300"/>
      </w:pPr>
      <w:r>
        <w:rPr>
          <w:color w:val="6e8fa8"/>
          <w:sz w:val="18"/>
        </w:rPr>
        <w:t>Right-click the TOC and select "Update Field" to refresh page numbers</w:t>
      </w:r>
    </w:p>
    <w:p>
      <w:r>
        <w:fldChar w:fldCharType="begin"/>
      </w:r>
      <w:r>
        <w:instrText xml:space="preserve"> TOC \o "1-3" \h \z \u </w:instrText>
      </w:r>
      <w:r>
        <w:fldChar w:fldCharType="separate"/>
      </w:r>
    </w:p>
    <w:p>
      <w:pPr>
        <w:pStyle w:val="TOC1"/>
      </w:pPr>
      <w:r>
        <w:t>Purpose &amp; Scope of Measures</w:t>
      </w:r>
      <w:r>
        <w:tab/>
      </w:r>
      <w:r>
        <w:t>3</w:t>
      </w:r>
    </w:p>
    <w:p>
      <w:pPr>
        <w:pStyle w:val="TOC1"/>
      </w:pPr>
      <w:r>
        <w:t>Conditional Pause in Offensive Strikes (48-72 Hours)</w:t>
      </w:r>
      <w:r>
        <w:tab/>
      </w:r>
      <w:r>
        <w:t>5</w:t>
      </w:r>
    </w:p>
    <w:p>
      <w:pPr>
        <w:pStyle w:val="TOC1"/>
      </w:pPr>
      <w:r>
        <w:t>Humanitarian Import Channel (Technical Description)</w:t>
      </w:r>
      <w:r>
        <w:tab/>
      </w:r>
      <w:r>
        <w:t>7</w:t>
      </w:r>
    </w:p>
    <w:p>
      <w:pPr>
        <w:pStyle w:val="TOC1"/>
      </w:pPr>
      <w:r>
        <w:t>Limited Unfreezing of Restricted Funds</w:t>
      </w:r>
      <w:r>
        <w:tab/>
      </w:r>
      <w:r>
        <w:t>9</w:t>
      </w:r>
    </w:p>
    <w:p>
      <w:pPr>
        <w:pStyle w:val="TOC1"/>
      </w:pPr>
      <w:r>
        <w:t>Naval Presence Ceiling (No Expansion Clause)</w:t>
      </w:r>
      <w:r>
        <w:tab/>
      </w:r>
      <w:r>
        <w:t>11</w:t>
      </w:r>
    </w:p>
    <w:p>
      <w:pPr>
        <w:pStyle w:val="TOC1"/>
      </w:pPr>
      <w:r>
        <w:t>Deconfliction Hotline (Technical Safety Channel)</w:t>
      </w:r>
      <w:r>
        <w:tab/>
      </w:r>
      <w:r>
        <w:t>13</w:t>
      </w:r>
    </w:p>
    <w:p>
      <w:pPr>
        <w:pStyle w:val="TOC1"/>
      </w:pPr>
      <w:r>
        <w:t>Reversibility &amp; Conditionality of All Measures</w:t>
      </w:r>
      <w:r>
        <w:tab/>
      </w:r>
      <w:r>
        <w:t>15</w:t>
      </w:r>
    </w:p>
    <w:p>
      <w:pPr>
        <w:pStyle w:val="TOC1"/>
      </w:pPr>
      <w:r>
        <w:t>Assurance That Measures Are Not Political Accommodations</w:t>
      </w:r>
      <w:r>
        <w:tab/>
      </w:r>
      <w:r>
        <w:t>17</w:t>
      </w:r>
    </w:p>
    <w:p>
      <w:pPr>
        <w:pStyle w:val="TOC1"/>
      </w:pPr>
      <w:r>
        <w:t>Conditions for Continuation</w:t>
      </w:r>
      <w:r>
        <w:tab/>
      </w:r>
      <w:r>
        <w:t>19</w:t>
      </w:r>
    </w:p>
    <w:p>
      <w:pPr>
        <w:pStyle w:val="TOC1"/>
      </w:pPr>
      <w:r>
        <w:t>Rapid Reinstatement Procedures</w:t>
      </w:r>
      <w:r>
        <w:tab/>
      </w:r>
      <w:r>
        <w:t>21</w:t>
      </w:r>
    </w:p>
    <w:p>
      <w:r>
        <w:fldChar w:fldCharType="end"/>
      </w:r>
    </w:p>
    <w:p>
      <w:pPr>
        <w:sectPr>
          <w:type w:val="nextPage"/>
          <w:pgSz w:w="11906" w:h="16838"/>
          <w:pgMar w:top="1800" w:right="1440" w:bottom="1440" w:left="1440" w:header="720" w:footer="720"/>
        </w:sectPr>
      </w:pPr>
    </w:p>
    <w:p>
      <w:pPr>
        <w:pStyle w:val="Heading1"/>
      </w:pPr>
      <w:r>
        <w:t>1. Purpose &amp; Scope of Measures</w:t>
      </w:r>
      <w:bookmarkStart w:name="_Toc001" w:id="1"/>
      <w:bookmarkEnd w:id="1"/>
    </w:p>
    <w:p>
      <w:r>
        <w:t>This Package constitutes a temporary and fully reversible set of stability-support measures within the Regional Maritime Stability Framework. The framework architecture designs these measures exclusively for the purpose of reducing regional tensions, preventing miscalculation, and supporting the maritime safety objectives established in the Regional Maritime Stability Joint Communiqué of 12 July 2026.</w:t>
      </w:r>
    </w:p>
    <w:p>
      <w:r>
        <w:t>This Package addresses regional de-escalation through technical and operational instruments. This Package does not constitute a bilateral instrument between any two parties. This Package does not establish permanent obligations. This Package does not modify the sovereign positions, legal claims, or strategic postures of any participant.</w:t>
      </w:r>
    </w:p>
    <w:p>
      <w:r>
        <w:t>The measures contained in this Package apply exclusively during periods of verified compliance with the maritime safety commitments referenced in the Regional Maritime Stability Joint Communiqué. The framework architecture suspends all measures automatically upon verified lapse of those commitments. This conditionality preserves the integrity of the broader maritime framework and ensures that stability-support measures function only in conjunction with demonstrated adherence to shared safety protocols.</w:t>
      </w:r>
    </w:p>
    <w:p>
      <w:r>
        <w:t>The scope of this Package extends to the Strait of Hormuz area of operations and adjacent waters as defined in the Iranian Technical Maritime Notice (PMO/NOTMAR/2026-07-11/HORMUZ-01) and the Omani Maritime Notice (reference OMN/NOTMAR/2026-07-11/HORMUZ-01). The geographic boundaries align with the existing verification architecture established under the Oman-Iran Joint Working Group.</w:t>
      </w:r>
    </w:p>
    <w:p>
      <w:r>
        <w:t>This Package operates under the following foundational principles: all measures are temporary; all measures are reversible; all measures are conditional; no measure creates precedent for future arrangements; no measure alters the underlying political or legal positions of any party; and all measures serve the exclusive purpose of maritime safety and regional stability.</w:t>
      </w:r>
    </w:p>
    <w:p>
      <w:pPr>
        <w:pStyle w:val="Heading1"/>
      </w:pPr>
      <w:r>
        <w:t>2. Conditional Pause in Offensive Strikes (48–72 Hours)</w:t>
      </w:r>
      <w:bookmarkStart w:name="_Toc002" w:id="2"/>
      <w:bookmarkEnd w:id="2"/>
    </w:p>
    <w:p>
      <w:r>
        <w:t>The framework architecture incorporates a conditional pause in offensive kinetic operations against maritime assets within the Strait of Hormuz area of operations. This pause operates for an initial duration of forty-eight to seventy-two hours from the date of activation. Activation occurs upon receipt of verified confirmation that all parties observe the maritime safety commitments established in the Regional Maritime Stability Joint Communiqué.</w:t>
      </w:r>
    </w:p>
    <w:p>
      <w:r>
        <w:t>This provision constitutes a pause, not a termination of hostilities. The distinction carries operational significance. A pause preserves the full legal character of ongoing military operations. A pause does not create a truce. A pause does not establish peace. A pause suspends specific offensive actions for a defined period while all other operations continue without restriction.</w:t>
      </w:r>
    </w:p>
    <w:p>
      <w:r>
        <w:t>The pause links directly and exclusively to verified compliance. Omani verification channels confirm adherence to maritime safety commitments. Qatari monitoring corroborates these confirmations. Only upon receipt of affirmative verification assessments does the pause activate. Any negative assessment automatically prevents activation or triggers suspension of an active pause.</w:t>
      </w:r>
    </w:p>
    <w:p>
      <w:r>
        <w:t>Strike packages remain on standby throughout the duration of the pause. All targeting data stays current. All weapon systems remain loaded and ready. All command-and-control structures maintain full operational readiness. The pause modifies only the execution authorization for offensive strikes; it modifies nothing else.</w:t>
      </w:r>
    </w:p>
    <w:p>
      <w:r>
        <w:t>The pause carries full reversibility. Reinstatement of offensive operations proceeds immediately upon verified violation of maritime safety commitments. No additional authorization process delays reinstatement. The framework architecture treats reversibility as an automatic operational trigger, not as a decision requiring evaluation. Verified violation equals immediate reinstatement.</w:t>
      </w:r>
    </w:p>
    <w:p>
      <w:r>
        <w:t>Defensive operations, force protection measures, and blockade enforcement continue without interruption during the pause. No provision of this Package restricts the right of any party to defend its forces, protect its assets, or enforce existing maritime measures. The pause applies exclusively to offensive kinetic operations against designated maritime targets.</w:t>
      </w:r>
    </w:p>
    <w:p>
      <w:pPr>
        <w:pStyle w:val="Heading1"/>
      </w:pPr>
      <w:r>
        <w:t>3. Humanitarian Import Channel (Technical Description)</w:t>
      </w:r>
      <w:bookmarkStart w:name="_Toc003" w:id="3"/>
      <w:bookmarkEnd w:id="3"/>
    </w:p>
    <w:p>
      <w:r>
        <w:t>The framework architecture establishes a dedicated humanitarian import channel for the movement of essential goods into the region. This channel operates under existing humanitarian exemptions that predate the current maritime framework. This channel functions as a technical routing mechanism, not as a political instrument.</w:t>
      </w:r>
    </w:p>
    <w:p>
      <w:r>
        <w:t>The channel permits the import of the following categories of goods: medicines and pharmaceutical products; foodstuffs and agricultural commodities; water treatment chemicals and sanitation equipment; medical devices and hospital supplies; and nutritional supplements for vulnerable populations. The framework architecture excludes all dual-use items, military-related goods, and items with potential weapons applications.</w:t>
      </w:r>
    </w:p>
    <w:p>
      <w:r>
        <w:t>This channel utilizes existing humanitarian exemptions under applicable international frameworks. These exemptions operate independently of any political arrangement and serve strictly humanitarian purposes. The channel does not constitute sanctions relief. The channel does not modify any sanctions architecture. The channel does not create new trade permissions. The channel routes existing humanitarian permissions through a stabilized maritime corridor.</w:t>
      </w:r>
    </w:p>
    <w:p>
      <w:r>
        <w:t>All financial transactions associated with the humanitarian channel route through neutral financial intermediaries. The Sultanate of Oman and the State of Qatar serve as the designated intermediary jurisdictions for financial clearing. These intermediaries process payments in accordance with established banking protocols and applicable international standards. No direct financial transactions occur between sanctioned entities and suppliers through this channel.</w:t>
      </w:r>
    </w:p>
    <w:p>
      <w:r>
        <w:t>The channel operates automatically upon activation of the stability-support measures. No party negotiates the terms of specific shipments. No party approves individual transactions. The channel functions as an open pipeline for pre-cleared humanitarian categories, subject only to standard customs documentation and verification procedures. This automatic operation eliminates the need for case-by-case negotiation and ensures that humanitarian goods flow without political interference.</w:t>
      </w:r>
    </w:p>
    <w:p>
      <w:r>
        <w:t>The humanitarian channel closes automatically upon suspension of the stability-support measures. Closure occurs simultaneously with the termination of the conditional pause. No wind-down period applies. No pending transactions receive grandfathered treatment. The automatic closure preserves the conditionality of all measures and ensures that humanitarian access remains strictly tied to the broader stability framework.</w:t>
      </w:r>
    </w:p>
    <w:p>
      <w:pPr>
        <w:pStyle w:val="Heading1"/>
      </w:pPr>
      <w:r>
        <w:t>4. Limited Unfreezing of Restricted Funds</w:t>
      </w:r>
      <w:bookmarkStart w:name="_Toc004" w:id="4"/>
      <w:bookmarkEnd w:id="4"/>
    </w:p>
    <w:p>
      <w:r>
        <w:t>The framework architecture permits the limited release of a restricted funds tranche for exclusive humanitarian purposes. This tranche remains small in scale and restricted in application. The framework architecture treats this provision as a technical facilitation measure, not as economic relief or political accommodation.</w:t>
      </w:r>
    </w:p>
    <w:p>
      <w:r>
        <w:t>The restricted funds tranche supports exclusively the purchase of non-dual-use humanitarian goods. Eligible expenditures include: medical supplies and equipment; food procurement; water purification systems; and emergency relief materials. The framework architecture prohibits the use of these funds for military procurement, dual-use technologies, industrial equipment, infrastructure development, or any non-humanitarian purpose.</w:t>
      </w:r>
    </w:p>
    <w:p>
      <w:r>
        <w:t>A neutral third-party monitoring mechanism oversees the expenditure of released funds. The State of Qatar serves as the designated monitoring authority. Qatari financial oversight personnel review all disbursement requests, verify the humanitarian character of proposed expenditures, and confirm delivery of purchased goods. This oversight ensures that fund usage conforms to the humanitarian restrictions established in this Package.</w:t>
      </w:r>
    </w:p>
    <w:p>
      <w:r>
        <w:t>Access to the restricted funds tranche suspends immediately upon verified violation of maritime safety commitments. Suspension occurs automatically, without notice period or appeal process. The framework architecture treats fund access as conditional upon compliance, and non-compliance triggers instantaneous revocation. Any funds disbursed prior to suspension remain subject to post-hoc verification of appropriate usage.</w:t>
      </w:r>
    </w:p>
    <w:p>
      <w:r>
        <w:t>The restricted funds provision does not constitute sanctions relief. No sanctions program modifies its scope, target list, or enforcement posture in connection with this provision. No new licenses issue. No waivers apply. The funds release operates under existing humanitarian authorities that predate this Package and continue independently of it. This provision merely routes existing humanitarian financial permissions through the stability framework.</w:t>
      </w:r>
    </w:p>
    <w:p>
      <w:r>
        <w:t>The size of the restricted funds tranche remains fixed for the duration of the stability-support measures. No mechanism exists for increasing the tranche. No party petitions for expansion. The fixed tranche preserves the limited and temporary character of this provision and prevents the transformation of humanitarian fund access into an open-ended economic arrangement.</w:t>
      </w:r>
    </w:p>
    <w:p>
      <w:pPr>
        <w:pStyle w:val="Heading1"/>
      </w:pPr>
      <w:r>
        <w:t>5. Naval Presence Ceiling (No Expansion Clause)</w:t>
      </w:r>
      <w:bookmarkStart w:name="_Toc005" w:id="5"/>
      <w:bookmarkEnd w:id="5"/>
    </w:p>
    <w:p>
      <w:r>
        <w:t>The framework architecture incorporates a naval presence ceiling that limits the expansion of naval assets in the Strait of Hormuz area of operations during the period of verified compliance. This ceiling applies to all parties and operates as a mutual stability measure rather than a unilateral restriction.</w:t>
      </w:r>
    </w:p>
    <w:p>
      <w:r>
        <w:t>The ceiling defines the maximum permitted naval presence as the force posture existing at the time of the Package's activation. No party increases its naval asset count, platform types, or operational tempo beyond the levels maintained at activation. Existing forces remain fully intact. Existing patrol schedules continue. Existing operational patterns persist without modification.</w:t>
      </w:r>
    </w:p>
    <w:p>
      <w:r>
        <w:t>This provision constitutes a stability measure, not a reduction. No party withdraws assets. No party decreases its presence. No party alters its force disposition. The ceiling freezes the status quo and prevents escalation through naval reinforcement. The absence of expansion reduces the risk of miscalculation, accidental confrontation, and inadvertent escalation.</w:t>
      </w:r>
    </w:p>
    <w:p>
      <w:r>
        <w:t>The ceiling lifts automatically if maritime safety commitments lapse. Reinstatement of full naval flexibility occurs immediately upon verified violation. No notification process delays reinstatement. No consultation requirement impedes responsive force adjustments. The automatic lift ensures that the naval presence ceiling remains strictly conditional and does not constrain defensive or responsive operations during periods of non-compliance.</w:t>
      </w:r>
    </w:p>
    <w:p>
      <w:r>
        <w:t>The ceiling does not restrict the movement of assets within the existing force posture. Naval units rotate, refit, and replenish on their normal schedules. Replacement units maintain equivalent capability and platform types. The ceiling regulates only the aggregate force level, not the internal dynamics of force management.</w:t>
      </w:r>
    </w:p>
    <w:p>
      <w:r>
        <w:t>The Oman-Iran Joint Working Group monitors compliance with the naval presence ceiling. Omani naval tracking systems provide baseline data at activation. Subsequent monitoring confirms adherence to the ceiling. Discrepancies trigger consultation through the Joint Working Group. Persistent discrepancies activate the suspension procedures established in Section 7 of this Package.</w:t>
      </w:r>
    </w:p>
    <w:p>
      <w:pPr>
        <w:pStyle w:val="Heading1"/>
      </w:pPr>
      <w:r>
        <w:t>6. Deconfliction Hotline (Technical Safety Channel)</w:t>
      </w:r>
      <w:bookmarkStart w:name="_Toc006" w:id="6"/>
      <w:bookmarkEnd w:id="6"/>
    </w:p>
    <w:p>
      <w:r>
        <w:t>The framework architecture establishes a dedicated deconfliction hotline for the purpose of preventing accidental escalation and addressing maritime safety incidents. This hotline operates as a technical safety channel, not as a diplomatic or political communication line. The hotline serves exclusively operational deconfliction.</w:t>
      </w:r>
    </w:p>
    <w:p>
      <w:r>
        <w:t>The Sultanate of Oman hosts the primary hotline facility. The State of Qatar maintains a secondary backup facility. Both facilities operate continuously during the period of active stability-support measures. Trained maritime safety personnel staff both facilities and respond to all incoming communications within established timeframes.</w:t>
      </w:r>
    </w:p>
    <w:p>
      <w:r>
        <w:t>The hotline prevents accidental escalation through rapid communication of unintended contacts, navigational anomalies, and emergent safety situations. Naval units, commercial vessels, and maritime safety authorities use the hotline to clarify intentions, coordinate movements, and resolve situations that could escalate without immediate communication.</w:t>
      </w:r>
    </w:p>
    <w:p>
      <w:r>
        <w:t>The hotline does not imply recognition of any party's claims, positions, or status. The hotline does not constitute a negotiation channel. The hotline does not address political matters. The hotline does not substitute for diplomatic communication. The hotline serves exclusively as a technical safety instrument for maritime operational deconfliction.</w:t>
      </w:r>
    </w:p>
    <w:p>
      <w:r>
        <w:t>Activation protocols define the circumstances for hotline use. Category A activations address imminent safety threats and trigger immediate response within five minutes. Category B activations address navigational concerns and trigger response within fifteen minutes. Category C activations address routine coordination and trigger response within thirty minutes. All categories operate under standardized communication protocols.</w:t>
      </w:r>
    </w:p>
    <w:p>
      <w:r>
        <w:t>Emergency use cases include: unintended approach between naval and commercial vessels; communication of patrol pattern adjustments; notification of emergency maritime operations; reporting of navigational system anomalies; and coordination of search and rescue activities. The hotline does not process political communications, compliance disputes, or non-maritime matters.</w:t>
      </w:r>
    </w:p>
    <w:p>
      <w:r>
        <w:t>The hotline deactivates automatically upon suspension of the stability-support measures. All hotline numbers transfer to standard maritime safety frequencies. Deactivation occurs simultaneously with the suspension trigger, preserving the strict conditionality of all measures in this Package.</w:t>
      </w:r>
    </w:p>
    <w:p>
      <w:pPr>
        <w:pStyle w:val="Heading1"/>
      </w:pPr>
      <w:r>
        <w:t>7. Reversibility &amp; Conditionality of All Measures</w:t>
      </w:r>
      <w:bookmarkStart w:name="_Toc007" w:id="7"/>
      <w:bookmarkEnd w:id="7"/>
    </w:p>
    <w:p>
      <w:r>
        <w:t>Every measure in this Package carries full reversibility. The framework architecture treats reversibility as a core design principle, not as an exception. Reversibility ensures that no measure locks any party into an enduring commitment. Reversibility preserves the autonomy of all participants. Reversibility maintains the integrity of the broader security architecture.</w:t>
      </w:r>
    </w:p>
    <w:p>
      <w:r>
        <w:t>Continuation of every measure depends on verified compliance with maritime safety commitments. The verification architecture produces continuous assessments of compliance status. Affirmative assessments sustain the measures. Negative assessments suspend the measures. This conditionality operates automatically and applies equally to all provisions.</w:t>
      </w:r>
    </w:p>
    <w:p>
      <w:r>
        <w:t>The framework architecture defines three categories of suspension triggers. Category A triggers include: life-threatening incidents against commercial vessels; attacks on maritime infrastructure; and seizure of commercial vessels. Category A triggers activate immediate suspension of all measures within one hour. Category B triggers include: unscheduled naval operations in primary shipping lanes; interference with commercial vessel navigation; and unexplained delays in verification cooperation. Category B triggers activate suspension within four hours. Category C triggers include: minor deviations from communication protocols; delays in reporting; and procedural irregularities. Category C triggers activate consultation through the Joint Working Group before suspension.</w:t>
      </w:r>
    </w:p>
    <w:p>
      <w:r>
        <w:t>Reversibility protects the strategic position of all parties. No party sacrifices leverage through participation in this Package. No party creates obligations that outlast its willingness to participate. No party exposes itself to exploitation by other parties. The architecture of full reversibility ensures that the Package serves stability without creating vulnerabilities.</w:t>
      </w:r>
    </w:p>
    <w:p>
      <w:r>
        <w:t>No measure in this Package creates precedent for future arrangements. This Package stands as a self-contained, time-limited, condition-specific set of provisions. No party cites this Package in future diplomatic discussions. No party derives entitlements from this Package. No party transforms temporary measures into permanent expectations. The framework architecture explicitly severs this Package from any future diplomatic or security agenda.</w:t>
      </w:r>
    </w:p>
    <w:p>
      <w:r>
        <w:t>Suspension of any single measure does not automatically suspend all other measures. The framework architecture permits selective suspension based on the category and severity of the triggering event. Category A triggers suspend all measures. Category B triggers suspend directly related measures. Category C triggers suspend no measures pending consultation. This calibrated approach ensures proportionality between triggers and responses.</w:t>
      </w:r>
    </w:p>
    <w:p>
      <w:pPr>
        <w:pStyle w:val="Heading1"/>
      </w:pPr>
      <w:r>
        <w:t>8. Assurance That Measures Are Not Political Accommodations</w:t>
      </w:r>
      <w:bookmarkStart w:name="_Toc008" w:id="8"/>
      <w:bookmarkEnd w:id="8"/>
    </w:p>
    <w:p>
      <w:r>
        <w:t>The framework architecture explicitly clarifies that no measure in this Package constitutes a political accommodation by any party to any other party. This clarification operates as a binding interpretive principle for all participants. All measures function as technical stability tools. No measure functions as a political accommodation, diplomatic payment, or strategic compromise.</w:t>
      </w:r>
    </w:p>
    <w:p>
      <w:r>
        <w:t>The humanitarian import channel operates under statutory exemptions, not political decisions. These exemptions exist independently of any regional arrangement. The channel routes pre-existing humanitarian permissions through a stabilized maritime corridor. No party grants new permissions. No party relaxes existing restrictions. No party creates special categories. The channel constitutes administrative facilitation, not political accommodation.</w:t>
      </w:r>
    </w:p>
    <w:p>
      <w:r>
        <w:t>The restricted funds provision involves pre-positioned financial assets subject to existing humanitarian release authorities. No new funds enter the system. No frozen assets receive permanent release. No sanctions program modifies its scope. The funds provision constitutes a time-limited routing of existing humanitarian financial permissions through the stability framework. This routing carries no political significance.</w:t>
      </w:r>
    </w:p>
    <w:p>
      <w:r>
        <w:t>The naval presence ceiling represents a mutual stability posture, not a force reduction. All existing forces remain in position. All existing operations continue. The ceiling prevents escalation through expansion while preserving full defensive and operational capability. This posture serves the shared interest in preventing miscalculation, not the unilateral interest of any party in reducing another party's military presence.</w:t>
      </w:r>
    </w:p>
    <w:p>
      <w:r>
        <w:t>No sanctions relief accompanies any measure in this Package. All sanctions programs remain in full force. All enforcement mechanisms maintain full posture. All target lists retain full scope. The framework architecture explicitly excludes sanctions relief as a component of any stability-support measure. Any party that receives sanctions relief does so through independent processes unrelated to this Package.</w:t>
      </w:r>
    </w:p>
    <w:p>
      <w:r>
        <w:t>The conditional pause in offensive strikes represents a tactical operational decision linked exclusively to verified compliance. This pause does not signal acceptance of any party's positions. This pause does not acknowledge any party's claims. This pause does not confer legitimacy on any party's conduct. The pause serves the practical purpose of creating space for verification to operate, nothing more.</w:t>
      </w:r>
    </w:p>
    <w:p>
      <w:r>
        <w:t>This Package frames all measures as technical instruments for preventing escalation and supporting maritime safety. The framework architecture rejects any interpretation of these measures as diplomatic currency, political payments, or strategic accommodations. All participants affirm this framing upon acceptance of the Package.</w:t>
      </w:r>
    </w:p>
    <w:p>
      <w:pPr>
        <w:pStyle w:val="Heading1"/>
      </w:pPr>
      <w:r>
        <w:t>9. Conditions for Continuation</w:t>
      </w:r>
      <w:bookmarkStart w:name="_Toc009" w:id="9"/>
      <w:bookmarkEnd w:id="9"/>
    </w:p>
    <w:p>
      <w:r>
        <w:t>Continuation of the stability-support measures depends on satisfaction of specific compliance criteria. The framework architecture defines these criteria precisely and applies them through the verification mechanism. No measure continues beyond the point where its associated criteria lapse.</w:t>
      </w:r>
    </w:p>
    <w:p>
      <w:r>
        <w:t>The primary compliance criteria include: safe navigation of commercial vessels through all channels of the Strait of Hormuz without interference; predictable naval operations that avoid unscheduled incursions into primary shipping lanes; maintenance of the existing fee-waiver arrangement for commercial vessels during the operational period; continuous operation of the communication and verification protocols established in the Regional Maritime Stability Joint Communiqué; and full cooperation with Omani and Qatari verification activities.</w:t>
      </w:r>
    </w:p>
    <w:p>
      <w:r>
        <w:t>The verification architecture produces continuous compliance summaries that feed directly into the continuation assessment. Omani monitoring provides primary data. Qatari monitoring provides secondary corroboration. The Joint Working Group reviews these summaries at defined intervals and issues continuation recommendations.</w:t>
      </w:r>
    </w:p>
    <w:p>
      <w:r>
        <w:t>The review interval operates on a forty-eight-hour cycle. Every forty-eight hours, the verification architecture produces a fresh compliance assessment. This assessment addresses each compliance criterion individually. Affirmative findings on all criteria sustain the measures. Negative findings on any criterion trigger the escalation procedures established in Section 10.</w:t>
      </w:r>
    </w:p>
    <w:p>
      <w:r>
        <w:t>Zero tolerance applies to Category A incidents. Any Category A incident – defined as a life-threatening attack on a commercial vessel, seizure of a commercial vessel, or hostile action against maritime infrastructure – triggers immediate suspension of all measures regardless of other compliance indicators. The framework architecture treats Category A incidents as absolute discontinuation triggers.</w:t>
      </w:r>
    </w:p>
    <w:p>
      <w:r>
        <w:t>Any deviation from the compliance criteria triggers immediate review. No grace period applies. No warning system operates. No consultation precedes the review. Deviation generates instantaneous scrutiny, and scrutiny generates either confirmation of compliance restoration or activation of suspension procedures. This tight linkage between deviation and review ensures that the stability-support measures remain anchored to actual conditions.</w:t>
      </w:r>
    </w:p>
    <w:p>
      <w:r>
        <w:t>The conditions for continuation apply equally to all parties. No party enjoys exemption. No party receives special consideration. No party benefits from discretionary interpretation. Equal application ensures that the stability-support measures function as a mutual framework rather than as an asymmetric arrangement.</w:t>
      </w:r>
    </w:p>
    <w:p>
      <w:pPr>
        <w:pStyle w:val="Heading1"/>
      </w:pPr>
      <w:r>
        <w:t>10. Rapid Reinstatement Procedures</w:t>
      </w:r>
      <w:bookmarkStart w:name="_Toc010" w:id="10"/>
      <w:bookmarkEnd w:id="10"/>
    </w:p>
    <w:p>
      <w:r>
        <w:t>The framework architecture incorporates automatic reinstatement procedures that activate upon verified violation of maritime safety commitments. Reinstatement restores the full pre-measure operational posture without delay, qualification, or additional authorization.</w:t>
      </w:r>
    </w:p>
    <w:p>
      <w:r>
        <w:t>Verified Category A violations trigger reinstatement within one hour of verification confirmation. Verified Category B violations trigger reinstatement within three hours. The framework architecture treats these timelines as maximums, not targets. Reinstatement proceeds as rapidly as operational circumstances permit. No party slows reinstatement through procedural objections or consultation requests.</w:t>
      </w:r>
    </w:p>
    <w:p>
      <w:r>
        <w:t>The escalation ladder defines the graduated response to verified violations. Level One: immediate warning through Omani diplomatic channels to all parties, accompanied by suspension of directly related measures. Level Two: suspension of all stability-support measures pending restoration of compliance. Level Three: full reinstatement of pre-measure operational posture, including authorization of offensive kinetic operations previously subject to the conditional pause. The escalation ladder operates automatically. No party blocks escalation. No party appeals escalation. No party delays escalation.</w:t>
      </w:r>
    </w:p>
    <w:p>
      <w:r>
        <w:t>Reinstatement requires no additional authorization beyond the verification confirmation. The framework architecture treats verification confirmation as the sole trigger for reinstatement. No secondary approval process intervenes. No political consultation precedes reinstatement. No notification to external parties delays reinstatement. The absence of additional authorization ensures that reinstatement proceeds at operational speed rather than diplomatic speed.</w:t>
      </w:r>
    </w:p>
    <w:p>
      <w:r>
        <w:t>Reinstatement operates on a proportionality principle. The severity of the violation determines the scope of reinstatement. Category A violations trigger full reinstatement of all measures plus restoration of the full pre-Pause operational posture. Category B violations trigger suspension of related measures and partial reinstatement. Category C violations trigger consultation without automatic reinstatement. This proportionality ensures that responses match violations in scale and character.</w:t>
      </w:r>
    </w:p>
    <w:p>
      <w:r>
        <w:t>All parties retain full authority for defensive action throughout the reinstatement process. Reinstatement does not create new authorities. Reinstatement restores existing authorities that the conditional pause temporarily suspended. No party constrains its defensive options during or after reinstatement. No party hesitates to defend its forces, protect its assets, or respond to threats.</w:t>
      </w:r>
    </w:p>
    <w:p>
      <w:r>
        <w:t>The framework architecture treats reinstatement as a technical operational procedure, not as a political decision. Verification data drives reinstatement. Human judgment does not intervene between verification confirmation and reinstatement activation. This technical design eliminates the risk of hesitation, delay, or politicization during moments of verified non-compliance.</w:t>
      </w:r>
    </w:p>
    <w:p>
      <w:pPr>
        <w:spacing w:before="600" w:after="200"/>
      </w:pPr>
    </w:p>
    <w:tbl>
      <w:tblPr>
        <w:tblW w:w="5000" w:type="pct"/>
        <w:tblBorders>
          <w:top w:val="nil"/>
          <w:left w:val="nil"/>
          <w:bottom w:val="nil"/>
          <w:right w:val="nil"/>
          <w:insideH w:val="nil"/>
          <w:insideV w:val="nil"/>
        </w:tblBorders>
      </w:tblPr>
      <w:tblGrid>
        <w:gridCol w:w="3333"/>
        <w:gridCol w:w="3333"/>
        <w:gridCol w:w="3334"/>
      </w:tblGrid>
      <w:tr>
        <w:tc>
          <w:tcPr>
            <w:tcW w:w="3333" w:type="dxa"/>
          </w:tcPr>
          <w:p>
            <w:pPr>
              <w:spacing w:before="60" w:after="60"/>
              <w:jc w:val="center"/>
            </w:pPr>
            <w:r>
              <w:rPr>
                <w:b/>
                <w:color w:val="1f2e38"/>
                <w:sz w:val="20"/>
              </w:rPr>
              <w:t>Islamic Republic of Iran</w:t>
            </w:r>
          </w:p>
        </w:tc>
        <w:tc>
          <w:tcPr>
            <w:tcW w:w="3333" w:type="dxa"/>
          </w:tcPr>
          <w:p>
            <w:pPr>
              <w:spacing w:before="60" w:after="60"/>
              <w:jc w:val="center"/>
            </w:pPr>
            <w:r>
              <w:rPr>
                <w:b/>
                <w:color w:val="1f2e38"/>
                <w:sz w:val="20"/>
              </w:rPr>
              <w:t>Sultanate of Oman</w:t>
            </w:r>
          </w:p>
        </w:tc>
        <w:tc>
          <w:tcPr>
            <w:tcW w:w="3333" w:type="dxa"/>
          </w:tcPr>
          <w:p>
            <w:pPr>
              <w:spacing w:before="60" w:after="60"/>
              <w:jc w:val="center"/>
            </w:pPr>
            <w:r>
              <w:rPr>
                <w:b/>
                <w:color w:val="1f2e38"/>
                <w:sz w:val="20"/>
              </w:rPr>
              <w:t>State of Qatar</w:t>
            </w:r>
          </w:p>
        </w:tc>
      </w:tr>
      <w:tr>
        <w:tc>
          <w:tcPr>
            <w:tcW w:w="3333" w:type="dxa"/>
          </w:tcPr>
          <w:p>
            <w:pPr>
              <w:spacing w:before="60" w:after="60"/>
              <w:jc w:val="center"/>
            </w:pPr>
            <w:r>
              <w:rPr>
                <w:color w:val="1f2e38"/>
                <w:sz w:val="20"/>
              </w:rPr>
              <w:t/>
            </w:r>
          </w:p>
        </w:tc>
        <w:tc>
          <w:tcPr>
            <w:tcW w:w="3333" w:type="dxa"/>
          </w:tcPr>
          <w:p>
            <w:pPr>
              <w:spacing w:before="60" w:after="60"/>
              <w:jc w:val="center"/>
            </w:pPr>
            <w:r>
              <w:rPr>
                <w:color w:val="1f2e38"/>
                <w:sz w:val="20"/>
              </w:rPr>
              <w:t/>
            </w:r>
          </w:p>
        </w:tc>
        <w:tc>
          <w:tcPr>
            <w:tcW w:w="3333" w:type="dxa"/>
          </w:tcPr>
          <w:p>
            <w:pPr>
              <w:spacing w:before="60" w:after="60"/>
              <w:jc w:val="center"/>
            </w:pPr>
            <w:r>
              <w:rPr>
                <w:color w:val="1f2e38"/>
                <w:sz w:val="20"/>
              </w:rPr>
              <w:t/>
            </w:r>
          </w:p>
        </w:tc>
      </w:tr>
      <w:tr>
        <w:tc>
          <w:tcPr>
            <w:tcW w:w="3333" w:type="dxa"/>
          </w:tcPr>
          <w:p>
            <w:pPr>
              <w:spacing w:before="60" w:after="60"/>
              <w:jc w:val="center"/>
            </w:pPr>
            <w:r>
              <w:rPr>
                <w:color w:val="1f2e38"/>
                <w:sz w:val="20"/>
              </w:rPr>
              <w:t/>
            </w:r>
          </w:p>
        </w:tc>
        <w:tc>
          <w:tcPr>
            <w:tcW w:w="3333" w:type="dxa"/>
          </w:tcPr>
          <w:p>
            <w:pPr>
              <w:spacing w:before="60" w:after="60"/>
              <w:jc w:val="center"/>
            </w:pPr>
            <w:r>
              <w:rPr>
                <w:color w:val="1f2e38"/>
                <w:sz w:val="20"/>
              </w:rPr>
              <w:t/>
            </w:r>
          </w:p>
        </w:tc>
        <w:tc>
          <w:tcPr>
            <w:tcW w:w="3333" w:type="dxa"/>
          </w:tcPr>
          <w:p>
            <w:pPr>
              <w:spacing w:before="60" w:after="60"/>
              <w:jc w:val="center"/>
            </w:pPr>
            <w:r>
              <w:rPr>
                <w:color w:val="1f2e38"/>
                <w:sz w:val="20"/>
              </w:rPr>
              <w:t/>
            </w:r>
          </w:p>
        </w:tc>
      </w:tr>
      <w:tr>
        <w:tc>
          <w:tcPr>
            <w:tcW w:w="3333" w:type="dxa"/>
          </w:tcPr>
          <w:p>
            <w:pPr>
              <w:spacing w:before="60" w:after="60"/>
              <w:jc w:val="center"/>
            </w:pPr>
            <w:r>
              <w:rPr>
                <w:color w:val="1f2e38"/>
                <w:sz w:val="20"/>
              </w:rPr>
              <w:t>_______________________</w:t>
            </w:r>
          </w:p>
        </w:tc>
        <w:tc>
          <w:tcPr>
            <w:tcW w:w="3333" w:type="dxa"/>
          </w:tcPr>
          <w:p>
            <w:pPr>
              <w:spacing w:before="60" w:after="60"/>
              <w:jc w:val="center"/>
            </w:pPr>
            <w:r>
              <w:rPr>
                <w:color w:val="1f2e38"/>
                <w:sz w:val="20"/>
              </w:rPr>
              <w:t>_______________________</w:t>
            </w:r>
          </w:p>
        </w:tc>
        <w:tc>
          <w:tcPr>
            <w:tcW w:w="3333" w:type="dxa"/>
          </w:tcPr>
          <w:p>
            <w:pPr>
              <w:spacing w:before="60" w:after="60"/>
              <w:jc w:val="center"/>
            </w:pPr>
            <w:r>
              <w:rPr>
                <w:color w:val="1f2e38"/>
                <w:sz w:val="20"/>
              </w:rPr>
              <w:t>_______________________</w:t>
            </w:r>
          </w:p>
        </w:tc>
      </w:tr>
      <w:tr>
        <w:tc>
          <w:tcPr>
            <w:tcW w:w="3333" w:type="dxa"/>
          </w:tcPr>
          <w:p>
            <w:pPr>
              <w:spacing w:before="60" w:after="60"/>
              <w:jc w:val="center"/>
            </w:pPr>
            <w:r>
              <w:rPr>
                <w:color w:val="1f2e38"/>
                <w:sz w:val="20"/>
              </w:rPr>
              <w:t>Minister of Foreign Affairs</w:t>
            </w:r>
          </w:p>
        </w:tc>
        <w:tc>
          <w:tcPr>
            <w:tcW w:w="3333" w:type="dxa"/>
          </w:tcPr>
          <w:p>
            <w:pPr>
              <w:spacing w:before="60" w:after="60"/>
              <w:jc w:val="center"/>
            </w:pPr>
            <w:r>
              <w:rPr>
                <w:color w:val="1f2e38"/>
                <w:sz w:val="20"/>
              </w:rPr>
              <w:t>Minister of Foreign Affairs</w:t>
            </w:r>
          </w:p>
        </w:tc>
        <w:tc>
          <w:tcPr>
            <w:tcW w:w="3333" w:type="dxa"/>
          </w:tcPr>
          <w:p>
            <w:pPr>
              <w:spacing w:before="60" w:after="60"/>
              <w:jc w:val="center"/>
            </w:pPr>
            <w:r>
              <w:rPr>
                <w:color w:val="1f2e38"/>
                <w:sz w:val="20"/>
              </w:rPr>
              <w:t>Minister of Foreign Affairs</w:t>
            </w:r>
          </w:p>
        </w:tc>
      </w:tr>
      <w:tr>
        <w:tc>
          <w:tcPr>
            <w:tcW w:w="3333" w:type="dxa"/>
          </w:tcPr>
          <w:p>
            <w:pPr>
              <w:spacing w:before="60" w:after="60"/>
              <w:jc w:val="center"/>
            </w:pPr>
            <w:r>
              <w:rPr>
                <w:color w:val="1f2e38"/>
                <w:sz w:val="20"/>
              </w:rPr>
              <w:t>Date: 12 July 2026</w:t>
            </w:r>
          </w:p>
        </w:tc>
        <w:tc>
          <w:tcPr>
            <w:tcW w:w="3333" w:type="dxa"/>
          </w:tcPr>
          <w:p>
            <w:pPr>
              <w:spacing w:before="60" w:after="60"/>
              <w:jc w:val="center"/>
            </w:pPr>
            <w:r>
              <w:rPr>
                <w:color w:val="1f2e38"/>
                <w:sz w:val="20"/>
              </w:rPr>
              <w:t>Date: 12 July 2026</w:t>
            </w:r>
          </w:p>
        </w:tc>
        <w:tc>
          <w:tcPr>
            <w:tcW w:w="3333" w:type="dxa"/>
          </w:tcPr>
          <w:p>
            <w:pPr>
              <w:spacing w:before="60" w:after="60"/>
              <w:jc w:val="center"/>
            </w:pPr>
            <w:r>
              <w:rPr>
                <w:color w:val="1f2e38"/>
                <w:sz w:val="20"/>
              </w:rPr>
              <w:t>Date: 12 July 2026</w:t>
            </w:r>
          </w:p>
        </w:tc>
      </w:tr>
    </w:tbl>
    <w:p>
      <w:pPr>
        <w:sectPr>
          <w:headerReference w:type="default" r:id="R660ccec1684c4b0f"/>
          <w:footerReference w:type="default" r:id="R56d73dc2065f424f"/>
          <w:pgSz w:w="11906" w:h="16838"/>
          <w:pgMar w:top="1800" w:right="1440" w:bottom="1440" w:left="1440" w:header="720" w:footer="720"/>
        </w:sectPr>
      </w:pPr>
    </w:p>
    <w:p>
      <w:pPr>
        <w:pBdr>
          <w:bottom w:val="single" w:color="3d5a6c" w:sz="16" w:space="10"/>
        </w:pBdr>
        <w:spacing w:before="600" w:after="0"/>
        <w:jc w:val="center"/>
      </w:pPr>
      <w:r>
        <w:rPr>
          <w:sz w:val="8"/>
        </w:rPr>
        <w:t> </w:t>
      </w:r>
    </w:p>
    <w:p>
      <w:pPr>
        <w:spacing w:before="5500"/>
      </w:pPr>
      <w:r/>
    </w:p>
    <w:p>
      <w:pPr>
        <w:spacing w:before="0"/>
        <w:jc w:val="center"/>
      </w:pPr>
      <w:r>
        <w:rPr>
          <w:b/>
          <w:color w:val="3d5a6c"/>
          <w:sz w:val="36"/>
        </w:rPr>
        <w:t>De-Escalation Confidence-Building</w:t>
      </w:r>
    </w:p>
    <w:p>
      <w:pPr>
        <w:spacing w:before="100"/>
        <w:jc w:val="center"/>
      </w:pPr>
      <w:r>
        <w:rPr>
          <w:b/>
          <w:color w:val="3d5a6c"/>
          <w:sz w:val="36"/>
        </w:rPr>
        <w:t>Measures Package</w:t>
      </w:r>
    </w:p>
    <w:p>
      <w:pPr>
        <w:spacing w:before="400"/>
        <w:jc w:val="center"/>
      </w:pPr>
      <w:r>
        <w:rPr>
          <w:i/>
          <w:color w:val="5a7d94"/>
          <w:sz w:val="20"/>
        </w:rPr>
        <w:t>A Stability-Support Annex to the Regional Maritime Framework</w:t>
      </w:r>
    </w:p>
    <w:p>
      <w:pPr>
        <w:spacing w:before="200"/>
        <w:jc w:val="center"/>
      </w:pPr>
      <w:r>
        <w:rPr>
          <w:color w:val="5a7d94"/>
          <w:sz w:val="20"/>
        </w:rPr>
        <w:t>Strait of Hormuz  ·  12 July 2026</w:t>
      </w:r>
    </w:p>
    <w:p>
      <w:pPr>
        <w:spacing w:before="200"/>
        <w:jc w:val="center"/>
      </w:pPr>
      <w:r>
        <w:rPr>
          <w:color w:val="6e8fa8"/>
          <w:sz w:val="18"/>
        </w:rPr>
        <w:t>Islamic Republic of Iran  |  Sultanate of Oman  |  State of Qatar</w:t>
      </w:r>
    </w:p>
    <w:p>
      <w:pPr>
        <w:spacing w:before="100"/>
        <w:jc w:val="center"/>
      </w:pPr>
      <w:r>
        <w:rPr>
          <w:color w:val="6e8fa8"/>
          <w:sz w:val="16"/>
        </w:rPr>
        <w:t>© 2026  –  All Rights Reserved by the Signatory States</w:t>
      </w:r>
    </w:p>
    <w:p>
      <w:pPr>
        <w:pBdr>
          <w:top w:val="single" w:color="3d5a6c" w:sz="16" w:space="10"/>
        </w:pBdr>
        <w:spacing w:before="600" w:after="0"/>
        <w:jc w:val="center"/>
      </w:pPr>
      <w:r>
        <w:rPr>
          <w:sz w:val="8"/>
        </w:rPr>
        <w:t> </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6e8fa8"/>
        <w:sz w:val="18"/>
      </w:rPr>
      <w:fldChar w:fldCharType="begin"/>
    </w:r>
    <w:r>
      <w:rPr>
        <w:color w:val="6e8fa8"/>
        <w:sz w:val="18"/>
      </w:rPr>
      <w:instrText xml:space="preserve"> PAGE </w:instrText>
    </w:r>
    <w:r>
      <w:rPr>
        <w:color w:val="6e8fa8"/>
        <w:sz w:val="18"/>
      </w:rPr>
      <w:fldChar w:fldCharType="separate"/>
    </w:r>
    <w:r>
      <w:rPr>
        <w:color w:val="6e8fa8"/>
        <w:sz w:val="18"/>
      </w:rPr>
      <w:t>1</w:t>
    </w:r>
    <w:r>
      <w:rPr>
        <w:color w:val="6e8fa8"/>
        <w:sz w:val="18"/>
      </w:rPr>
      <w:fldChar w:fldCharType="end"/>
    </w:r>
  </w:p>
</w:ftr>
</file>

<file path=word/header1.xml><?xml version="1.0" encoding="utf-8"?>
<w:hdr xmlns:w="http://schemas.openxmlformats.org/wordprocessingml/2006/main">
  <w:p>
    <w:pPr>
      <w:jc w:val="right"/>
    </w:pPr>
    <w:r>
      <w:rPr>
        <w:color w:val="6e8fa8"/>
        <w:sz w:val="18"/>
      </w:rPr>
      <w:t>De-Escalation Confidence-Building Measures Package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20" w:lineRule="auto"/>
    </w:pPr>
    <w:rPr>
      <w:rFonts w:ascii="Calibri" w:hAnsi="Calibri" w:eastAsia="Microsoft YaHei"/>
      <w:color w:val="1f2e38"/>
      <w:sz w:val="22"/>
    </w:rPr>
  </w:style>
  <w:style w:type="paragraph" w:styleId="Heading1">
    <w:name w:val="heading 1"/>
    <w:basedOn w:val="Normal"/>
    <w:pPr>
      <w:keepNext/>
      <w:keepLines/>
      <w:spacing w:before="480" w:after="240"/>
      <w:outlineLvl w:val="0"/>
    </w:pPr>
    <w:rPr>
      <w:rFonts w:ascii="Calibri" w:hAnsi="Calibri" w:eastAsia="Microsoft YaHei"/>
      <w:b/>
      <w:color w:val="3d5a6c"/>
      <w:sz w:val="36"/>
    </w:rPr>
  </w:style>
  <w:style w:type="paragraph" w:styleId="Heading2">
    <w:name w:val="heading 2"/>
    <w:basedOn w:val="Normal"/>
    <w:pPr>
      <w:keepNext/>
      <w:keepLines/>
      <w:spacing w:before="360" w:after="160"/>
      <w:outlineLvl w:val="1"/>
    </w:pPr>
    <w:rPr>
      <w:rFonts w:ascii="Calibri" w:hAnsi="Calibri" w:eastAsia="Microsoft YaHei"/>
      <w:b/>
      <w:color w:val="1f2e38"/>
      <w:sz w:val="28"/>
    </w:rPr>
  </w:style>
  <w:style w:type="paragraph" w:styleId="Heading3">
    <w:name w:val="heading 3"/>
    <w:basedOn w:val="Normal"/>
    <w:pPr>
      <w:keepNext/>
      <w:keepLines/>
      <w:spacing w:before="280" w:after="120"/>
      <w:outlineLvl w:val="2"/>
    </w:pPr>
    <w:rPr>
      <w:rFonts w:ascii="Calibri" w:hAnsi="Calibri" w:eastAsia="Microsoft YaHei"/>
      <w:b/>
      <w:color w:val="5a7d94"/>
      <w:sz w:val="24"/>
    </w:rPr>
  </w:style>
  <w:style w:type="paragraph" w:styleId="Caption">
    <w:name w:val="Caption"/>
    <w:basedOn w:val="Normal"/>
    <w:pPr>
      <w:spacing w:before="60" w:after="320"/>
      <w:jc w:val="center"/>
    </w:pPr>
    <w:rPr>
      <w:color w:val="6e8fa8"/>
      <w:sz w:val="20"/>
    </w:rPr>
  </w:style>
  <w:style w:type="paragraph" w:styleId="TOC1">
    <w:name w:val="toc 1"/>
    <w:basedOn w:val="Normal"/>
    <w:pPr>
      <w:tabs>
        <w:tab w:val="right" w:leader="dot" w:pos="9350"/>
      </w:tabs>
      <w:spacing w:before="200" w:after="60"/>
      <w:ind w:left="0"/>
    </w:pPr>
    <w:rPr>
      <w:b/>
      <w:color w:val="1f2e38"/>
    </w:rPr>
  </w:style>
  <w:style w:type="paragraph" w:styleId="TOC2">
    <w:name w:val="toc 2"/>
    <w:basedOn w:val="Normal"/>
    <w:pPr>
      <w:tabs>
        <w:tab w:val="right" w:leader="dot" w:pos="9350"/>
      </w:tabs>
      <w:spacing w:before="60" w:after="60"/>
      <w:ind w:left="360"/>
    </w:pPr>
    <w:rPr>
      <w:color w:val="5a7d94"/>
    </w:rPr>
  </w:style>
</w:styles>
</file>

<file path=word/_rels/document.xml.rels><?xml version='1.0' encoding='UTF-8'?>
<Relationships xmlns="http://schemas.openxmlformats.org/package/2006/relationships"><Relationship Type="http://schemas.openxmlformats.org/officeDocument/2006/relationships/styles" Target="styles.xml" Id="R69c9a089460a45e9" /><Relationship Type="http://schemas.openxmlformats.org/officeDocument/2006/relationships/numbering" Target="numbering.xml" Id="R7fface9199a74873" /><Relationship Type="http://schemas.openxmlformats.org/officeDocument/2006/relationships/header" Target="header1.xml" Id="R660ccec1684c4b0f" /><Relationship Type="http://schemas.openxmlformats.org/officeDocument/2006/relationships/footer" Target="footer1.xml" Id="R56d73dc2065f424f" /><Relationship Type="http://schemas.openxmlformats.org/officeDocument/2006/relationships/settings" Target="settings.xml" Id="Rb1d7bbd95c2a4195" /></Relationships>
</file>