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5D0BA" w14:textId="77777777" w:rsidR="0067679C" w:rsidRDefault="0067679C">
      <w:pPr>
        <w:pBdr>
          <w:bottom w:val="single" w:sz="12" w:space="10" w:color="2C4A5C"/>
        </w:pBdr>
        <w:spacing w:before="600" w:after="0"/>
        <w:jc w:val="center"/>
      </w:pPr>
    </w:p>
    <w:p w14:paraId="54F575C4" w14:textId="77777777" w:rsidR="0067679C" w:rsidRDefault="0067679C">
      <w:pPr>
        <w:spacing w:before="5000"/>
      </w:pPr>
    </w:p>
    <w:p w14:paraId="67B3C654" w14:textId="77777777" w:rsidR="0067679C" w:rsidRDefault="00000000">
      <w:pPr>
        <w:jc w:val="center"/>
      </w:pPr>
      <w:r>
        <w:rPr>
          <w:b/>
          <w:color w:val="2C4A5C"/>
          <w:spacing w:val="30"/>
          <w:sz w:val="72"/>
        </w:rPr>
        <w:t>Regional Maritime</w:t>
      </w:r>
    </w:p>
    <w:p w14:paraId="76CC7475" w14:textId="77777777" w:rsidR="0067679C" w:rsidRDefault="00000000">
      <w:pPr>
        <w:spacing w:after="400"/>
        <w:jc w:val="center"/>
      </w:pPr>
      <w:r>
        <w:rPr>
          <w:b/>
          <w:color w:val="2C4A5C"/>
          <w:spacing w:val="30"/>
          <w:sz w:val="72"/>
        </w:rPr>
        <w:t>Stability Joint</w:t>
      </w:r>
    </w:p>
    <w:p w14:paraId="1C9C9495" w14:textId="77777777" w:rsidR="0067679C" w:rsidRDefault="00000000">
      <w:pPr>
        <w:spacing w:after="600"/>
        <w:jc w:val="center"/>
      </w:pPr>
      <w:r>
        <w:rPr>
          <w:b/>
          <w:color w:val="2C4A5C"/>
          <w:spacing w:val="30"/>
          <w:sz w:val="72"/>
        </w:rPr>
        <w:t>Communiqué</w:t>
      </w:r>
    </w:p>
    <w:p w14:paraId="3DFCD725" w14:textId="77777777" w:rsidR="0067679C" w:rsidRDefault="00000000">
      <w:pPr>
        <w:jc w:val="center"/>
      </w:pPr>
      <w:r>
        <w:rPr>
          <w:color w:val="5A7A8C"/>
          <w:spacing w:val="40"/>
          <w:sz w:val="24"/>
        </w:rPr>
        <w:t>Strait of Hormuz</w:t>
      </w:r>
    </w:p>
    <w:p w14:paraId="27D67711" w14:textId="77777777" w:rsidR="0067679C" w:rsidRDefault="00000000">
      <w:pPr>
        <w:spacing w:after="3000"/>
        <w:jc w:val="center"/>
      </w:pPr>
      <w:r>
        <w:rPr>
          <w:color w:val="647786"/>
        </w:rPr>
        <w:t>12 July 2026</w:t>
      </w:r>
    </w:p>
    <w:p w14:paraId="69A28BBC" w14:textId="77777777" w:rsidR="0067679C" w:rsidRDefault="00000000">
      <w:pPr>
        <w:spacing w:after="120"/>
        <w:jc w:val="center"/>
      </w:pPr>
      <w:r>
        <w:rPr>
          <w:color w:val="647786"/>
          <w:sz w:val="20"/>
        </w:rPr>
        <w:t xml:space="preserve">Islamic Republic of </w:t>
      </w:r>
      <w:proofErr w:type="gramStart"/>
      <w:r>
        <w:rPr>
          <w:color w:val="647786"/>
          <w:sz w:val="20"/>
        </w:rPr>
        <w:t>Iran  |</w:t>
      </w:r>
      <w:proofErr w:type="gramEnd"/>
      <w:r>
        <w:rPr>
          <w:color w:val="647786"/>
          <w:sz w:val="20"/>
        </w:rPr>
        <w:t xml:space="preserve">  Sultanate of </w:t>
      </w:r>
      <w:proofErr w:type="gramStart"/>
      <w:r>
        <w:rPr>
          <w:color w:val="647786"/>
          <w:sz w:val="20"/>
        </w:rPr>
        <w:t>Oman  |</w:t>
      </w:r>
      <w:proofErr w:type="gramEnd"/>
      <w:r>
        <w:rPr>
          <w:color w:val="647786"/>
          <w:sz w:val="20"/>
        </w:rPr>
        <w:t xml:space="preserve">  State of Qatar</w:t>
      </w:r>
    </w:p>
    <w:p w14:paraId="1BD78CDB" w14:textId="77777777" w:rsidR="0067679C" w:rsidRDefault="00000000">
      <w:pPr>
        <w:jc w:val="center"/>
      </w:pPr>
      <w:r>
        <w:rPr>
          <w:color w:val="647786"/>
          <w:sz w:val="18"/>
        </w:rPr>
        <w:t>With Acknowledgment from Concerned External Parties</w:t>
      </w:r>
    </w:p>
    <w:p w14:paraId="31C88718" w14:textId="77777777" w:rsidR="0067679C" w:rsidRDefault="0067679C">
      <w:pPr>
        <w:sectPr w:rsidR="0067679C">
          <w:pgSz w:w="11906" w:h="16838"/>
          <w:pgMar w:top="0" w:right="0" w:bottom="0" w:left="0" w:header="0" w:footer="0" w:gutter="0"/>
          <w:cols w:space="720"/>
          <w:titlePg/>
        </w:sectPr>
      </w:pPr>
    </w:p>
    <w:p w14:paraId="74F3722A" w14:textId="77777777" w:rsidR="0067679C" w:rsidRDefault="00000000" w:rsidP="00DD441B">
      <w:pPr>
        <w:spacing w:before="400" w:after="400"/>
      </w:pPr>
      <w:r>
        <w:rPr>
          <w:b/>
          <w:color w:val="2C4A5C"/>
          <w:sz w:val="32"/>
        </w:rPr>
        <w:lastRenderedPageBreak/>
        <w:t>Table of Contents</w:t>
      </w:r>
    </w:p>
    <w:p w14:paraId="6B96D5EB" w14:textId="77777777" w:rsidR="0067679C" w:rsidRDefault="00000000">
      <w:r>
        <w:fldChar w:fldCharType="begin"/>
      </w:r>
      <w:r>
        <w:instrText xml:space="preserve"> TOC \o "1-3" \h \z \u </w:instrText>
      </w:r>
      <w:r>
        <w:fldChar w:fldCharType="separate"/>
      </w:r>
    </w:p>
    <w:p w14:paraId="14998851" w14:textId="77777777" w:rsidR="0067679C" w:rsidRDefault="00000000">
      <w:pPr>
        <w:pStyle w:val="TOC1"/>
      </w:pPr>
      <w:r>
        <w:t>Preamble &amp; Legal Foundations</w:t>
      </w:r>
      <w:r>
        <w:tab/>
        <w:t>3</w:t>
      </w:r>
    </w:p>
    <w:p w14:paraId="610F4D49" w14:textId="77777777" w:rsidR="0067679C" w:rsidRDefault="00000000">
      <w:pPr>
        <w:pStyle w:val="TOC1"/>
      </w:pPr>
      <w:r>
        <w:t>Commitment to Safe Navigation</w:t>
      </w:r>
      <w:r>
        <w:tab/>
        <w:t>5</w:t>
      </w:r>
    </w:p>
    <w:p w14:paraId="2314DCC3" w14:textId="77777777" w:rsidR="0067679C" w:rsidRDefault="00000000">
      <w:pPr>
        <w:pStyle w:val="TOC1"/>
      </w:pPr>
      <w:r>
        <w:t>Non-Endangerment Clause</w:t>
      </w:r>
      <w:r>
        <w:tab/>
        <w:t>7</w:t>
      </w:r>
    </w:p>
    <w:p w14:paraId="7265E640" w14:textId="77777777" w:rsidR="0067679C" w:rsidRDefault="00000000">
      <w:pPr>
        <w:pStyle w:val="TOC1"/>
      </w:pPr>
      <w:r>
        <w:t>Transit Fee Arrangements</w:t>
      </w:r>
      <w:r>
        <w:tab/>
        <w:t>9</w:t>
      </w:r>
    </w:p>
    <w:p w14:paraId="4A3F150B" w14:textId="77777777" w:rsidR="0067679C" w:rsidRDefault="00000000">
      <w:pPr>
        <w:pStyle w:val="TOC1"/>
      </w:pPr>
      <w:r>
        <w:t>Regional Cooperation Mechanism</w:t>
      </w:r>
      <w:r>
        <w:tab/>
        <w:t>11</w:t>
      </w:r>
    </w:p>
    <w:p w14:paraId="71172122" w14:textId="77777777" w:rsidR="0067679C" w:rsidRDefault="00000000">
      <w:pPr>
        <w:pStyle w:val="TOC1"/>
      </w:pPr>
      <w:r>
        <w:t>Verification &amp; Monitoring Protocol</w:t>
      </w:r>
      <w:r>
        <w:tab/>
        <w:t>13</w:t>
      </w:r>
    </w:p>
    <w:p w14:paraId="1F5F02E6" w14:textId="77777777" w:rsidR="0067679C" w:rsidRDefault="00000000">
      <w:pPr>
        <w:pStyle w:val="TOC1"/>
      </w:pPr>
      <w:r>
        <w:t>De-Escalation &amp; Stability Clause</w:t>
      </w:r>
      <w:r>
        <w:tab/>
        <w:t>15</w:t>
      </w:r>
    </w:p>
    <w:p w14:paraId="1AFEFA9D" w14:textId="77777777" w:rsidR="0067679C" w:rsidRDefault="00000000">
      <w:pPr>
        <w:pStyle w:val="TOC1"/>
      </w:pPr>
      <w:r>
        <w:t>Sovereignty &amp; Mutual Respect Statement</w:t>
      </w:r>
      <w:r>
        <w:tab/>
        <w:t>17</w:t>
      </w:r>
    </w:p>
    <w:p w14:paraId="42E11055" w14:textId="77777777" w:rsidR="0067679C" w:rsidRDefault="00000000">
      <w:r>
        <w:fldChar w:fldCharType="end"/>
      </w:r>
    </w:p>
    <w:p w14:paraId="4F3C68AA" w14:textId="77777777" w:rsidR="0067679C" w:rsidRDefault="0067679C">
      <w:pPr>
        <w:sectPr w:rsidR="0067679C">
          <w:pgSz w:w="11906" w:h="16838"/>
          <w:pgMar w:top="1800" w:right="1440" w:bottom="1440" w:left="1440" w:header="720" w:footer="720" w:gutter="0"/>
          <w:cols w:space="720"/>
        </w:sectPr>
      </w:pPr>
    </w:p>
    <w:p w14:paraId="5B882F27" w14:textId="77777777" w:rsidR="0067679C" w:rsidRDefault="00000000">
      <w:pPr>
        <w:pStyle w:val="Heading1"/>
      </w:pPr>
      <w:r>
        <w:lastRenderedPageBreak/>
        <w:t>1. Preamble &amp; Legal Foundations</w:t>
      </w:r>
      <w:bookmarkStart w:id="0" w:name="_Toc001"/>
      <w:bookmarkEnd w:id="0"/>
    </w:p>
    <w:p w14:paraId="1285CC81" w14:textId="77777777" w:rsidR="0067679C" w:rsidRDefault="00000000">
      <w:r>
        <w:t>The Signatories reaffirm their commitment to maritime safety and navigational security in the Strait of Hormuz. The international maritime community continues to benefit from established safety standards, including the International Convention for the Safety of Life at Sea, the International Regulations for Preventing Collisions at Sea, and the International Convention on Standards of Training, Certification and Watchkeeping for Seafarers. The framework architecture of this Communiqué rests upon these technical maritime foundations.</w:t>
      </w:r>
    </w:p>
    <w:p w14:paraId="32032278" w14:textId="77777777" w:rsidR="0067679C" w:rsidRDefault="00000000">
      <w:r>
        <w:t>This Communiqué reaffirms existing understandings and practices among the coastal states and the broader maritime community. This Communiqué introduces no new legal obligations. This Communiqué modifies no sovereign positions. This document constitutes a shared expression of commitment to regional stability and safe passage.</w:t>
      </w:r>
    </w:p>
    <w:p w14:paraId="3D4E1283" w14:textId="77777777" w:rsidR="0067679C" w:rsidRDefault="00000000">
      <w:r>
        <w:t>The Signatories emphasize their shared responsibility as littoral states and regional stakeholders for ensuring the stability and security of this vital waterway. Regional stewardship of the Strait of Hormuz serves the interests of the international community and the global economy.</w:t>
      </w:r>
    </w:p>
    <w:p w14:paraId="7728F8EA" w14:textId="77777777" w:rsidR="0067679C" w:rsidRDefault="00000000">
      <w:r>
        <w:t>This Communiqué contains no attribution of responsibility for past events. This document references no specific incident or trigger. The Signatories frame this instrument as a forward-looking contribution to regional stability, grounded in technical maritime cooperation and the shared interest of all states in safe and secure navigation.</w:t>
      </w:r>
    </w:p>
    <w:p w14:paraId="79E2143A" w14:textId="77777777" w:rsidR="0067679C" w:rsidRDefault="00000000">
      <w:pPr>
        <w:pStyle w:val="Heading1"/>
      </w:pPr>
      <w:r>
        <w:t>2. Commitment to Safe Navigation</w:t>
      </w:r>
      <w:bookmarkStart w:id="1" w:name="_Toc002"/>
      <w:bookmarkEnd w:id="1"/>
    </w:p>
    <w:p w14:paraId="712EF293" w14:textId="77777777" w:rsidR="0067679C" w:rsidRDefault="00000000">
      <w:r>
        <w:t>The Signatories confirm that all navigational channels through the Strait of Hormuz remain open to commercial maritime traffic. Commercial vessels transit these waterways in accordance with established routing protocols and international maritime safety standards.</w:t>
      </w:r>
    </w:p>
    <w:p w14:paraId="311CD4D5" w14:textId="77777777" w:rsidR="0067679C" w:rsidRDefault="00000000">
      <w:r>
        <w:t>The framework architecture guarantees safe passage for all commercial vessels, regardless of flag state, cargo, or destination, if such vessels observe applicable navigational and safety regulations. Commercial transit operates under a protocol of absolute non-interdiction within the framework.</w:t>
      </w:r>
    </w:p>
    <w:p w14:paraId="3A1DCAB8" w14:textId="77777777" w:rsidR="0067679C" w:rsidRDefault="00000000">
      <w:r>
        <w:t xml:space="preserve">The Signatories recognize the Strait of Hormuz as a waterway of critical importance to global energy security and international trade. Uninterrupted commercial navigation through this strait serves the interests of all nations. The Signatories </w:t>
      </w:r>
      <w:proofErr w:type="gramStart"/>
      <w:r>
        <w:t>commit to the principle that the strait functions as an open conduit for legitimate commercial traffic at all times</w:t>
      </w:r>
      <w:proofErr w:type="gramEnd"/>
      <w:r>
        <w:t>.</w:t>
      </w:r>
    </w:p>
    <w:p w14:paraId="23F6B86E" w14:textId="77777777" w:rsidR="0067679C" w:rsidRDefault="00000000">
      <w:r>
        <w:lastRenderedPageBreak/>
        <w:t>Coastal states coordinate navigational safety measures through established channels. Maritime authorities issue regular guidance to vessel operators and maintain communication protocols that support safe transit. The Signatories affirm their intention to preserve the operational integrity of all designated shipping lanes and transit corridors.</w:t>
      </w:r>
    </w:p>
    <w:p w14:paraId="4B0E27A8" w14:textId="77777777" w:rsidR="0067679C" w:rsidRDefault="00000000">
      <w:pPr>
        <w:pStyle w:val="Heading1"/>
      </w:pPr>
      <w:r>
        <w:t>3. Non-Endangerment Clause</w:t>
      </w:r>
      <w:bookmarkStart w:id="2" w:name="_Toc003"/>
      <w:bookmarkEnd w:id="2"/>
    </w:p>
    <w:p w14:paraId="79142DBF" w14:textId="77777777" w:rsidR="0067679C" w:rsidRDefault="00000000">
      <w:r>
        <w:t>The framework architecture excludes all actions that threaten or endanger commercial vessels transiting the Strait of Hormuz. The Signatories commit to the principle that commercial shipping operates free from harassment, interference, or hostile activity.</w:t>
      </w:r>
    </w:p>
    <w:p w14:paraId="162BF0CD" w14:textId="77777777" w:rsidR="0067679C" w:rsidRDefault="00000000">
      <w:r>
        <w:t>All parties to this Communiqué, including coastal states and regional stakeholders, observe the standard that maritime safety and the protection of civilian navigation take precedence over all other considerations. The Signatories link this commitment to established maritime safety norms and the universal interest in unimpeded commercial transit.</w:t>
      </w:r>
    </w:p>
    <w:p w14:paraId="2EC1980E" w14:textId="77777777" w:rsidR="0067679C" w:rsidRDefault="00000000">
      <w:r>
        <w:t>The framework incorporates a shared understanding that any activity endangering commercial vessels contradicts the objectives of this Communiqué and destabilizes regional security. The Signatories reject any action that places civilian seafarers at risk or disrupts the free flow of legitimate commerce through international waterways.</w:t>
      </w:r>
    </w:p>
    <w:p w14:paraId="53F311AC" w14:textId="77777777" w:rsidR="0067679C" w:rsidRDefault="00000000">
      <w:r>
        <w:t>This clause binds all Signatories equally. No party enjoys exemption from the non-endangerment standard. All participants in this framework bear equal responsibility for upholding the safety and security of commercial navigation in the Strait of Hormuz.</w:t>
      </w:r>
    </w:p>
    <w:p w14:paraId="2EF9E35B" w14:textId="77777777" w:rsidR="0067679C" w:rsidRDefault="00000000">
      <w:pPr>
        <w:pStyle w:val="Heading1"/>
      </w:pPr>
      <w:r>
        <w:t>4. Transit Fee Arrangements</w:t>
      </w:r>
      <w:bookmarkStart w:id="3" w:name="_Toc004"/>
      <w:bookmarkEnd w:id="3"/>
    </w:p>
    <w:p w14:paraId="4393D4CD" w14:textId="77777777" w:rsidR="0067679C" w:rsidRDefault="00000000">
      <w:r>
        <w:t>The Signatories confirm that the current transit framework operates without imposition of tolls or fees on commercial vessels during the present operational period. This arrangement adheres to international maritime practice and reflects the policy in effect under existing regional understandings.</w:t>
      </w:r>
    </w:p>
    <w:p w14:paraId="1957A5E6" w14:textId="77777777" w:rsidR="0067679C" w:rsidRDefault="00000000">
      <w:r>
        <w:t>The Signatories position this arrangement as a continuation of existing practice. The Joint Working Group under the Oman-Iran coordination framework manages discussions regarding future maritime service fee structures. Any future fee arrangement requires the consensus of all parties and conforms to applicable international standards governing transit through international straits.</w:t>
      </w:r>
    </w:p>
    <w:p w14:paraId="528431D5" w14:textId="77777777" w:rsidR="0067679C" w:rsidRDefault="00000000">
      <w:r>
        <w:t xml:space="preserve">This provision introduces no permanent commitment regarding fee structures. This provision implies no judgment about the appropriateness of future service-based charges. The Signatories agree that </w:t>
      </w:r>
      <w:r>
        <w:lastRenderedPageBreak/>
        <w:t>any future fee regime, if established, operates transparently, applies without discrimination, and relates solely to navigational services rendered.</w:t>
      </w:r>
    </w:p>
    <w:p w14:paraId="3478AAF2" w14:textId="77777777" w:rsidR="0067679C" w:rsidRDefault="00000000">
      <w:pPr>
        <w:pStyle w:val="Heading1"/>
      </w:pPr>
      <w:r>
        <w:t>5. Regional Cooperation Mechanism</w:t>
      </w:r>
      <w:bookmarkStart w:id="4" w:name="_Toc005"/>
      <w:bookmarkEnd w:id="4"/>
    </w:p>
    <w:p w14:paraId="1442D557" w14:textId="77777777" w:rsidR="0067679C" w:rsidRDefault="00000000">
      <w:r>
        <w:t>The Signatories formally acknowledge the Sultanate of Oman and the State of Qatar as facilitators of regional maritime safety coordination. Oman and Qatar provide diplomatic channels, verification services, and operational coordination support to all parties.</w:t>
      </w:r>
    </w:p>
    <w:p w14:paraId="62FF32C2" w14:textId="77777777" w:rsidR="0067679C" w:rsidRDefault="00000000">
      <w:r>
        <w:t>The framework architecture emphasizes regional ownership of maritime safety arrangements. External actors support this regional mechanism but do not direct its operations. The Signatories highlight mutual benefit and shared stewardship as the guiding principles of this cooperation.</w:t>
      </w:r>
    </w:p>
    <w:p w14:paraId="734B399B" w14:textId="77777777" w:rsidR="0067679C" w:rsidRDefault="00000000">
      <w:r>
        <w:t>Cooperative maritime safety coordination proceeds through established diplomatic channels, with Oman serving as the primary verification channel and Qatar providing supplementary facilitation and oversight functions. This structure preserves the regional character of the framework and ensures that coastal states retain primary responsibility for strait management.</w:t>
      </w:r>
    </w:p>
    <w:p w14:paraId="27EDD630" w14:textId="77777777" w:rsidR="0067679C" w:rsidRDefault="00000000">
      <w:r>
        <w:t>The Signatories affirm that regional cooperation in maritime safety strengthens the stability of the Persian Gulf and serves the long-term interests of all littoral states. This cooperation rests upon the principle that the states of the region possess both the capacity and the primary responsibility for managing the safety and security of their shared waterways.</w:t>
      </w:r>
    </w:p>
    <w:p w14:paraId="6A3EB20C" w14:textId="77777777" w:rsidR="0067679C" w:rsidRDefault="00000000">
      <w:pPr>
        <w:pStyle w:val="Heading1"/>
      </w:pPr>
      <w:r>
        <w:t>6. Verification &amp; Monitoring Protocol</w:t>
      </w:r>
      <w:bookmarkStart w:id="5" w:name="_Toc006"/>
      <w:bookmarkEnd w:id="5"/>
    </w:p>
    <w:p w14:paraId="0241628F" w14:textId="77777777" w:rsidR="0067679C" w:rsidRDefault="00000000">
      <w:r>
        <w:t>A Qatar-led mechanism monitors vessel safety and transit conditions in the Strait of Hormuz. This mechanism operates on a non-intrusive, non-punitive basis. Its structure emphasizes observation, reporting, and consultation rather than enforcement or penalty.</w:t>
      </w:r>
    </w:p>
    <w:p w14:paraId="216EC684" w14:textId="77777777" w:rsidR="0067679C" w:rsidRDefault="00000000">
      <w:r>
        <w:t>The monitoring protocol incorporates reporting procedures that route all communications through Omani and Qatari channels. This design avoids direct interaction between parties that do not maintain formal diplomatic relations. The framework respects the sovereignty of all Signatories and operates with the consent of the coastal states.</w:t>
      </w:r>
    </w:p>
    <w:p w14:paraId="31C28322" w14:textId="77777777" w:rsidR="0067679C" w:rsidRDefault="00000000">
      <w:r>
        <w:t>Qatar submits regular assessments to the Joint Working Group. Oman corroborates these assessments through its independent radar and maritime surveillance capabilities. Discrepancies trigger consultation procedures rather than punitive measures.</w:t>
      </w:r>
    </w:p>
    <w:p w14:paraId="0E2D7D48" w14:textId="77777777" w:rsidR="0067679C" w:rsidRDefault="00000000">
      <w:r>
        <w:lastRenderedPageBreak/>
        <w:t>The verification architecture functions as a confidence-building instrument. It produces transparency without compulsion. It generates information without imposing judgment. The Signatories retain full discretion in their responses to monitoring reports and consultation requests.</w:t>
      </w:r>
    </w:p>
    <w:p w14:paraId="022BE30A" w14:textId="77777777" w:rsidR="0067679C" w:rsidRDefault="00000000">
      <w:pPr>
        <w:pStyle w:val="Heading1"/>
      </w:pPr>
      <w:r>
        <w:t>7. De-Escalation &amp; Stability Clause</w:t>
      </w:r>
      <w:bookmarkStart w:id="6" w:name="_Toc007"/>
      <w:bookmarkEnd w:id="6"/>
    </w:p>
    <w:p w14:paraId="68B1ACBB" w14:textId="77777777" w:rsidR="0067679C" w:rsidRDefault="00000000">
      <w:r>
        <w:t>The Signatories commit to reducing tensions in the Persian Gulf and the Strait of Hormuz. This commitment manifests through predictable naval operations, transparent communication, and adherence to established maritime safety protocols.</w:t>
      </w:r>
    </w:p>
    <w:p w14:paraId="033C6153" w14:textId="77777777" w:rsidR="0067679C" w:rsidRDefault="00000000">
      <w:r>
        <w:t>The framework architecture includes communication channels and hotline arrangements between the coastal states and regional facilitators. These channels operate continuously to prevent misunderstandings, address incidental contacts, and reduce the risk of accidental escalation.</w:t>
      </w:r>
    </w:p>
    <w:p w14:paraId="3E6E5A09" w14:textId="77777777" w:rsidR="0067679C" w:rsidRDefault="00000000">
      <w:r>
        <w:t>Regional stability serves as a collective interest of all Signatories. The Signatories recognize that sustained de-escalation depends upon ongoing dialogue, mutual transparency, and consistent adherence to the protocols established in this Communiqué.</w:t>
      </w:r>
    </w:p>
    <w:p w14:paraId="2A80DD8B" w14:textId="77777777" w:rsidR="0067679C" w:rsidRDefault="00000000">
      <w:r>
        <w:t>The Signatories affirm their shared determination to prevent the Strait of Hormuz from becoming an arena of confrontation. This determination reflects the understanding that economic prosperity, energy security, and human safety all depend upon the uninterrupted functioning of this vital waterway.</w:t>
      </w:r>
    </w:p>
    <w:p w14:paraId="2CBFF8E9" w14:textId="77777777" w:rsidR="0067679C" w:rsidRDefault="00000000">
      <w:pPr>
        <w:pStyle w:val="Heading1"/>
      </w:pPr>
      <w:r>
        <w:t>8. Sovereignty &amp; Mutual Respect Statement</w:t>
      </w:r>
      <w:bookmarkStart w:id="7" w:name="_Toc008"/>
      <w:bookmarkEnd w:id="7"/>
    </w:p>
    <w:p w14:paraId="5BBCCD32" w14:textId="77777777" w:rsidR="0067679C" w:rsidRDefault="00000000">
      <w:r>
        <w:t>The Signatories affirm the national sovereignty and territorial integrity of all states in the region. This Communiqué alters no sovereign claims, legal positions, or maritime entitlements. Each Signatory retains its full rights under international law and its established positions regarding the legal regime of the Strait of Hormuz.</w:t>
      </w:r>
    </w:p>
    <w:p w14:paraId="7518ED19" w14:textId="77777777" w:rsidR="0067679C" w:rsidRDefault="00000000">
      <w:r>
        <w:t>The commitments in this Communiqué remain voluntary and cooperative in character. No Signatory subordinates its sovereignty to any other party or entity. The framework architecture treats all Signatories as equal partners in a shared enterprise of regional stability.</w:t>
      </w:r>
    </w:p>
    <w:p w14:paraId="584CD489" w14:textId="77777777" w:rsidR="0067679C" w:rsidRDefault="00000000">
      <w:r>
        <w:t>This document closes with an affirmation of mutual respect, shared purpose, and enduring regional partnership. The Signatories express their collective determination to preserve the Strait of Hormuz as a stable, secure, and open waterway for the benefit of all nations.</w:t>
      </w:r>
    </w:p>
    <w:p w14:paraId="168280BC" w14:textId="77777777" w:rsidR="0067679C" w:rsidRDefault="0067679C">
      <w:pPr>
        <w:spacing w:before="600"/>
      </w:pP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3016"/>
        <w:gridCol w:w="3015"/>
        <w:gridCol w:w="3015"/>
      </w:tblGrid>
      <w:tr w:rsidR="0067679C" w14:paraId="789B92A1" w14:textId="77777777">
        <w:tblPrEx>
          <w:tblCellMar>
            <w:top w:w="0" w:type="dxa"/>
            <w:bottom w:w="0" w:type="dxa"/>
          </w:tblCellMar>
        </w:tblPrEx>
        <w:tc>
          <w:tcPr>
            <w:tcW w:w="3333" w:type="dxa"/>
          </w:tcPr>
          <w:p w14:paraId="27917488" w14:textId="77777777" w:rsidR="0067679C" w:rsidRDefault="00000000">
            <w:pPr>
              <w:spacing w:before="60" w:after="60"/>
              <w:jc w:val="center"/>
            </w:pPr>
            <w:r>
              <w:rPr>
                <w:b/>
                <w:sz w:val="20"/>
              </w:rPr>
              <w:t>Islamic Republic of Iran</w:t>
            </w:r>
          </w:p>
        </w:tc>
        <w:tc>
          <w:tcPr>
            <w:tcW w:w="3333" w:type="dxa"/>
          </w:tcPr>
          <w:p w14:paraId="12303CC8" w14:textId="77777777" w:rsidR="0067679C" w:rsidRDefault="00000000">
            <w:pPr>
              <w:spacing w:before="60" w:after="60"/>
              <w:jc w:val="center"/>
            </w:pPr>
            <w:r>
              <w:rPr>
                <w:b/>
                <w:sz w:val="20"/>
              </w:rPr>
              <w:t>Sultanate of Oman</w:t>
            </w:r>
          </w:p>
        </w:tc>
        <w:tc>
          <w:tcPr>
            <w:tcW w:w="3333" w:type="dxa"/>
          </w:tcPr>
          <w:p w14:paraId="5F98810C" w14:textId="77777777" w:rsidR="0067679C" w:rsidRDefault="00000000">
            <w:pPr>
              <w:spacing w:before="60" w:after="60"/>
              <w:jc w:val="center"/>
            </w:pPr>
            <w:r>
              <w:rPr>
                <w:b/>
                <w:sz w:val="20"/>
              </w:rPr>
              <w:t>State of Qatar</w:t>
            </w:r>
          </w:p>
        </w:tc>
      </w:tr>
      <w:tr w:rsidR="0067679C" w14:paraId="4661556D" w14:textId="77777777">
        <w:tblPrEx>
          <w:tblCellMar>
            <w:top w:w="0" w:type="dxa"/>
            <w:bottom w:w="0" w:type="dxa"/>
          </w:tblCellMar>
        </w:tblPrEx>
        <w:tc>
          <w:tcPr>
            <w:tcW w:w="3333" w:type="dxa"/>
          </w:tcPr>
          <w:p w14:paraId="03553290" w14:textId="77777777" w:rsidR="0067679C" w:rsidRDefault="0067679C">
            <w:pPr>
              <w:spacing w:before="60" w:after="60"/>
              <w:jc w:val="center"/>
            </w:pPr>
          </w:p>
        </w:tc>
        <w:tc>
          <w:tcPr>
            <w:tcW w:w="3333" w:type="dxa"/>
          </w:tcPr>
          <w:p w14:paraId="76816C64" w14:textId="77777777" w:rsidR="0067679C" w:rsidRDefault="0067679C">
            <w:pPr>
              <w:spacing w:before="60" w:after="60"/>
              <w:jc w:val="center"/>
            </w:pPr>
          </w:p>
        </w:tc>
        <w:tc>
          <w:tcPr>
            <w:tcW w:w="3333" w:type="dxa"/>
          </w:tcPr>
          <w:p w14:paraId="5E282D5E" w14:textId="77777777" w:rsidR="0067679C" w:rsidRDefault="0067679C">
            <w:pPr>
              <w:spacing w:before="60" w:after="60"/>
              <w:jc w:val="center"/>
            </w:pPr>
          </w:p>
        </w:tc>
      </w:tr>
      <w:tr w:rsidR="0067679C" w14:paraId="5C8A5780" w14:textId="77777777">
        <w:tblPrEx>
          <w:tblCellMar>
            <w:top w:w="0" w:type="dxa"/>
            <w:bottom w:w="0" w:type="dxa"/>
          </w:tblCellMar>
        </w:tblPrEx>
        <w:tc>
          <w:tcPr>
            <w:tcW w:w="3333" w:type="dxa"/>
          </w:tcPr>
          <w:p w14:paraId="1F170E1E" w14:textId="77777777" w:rsidR="0067679C" w:rsidRDefault="0067679C">
            <w:pPr>
              <w:spacing w:before="60" w:after="60"/>
              <w:jc w:val="center"/>
            </w:pPr>
          </w:p>
        </w:tc>
        <w:tc>
          <w:tcPr>
            <w:tcW w:w="3333" w:type="dxa"/>
          </w:tcPr>
          <w:p w14:paraId="52854E5E" w14:textId="77777777" w:rsidR="0067679C" w:rsidRDefault="0067679C">
            <w:pPr>
              <w:spacing w:before="60" w:after="60"/>
              <w:jc w:val="center"/>
            </w:pPr>
          </w:p>
        </w:tc>
        <w:tc>
          <w:tcPr>
            <w:tcW w:w="3333" w:type="dxa"/>
          </w:tcPr>
          <w:p w14:paraId="5F1C5233" w14:textId="77777777" w:rsidR="0067679C" w:rsidRDefault="0067679C">
            <w:pPr>
              <w:spacing w:before="60" w:after="60"/>
              <w:jc w:val="center"/>
            </w:pPr>
          </w:p>
        </w:tc>
      </w:tr>
      <w:tr w:rsidR="0067679C" w14:paraId="16012621" w14:textId="77777777">
        <w:tblPrEx>
          <w:tblCellMar>
            <w:top w:w="0" w:type="dxa"/>
            <w:bottom w:w="0" w:type="dxa"/>
          </w:tblCellMar>
        </w:tblPrEx>
        <w:tc>
          <w:tcPr>
            <w:tcW w:w="3333" w:type="dxa"/>
          </w:tcPr>
          <w:p w14:paraId="424BB5B2" w14:textId="77777777" w:rsidR="0067679C" w:rsidRDefault="00000000">
            <w:pPr>
              <w:spacing w:before="60" w:after="60"/>
              <w:jc w:val="center"/>
            </w:pPr>
            <w:r>
              <w:rPr>
                <w:sz w:val="20"/>
              </w:rPr>
              <w:t>_______________________</w:t>
            </w:r>
          </w:p>
        </w:tc>
        <w:tc>
          <w:tcPr>
            <w:tcW w:w="3333" w:type="dxa"/>
          </w:tcPr>
          <w:p w14:paraId="6D865297" w14:textId="77777777" w:rsidR="0067679C" w:rsidRDefault="00000000">
            <w:pPr>
              <w:spacing w:before="60" w:after="60"/>
              <w:jc w:val="center"/>
            </w:pPr>
            <w:r>
              <w:rPr>
                <w:sz w:val="20"/>
              </w:rPr>
              <w:t>_______________________</w:t>
            </w:r>
          </w:p>
        </w:tc>
        <w:tc>
          <w:tcPr>
            <w:tcW w:w="3333" w:type="dxa"/>
          </w:tcPr>
          <w:p w14:paraId="551B5E65" w14:textId="77777777" w:rsidR="0067679C" w:rsidRDefault="00000000">
            <w:pPr>
              <w:spacing w:before="60" w:after="60"/>
              <w:jc w:val="center"/>
            </w:pPr>
            <w:r>
              <w:rPr>
                <w:sz w:val="20"/>
              </w:rPr>
              <w:t>_______________________</w:t>
            </w:r>
          </w:p>
        </w:tc>
      </w:tr>
      <w:tr w:rsidR="0067679C" w14:paraId="1F4E9971" w14:textId="77777777">
        <w:tblPrEx>
          <w:tblCellMar>
            <w:top w:w="0" w:type="dxa"/>
            <w:bottom w:w="0" w:type="dxa"/>
          </w:tblCellMar>
        </w:tblPrEx>
        <w:tc>
          <w:tcPr>
            <w:tcW w:w="3333" w:type="dxa"/>
          </w:tcPr>
          <w:p w14:paraId="452086DF" w14:textId="77777777" w:rsidR="0067679C" w:rsidRDefault="00000000">
            <w:pPr>
              <w:spacing w:before="60" w:after="60"/>
              <w:jc w:val="center"/>
            </w:pPr>
            <w:r>
              <w:rPr>
                <w:sz w:val="20"/>
              </w:rPr>
              <w:t>Minister of Foreign Affairs</w:t>
            </w:r>
          </w:p>
        </w:tc>
        <w:tc>
          <w:tcPr>
            <w:tcW w:w="3333" w:type="dxa"/>
          </w:tcPr>
          <w:p w14:paraId="0BE2EC69" w14:textId="77777777" w:rsidR="0067679C" w:rsidRDefault="00000000">
            <w:pPr>
              <w:spacing w:before="60" w:after="60"/>
              <w:jc w:val="center"/>
            </w:pPr>
            <w:r>
              <w:rPr>
                <w:sz w:val="20"/>
              </w:rPr>
              <w:t>Minister of Foreign Affairs</w:t>
            </w:r>
          </w:p>
        </w:tc>
        <w:tc>
          <w:tcPr>
            <w:tcW w:w="3333" w:type="dxa"/>
          </w:tcPr>
          <w:p w14:paraId="1B9431FE" w14:textId="77777777" w:rsidR="0067679C" w:rsidRDefault="00000000">
            <w:pPr>
              <w:spacing w:before="60" w:after="60"/>
              <w:jc w:val="center"/>
            </w:pPr>
            <w:r>
              <w:rPr>
                <w:sz w:val="20"/>
              </w:rPr>
              <w:t>Minister of Foreign Affairs</w:t>
            </w:r>
          </w:p>
        </w:tc>
      </w:tr>
      <w:tr w:rsidR="0067679C" w14:paraId="44975240" w14:textId="77777777">
        <w:tblPrEx>
          <w:tblCellMar>
            <w:top w:w="0" w:type="dxa"/>
            <w:bottom w:w="0" w:type="dxa"/>
          </w:tblCellMar>
        </w:tblPrEx>
        <w:tc>
          <w:tcPr>
            <w:tcW w:w="3333" w:type="dxa"/>
          </w:tcPr>
          <w:p w14:paraId="2561586C" w14:textId="77777777" w:rsidR="0067679C" w:rsidRDefault="00000000">
            <w:pPr>
              <w:spacing w:before="60" w:after="60"/>
              <w:jc w:val="center"/>
            </w:pPr>
            <w:r>
              <w:rPr>
                <w:sz w:val="20"/>
              </w:rPr>
              <w:t>Date: 12 July 2026</w:t>
            </w:r>
          </w:p>
        </w:tc>
        <w:tc>
          <w:tcPr>
            <w:tcW w:w="3333" w:type="dxa"/>
          </w:tcPr>
          <w:p w14:paraId="2289EEF1" w14:textId="77777777" w:rsidR="0067679C" w:rsidRDefault="00000000">
            <w:pPr>
              <w:spacing w:before="60" w:after="60"/>
              <w:jc w:val="center"/>
            </w:pPr>
            <w:r>
              <w:rPr>
                <w:sz w:val="20"/>
              </w:rPr>
              <w:t>Date: 12 July 2026</w:t>
            </w:r>
          </w:p>
        </w:tc>
        <w:tc>
          <w:tcPr>
            <w:tcW w:w="3333" w:type="dxa"/>
          </w:tcPr>
          <w:p w14:paraId="20A066E0" w14:textId="77777777" w:rsidR="0067679C" w:rsidRDefault="00000000">
            <w:pPr>
              <w:spacing w:before="60" w:after="60"/>
              <w:jc w:val="center"/>
            </w:pPr>
            <w:r>
              <w:rPr>
                <w:sz w:val="20"/>
              </w:rPr>
              <w:t>Date: 12 July 2026</w:t>
            </w:r>
          </w:p>
        </w:tc>
      </w:tr>
    </w:tbl>
    <w:p w14:paraId="7C3B47E6" w14:textId="77777777" w:rsidR="0067679C" w:rsidRDefault="0067679C">
      <w:pPr>
        <w:sectPr w:rsidR="0067679C">
          <w:headerReference w:type="default" r:id="rId7"/>
          <w:footerReference w:type="default" r:id="rId8"/>
          <w:pgSz w:w="11906" w:h="16838"/>
          <w:pgMar w:top="1800" w:right="1440" w:bottom="1440" w:left="1440" w:header="720" w:footer="720" w:gutter="0"/>
          <w:cols w:space="720"/>
        </w:sectPr>
      </w:pPr>
    </w:p>
    <w:p w14:paraId="09423CEB" w14:textId="77777777" w:rsidR="0067679C" w:rsidRDefault="0067679C">
      <w:pPr>
        <w:pBdr>
          <w:bottom w:val="single" w:sz="12" w:space="10" w:color="2C4A5C"/>
        </w:pBdr>
        <w:spacing w:before="600" w:after="0"/>
        <w:jc w:val="center"/>
      </w:pPr>
    </w:p>
    <w:p w14:paraId="4D27A84F" w14:textId="77777777" w:rsidR="0067679C" w:rsidRDefault="0067679C">
      <w:pPr>
        <w:spacing w:before="6000"/>
      </w:pPr>
    </w:p>
    <w:p w14:paraId="0570CD99" w14:textId="77777777" w:rsidR="0067679C" w:rsidRDefault="00000000">
      <w:pPr>
        <w:jc w:val="center"/>
      </w:pPr>
      <w:r>
        <w:rPr>
          <w:b/>
          <w:color w:val="2C4A5C"/>
          <w:sz w:val="40"/>
        </w:rPr>
        <w:t>Regional Maritime</w:t>
      </w:r>
    </w:p>
    <w:p w14:paraId="538C1377" w14:textId="77777777" w:rsidR="0067679C" w:rsidRDefault="00000000">
      <w:pPr>
        <w:spacing w:before="100"/>
        <w:jc w:val="center"/>
      </w:pPr>
      <w:r>
        <w:rPr>
          <w:b/>
          <w:color w:val="2C4A5C"/>
          <w:sz w:val="40"/>
        </w:rPr>
        <w:t>Stability Joint Communiqué</w:t>
      </w:r>
    </w:p>
    <w:p w14:paraId="3FD38E81" w14:textId="77777777" w:rsidR="0067679C" w:rsidRDefault="00000000">
      <w:pPr>
        <w:spacing w:before="600"/>
        <w:jc w:val="center"/>
      </w:pPr>
      <w:r>
        <w:rPr>
          <w:color w:val="5A7A8C"/>
          <w:sz w:val="20"/>
        </w:rPr>
        <w:t xml:space="preserve">Strait of </w:t>
      </w:r>
      <w:proofErr w:type="gramStart"/>
      <w:r>
        <w:rPr>
          <w:color w:val="5A7A8C"/>
          <w:sz w:val="20"/>
        </w:rPr>
        <w:t>Hormuz  ·</w:t>
      </w:r>
      <w:proofErr w:type="gramEnd"/>
      <w:r>
        <w:rPr>
          <w:color w:val="5A7A8C"/>
          <w:sz w:val="20"/>
        </w:rPr>
        <w:t xml:space="preserve">  12 July 2026</w:t>
      </w:r>
    </w:p>
    <w:p w14:paraId="320EAF46" w14:textId="77777777" w:rsidR="0067679C" w:rsidRDefault="00000000">
      <w:pPr>
        <w:spacing w:before="200"/>
        <w:jc w:val="center"/>
      </w:pPr>
      <w:r>
        <w:rPr>
          <w:color w:val="647786"/>
          <w:sz w:val="18"/>
        </w:rPr>
        <w:t xml:space="preserve">Islamic Republic of </w:t>
      </w:r>
      <w:proofErr w:type="gramStart"/>
      <w:r>
        <w:rPr>
          <w:color w:val="647786"/>
          <w:sz w:val="18"/>
        </w:rPr>
        <w:t>Iran  |</w:t>
      </w:r>
      <w:proofErr w:type="gramEnd"/>
      <w:r>
        <w:rPr>
          <w:color w:val="647786"/>
          <w:sz w:val="18"/>
        </w:rPr>
        <w:t xml:space="preserve">  Sultanate of </w:t>
      </w:r>
      <w:proofErr w:type="gramStart"/>
      <w:r>
        <w:rPr>
          <w:color w:val="647786"/>
          <w:sz w:val="18"/>
        </w:rPr>
        <w:t>Oman  |</w:t>
      </w:r>
      <w:proofErr w:type="gramEnd"/>
      <w:r>
        <w:rPr>
          <w:color w:val="647786"/>
          <w:sz w:val="18"/>
        </w:rPr>
        <w:t xml:space="preserve">  State of Qatar</w:t>
      </w:r>
    </w:p>
    <w:p w14:paraId="7866E40C" w14:textId="77777777" w:rsidR="0067679C" w:rsidRDefault="00000000">
      <w:pPr>
        <w:spacing w:before="100"/>
        <w:jc w:val="center"/>
      </w:pPr>
      <w:r>
        <w:rPr>
          <w:color w:val="647786"/>
          <w:sz w:val="16"/>
        </w:rPr>
        <w:t xml:space="preserve">© </w:t>
      </w:r>
      <w:proofErr w:type="gramStart"/>
      <w:r>
        <w:rPr>
          <w:color w:val="647786"/>
          <w:sz w:val="16"/>
        </w:rPr>
        <w:t>2026  –</w:t>
      </w:r>
      <w:proofErr w:type="gramEnd"/>
      <w:r>
        <w:rPr>
          <w:color w:val="647786"/>
          <w:sz w:val="16"/>
        </w:rPr>
        <w:t xml:space="preserve">  All Rights Reserved by the Signatory States</w:t>
      </w:r>
    </w:p>
    <w:p w14:paraId="1E47957A" w14:textId="77777777" w:rsidR="0067679C" w:rsidRDefault="0067679C">
      <w:pPr>
        <w:pBdr>
          <w:top w:val="single" w:sz="12" w:space="10" w:color="2C4A5C"/>
        </w:pBdr>
        <w:spacing w:before="600" w:after="0"/>
        <w:jc w:val="center"/>
      </w:pPr>
    </w:p>
    <w:sectPr w:rsidR="0067679C">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ED7C7" w14:textId="77777777" w:rsidR="0063246E" w:rsidRDefault="0063246E">
      <w:pPr>
        <w:spacing w:after="0" w:line="240" w:lineRule="auto"/>
      </w:pPr>
      <w:r>
        <w:separator/>
      </w:r>
    </w:p>
  </w:endnote>
  <w:endnote w:type="continuationSeparator" w:id="0">
    <w:p w14:paraId="2D489CC9" w14:textId="77777777" w:rsidR="0063246E" w:rsidRDefault="00632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8219C" w14:textId="77777777" w:rsidR="0067679C" w:rsidRDefault="00000000">
    <w:pPr>
      <w:jc w:val="center"/>
    </w:pPr>
    <w:r>
      <w:rPr>
        <w:color w:val="647786"/>
        <w:sz w:val="18"/>
      </w:rPr>
      <w:fldChar w:fldCharType="begin"/>
    </w:r>
    <w:r>
      <w:rPr>
        <w:color w:val="647786"/>
        <w:sz w:val="18"/>
      </w:rPr>
      <w:instrText xml:space="preserve"> PAGE </w:instrText>
    </w:r>
    <w:r>
      <w:rPr>
        <w:color w:val="647786"/>
        <w:sz w:val="18"/>
      </w:rPr>
      <w:fldChar w:fldCharType="separate"/>
    </w:r>
    <w:r>
      <w:rPr>
        <w:color w:val="647786"/>
        <w:sz w:val="18"/>
      </w:rPr>
      <w:t>1</w:t>
    </w:r>
    <w:r>
      <w:rPr>
        <w:color w:val="64778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C7B7A" w14:textId="77777777" w:rsidR="0063246E" w:rsidRDefault="0063246E">
      <w:pPr>
        <w:spacing w:after="0" w:line="240" w:lineRule="auto"/>
      </w:pPr>
      <w:r>
        <w:separator/>
      </w:r>
    </w:p>
  </w:footnote>
  <w:footnote w:type="continuationSeparator" w:id="0">
    <w:p w14:paraId="3022E49A" w14:textId="77777777" w:rsidR="0063246E" w:rsidRDefault="00632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2D78" w14:textId="77777777" w:rsidR="0067679C" w:rsidRDefault="00000000">
    <w:pPr>
      <w:jc w:val="right"/>
    </w:pPr>
    <w:r>
      <w:rPr>
        <w:color w:val="647786"/>
        <w:sz w:val="18"/>
      </w:rPr>
      <w:t>Regional Maritime Stability Joint Communiqué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A7E01"/>
    <w:multiLevelType w:val="multilevel"/>
    <w:tmpl w:val="EAEC061A"/>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92931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679C"/>
    <w:rsid w:val="0063246E"/>
    <w:rsid w:val="006557C0"/>
    <w:rsid w:val="0067679C"/>
    <w:rsid w:val="00DD44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D3D1"/>
  <w15:docId w15:val="{06C43A54-9681-497D-B875-2319F8610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20" w:lineRule="auto"/>
    </w:pPr>
    <w:rPr>
      <w:rFonts w:ascii="Calibri" w:eastAsia="Microsoft YaHei" w:hAnsi="Calibri"/>
      <w:color w:val="1E2D35"/>
      <w:sz w:val="22"/>
    </w:rPr>
  </w:style>
  <w:style w:type="paragraph" w:styleId="Heading1">
    <w:name w:val="heading 1"/>
    <w:basedOn w:val="Normal"/>
    <w:uiPriority w:val="9"/>
    <w:qFormat/>
    <w:pPr>
      <w:keepNext/>
      <w:keepLines/>
      <w:spacing w:before="480" w:after="240"/>
      <w:outlineLvl w:val="0"/>
    </w:pPr>
    <w:rPr>
      <w:b/>
      <w:color w:val="2C4A5C"/>
      <w:sz w:val="36"/>
    </w:rPr>
  </w:style>
  <w:style w:type="paragraph" w:styleId="Heading2">
    <w:name w:val="heading 2"/>
    <w:basedOn w:val="Normal"/>
    <w:uiPriority w:val="9"/>
    <w:semiHidden/>
    <w:unhideWhenUsed/>
    <w:qFormat/>
    <w:pPr>
      <w:keepNext/>
      <w:keepLines/>
      <w:spacing w:before="360" w:after="160"/>
      <w:outlineLvl w:val="1"/>
    </w:pPr>
    <w:rPr>
      <w:b/>
      <w:sz w:val="28"/>
    </w:rPr>
  </w:style>
  <w:style w:type="paragraph" w:styleId="Heading3">
    <w:name w:val="heading 3"/>
    <w:basedOn w:val="Normal"/>
    <w:uiPriority w:val="9"/>
    <w:semiHidden/>
    <w:unhideWhenUsed/>
    <w:qFormat/>
    <w:pPr>
      <w:keepNext/>
      <w:keepLines/>
      <w:spacing w:before="280" w:after="120"/>
      <w:outlineLvl w:val="2"/>
    </w:pPr>
    <w:rPr>
      <w:b/>
      <w:color w:val="5A7A8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320"/>
      <w:jc w:val="center"/>
    </w:pPr>
    <w:rPr>
      <w:color w:val="647786"/>
      <w:sz w:val="20"/>
    </w:rPr>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60"/>
      <w:ind w:left="360"/>
    </w:pPr>
    <w:rPr>
      <w:color w:val="5A7A8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1425</Words>
  <Characters>9164</Characters>
  <Application>Microsoft Office Word</Application>
  <DocSecurity>0</DocSecurity>
  <Lines>163</Lines>
  <Paragraphs>82</Paragraphs>
  <ScaleCrop>false</ScaleCrop>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2026-07-12T18:24:00Z</dcterms:created>
  <dcterms:modified xsi:type="dcterms:W3CDTF">2026-07-12T18:26:00Z</dcterms:modified>
</cp:coreProperties>
</file>