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proofErr w:type="spellStart"/>
      <w:r w:rsidR="00240A69">
        <w:rPr>
          <w:rFonts w:ascii="Arial" w:hAnsi="Arial" w:cs="Arial"/>
          <w:sz w:val="22"/>
          <w:szCs w:val="22"/>
        </w:rPr>
        <w:t>Shodai</w:t>
      </w:r>
      <w:proofErr w:type="spellEnd"/>
      <w:r w:rsidR="00240A69">
        <w:rPr>
          <w:rFonts w:ascii="Arial" w:hAnsi="Arial" w:cs="Arial"/>
          <w:sz w:val="22"/>
          <w:szCs w:val="22"/>
        </w:rPr>
        <w:t xml:space="preserve">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6B33A2A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w:t>
      </w:r>
      <w:proofErr w:type="gramStart"/>
      <w:r w:rsidR="009712A8">
        <w:rPr>
          <w:rFonts w:ascii="Arial" w:hAnsi="Arial" w:cs="Arial"/>
          <w:sz w:val="22"/>
          <w:szCs w:val="22"/>
        </w:rPr>
        <w:t>is</w:t>
      </w:r>
      <w:proofErr w:type="gramEnd"/>
      <w:r w:rsidR="009712A8">
        <w:rPr>
          <w:rFonts w:ascii="Arial" w:hAnsi="Arial" w:cs="Arial"/>
          <w:sz w:val="22"/>
          <w:szCs w:val="22"/>
        </w:rPr>
        <w:t xml:space="preserve">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2F049630" w14:textId="45A03FC4" w:rsidR="00031E15" w:rsidRDefault="00031E15">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10DE26E8" w14:textId="6835873C" w:rsidR="00332D2F" w:rsidRPr="00183E04" w:rsidRDefault="0005733C" w:rsidP="00890156">
      <w:pPr>
        <w:spacing w:line="360" w:lineRule="auto"/>
        <w:ind w:firstLine="720"/>
        <w:rPr>
          <w:rFonts w:ascii="Arial" w:hAnsi="Arial" w:cs="Arial"/>
          <w:sz w:val="22"/>
          <w:szCs w:val="22"/>
        </w:rPr>
      </w:pPr>
      <w:r w:rsidRPr="00183E04">
        <w:rPr>
          <w:rFonts w:ascii="Arial" w:hAnsi="Arial" w:cs="Arial"/>
          <w:sz w:val="22"/>
          <w:szCs w:val="22"/>
        </w:rPr>
        <w:t>Environmental epidemiologists</w:t>
      </w:r>
      <w:r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p>
    <w:p w14:paraId="7BE846F5" w14:textId="093A9854" w:rsidR="00636F18" w:rsidRPr="00636F18" w:rsidRDefault="00636F18" w:rsidP="003B2D46">
      <w:pPr>
        <w:spacing w:line="360" w:lineRule="auto"/>
        <w:ind w:firstLine="720"/>
        <w:rPr>
          <w:rFonts w:ascii="Arial" w:hAnsi="Arial" w:cs="Arial"/>
          <w:sz w:val="22"/>
          <w:szCs w:val="22"/>
        </w:rPr>
      </w:pPr>
      <w:r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r w:rsidR="0000376D">
        <w:rPr>
          <w:rFonts w:ascii="Arial" w:hAnsi="Arial" w:cs="Arial"/>
          <w:sz w:val="22"/>
          <w:szCs w:val="22"/>
        </w:rPr>
        <w:t>First, w</w:t>
      </w:r>
      <w:r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Pr="00636F18">
        <w:rPr>
          <w:rFonts w:ascii="Arial" w:hAnsi="Arial" w:cs="Arial"/>
          <w:sz w:val="22"/>
          <w:szCs w:val="22"/>
        </w:rPr>
        <w:t xml:space="preserve"> Finally, we present </w:t>
      </w:r>
      <w:r w:rsidR="008D3E92">
        <w:rPr>
          <w:rFonts w:ascii="Arial" w:hAnsi="Arial" w:cs="Arial"/>
          <w:sz w:val="22"/>
          <w:szCs w:val="22"/>
        </w:rPr>
        <w:t xml:space="preserve">results from </w:t>
      </w:r>
      <w:r w:rsidRPr="00636F18">
        <w:rPr>
          <w:rFonts w:ascii="Arial" w:hAnsi="Arial" w:cs="Arial"/>
          <w:sz w:val="22"/>
          <w:szCs w:val="22"/>
        </w:rPr>
        <w:t>simulation</w:t>
      </w:r>
      <w:r w:rsidR="008D3E92">
        <w:rPr>
          <w:rFonts w:ascii="Arial" w:hAnsi="Arial" w:cs="Arial"/>
          <w:sz w:val="22"/>
          <w:szCs w:val="22"/>
        </w:rPr>
        <w:t>s</w:t>
      </w:r>
      <w:r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4E5162D1"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to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1EFAF8B4"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956254">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5117F4FF"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If all confounders are adequately measured and controlled for, there should be no association between the exposure and negative control outcome, since the negative control outcome is known to not be affected by the treatment 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there is an association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7C4546FE"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of the association between the exposure and primary outcome of interest. The shared common causes of the exposure, outcome, and negative control outcome must also be measured and modeled </w:t>
      </w:r>
      <w:r w:rsidR="00B07B5C" w:rsidRPr="00B306C3">
        <w:rPr>
          <w:rFonts w:ascii="Arial" w:hAnsi="Arial" w:cs="Arial"/>
          <w:sz w:val="22"/>
          <w:szCs w:val="22"/>
        </w:rPr>
        <w:lastRenderedPageBreak/>
        <w:t>adequately for this implication to hold</w:t>
      </w:r>
      <w:r w:rsidR="00E6430C">
        <w:rPr>
          <w:rFonts w:ascii="Arial" w:hAnsi="Arial" w:cs="Arial"/>
          <w:sz w:val="22"/>
          <w:szCs w:val="22"/>
        </w:rPr>
        <w:t>,</w:t>
      </w:r>
      <w:r w:rsidR="0058003B">
        <w:rPr>
          <w:rFonts w:ascii="Arial" w:hAnsi="Arial" w:cs="Arial"/>
          <w:sz w:val="22"/>
          <w:szCs w:val="22"/>
        </w:rPr>
        <w:t xml:space="preserve"> </w:t>
      </w:r>
      <w:commentRangeStart w:id="0"/>
      <w:commentRangeStart w:id="1"/>
      <w:r w:rsidR="0058003B">
        <w:rPr>
          <w:rFonts w:ascii="Arial" w:hAnsi="Arial" w:cs="Arial"/>
          <w:sz w:val="22"/>
          <w:szCs w:val="22"/>
        </w:rPr>
        <w:t xml:space="preserve">meaning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w:t>
      </w:r>
      <w:commentRangeEnd w:id="0"/>
      <w:r w:rsidR="00032A6A">
        <w:rPr>
          <w:rStyle w:val="CommentReference"/>
          <w:rFonts w:asciiTheme="minorHAnsi" w:eastAsiaTheme="minorHAnsi" w:hAnsiTheme="minorHAnsi" w:cstheme="minorBidi"/>
          <w:kern w:val="2"/>
          <w14:ligatures w14:val="standardContextual"/>
        </w:rPr>
        <w:commentReference w:id="0"/>
      </w:r>
      <w:commentRangeEnd w:id="1"/>
      <w:r w:rsidR="00034DEA">
        <w:rPr>
          <w:rStyle w:val="CommentReference"/>
          <w:rFonts w:asciiTheme="minorHAnsi" w:eastAsiaTheme="minorHAnsi" w:hAnsiTheme="minorHAnsi" w:cstheme="minorBidi"/>
          <w:kern w:val="2"/>
          <w14:ligatures w14:val="standardContextual"/>
        </w:rPr>
        <w:commentReference w:id="1"/>
      </w:r>
      <w:r w:rsidR="00E6430C">
        <w:rPr>
          <w:rFonts w:ascii="Arial" w:hAnsi="Arial" w:cs="Arial"/>
          <w:sz w:val="22"/>
          <w:szCs w:val="22"/>
        </w:rPr>
        <w:t>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08D409AD" w:rsidR="00A57A44" w:rsidRDefault="00B07B5C" w:rsidP="00DF2857">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an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Observing a null 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E5525E">
        <w:rPr>
          <w:rFonts w:ascii="Arial" w:hAnsi="Arial" w:cs="Arial"/>
          <w:b/>
          <w:bCs/>
          <w:i/>
          <w:iCs/>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4983EE77" w:rsidR="0063490A" w:rsidRPr="00B306C3" w:rsidRDefault="00587051" w:rsidP="00DF2857">
      <w:pPr>
        <w:spacing w:line="360" w:lineRule="auto"/>
        <w:ind w:firstLine="720"/>
        <w:rPr>
          <w:rFonts w:ascii="Arial" w:hAnsi="Arial" w:cs="Arial"/>
          <w:sz w:val="22"/>
          <w:szCs w:val="22"/>
        </w:rPr>
      </w:pPr>
      <w:commentRangeStart w:id="2"/>
      <w:commentRangeStart w:id="3"/>
      <w:commentRangeStart w:id="4"/>
      <w:r>
        <w:rPr>
          <w:rFonts w:ascii="Arial" w:hAnsi="Arial" w:cs="Arial"/>
          <w:sz w:val="22"/>
          <w:szCs w:val="22"/>
        </w:rPr>
        <w:t xml:space="preserve">In some instances, it is possible </w:t>
      </w:r>
      <w:r w:rsidR="00C2440D">
        <w:rPr>
          <w:rFonts w:ascii="Arial" w:hAnsi="Arial" w:cs="Arial"/>
          <w:sz w:val="22"/>
          <w:szCs w:val="22"/>
        </w:rPr>
        <w:t>for researchers 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commentRangeEnd w:id="2"/>
      <w:r w:rsidR="00A57A44">
        <w:rPr>
          <w:rStyle w:val="CommentReference"/>
          <w:rFonts w:asciiTheme="minorHAnsi" w:eastAsiaTheme="minorHAnsi" w:hAnsiTheme="minorHAnsi" w:cstheme="minorBidi"/>
          <w:kern w:val="2"/>
          <w14:ligatures w14:val="standardContextual"/>
        </w:rPr>
        <w:commentReference w:id="2"/>
      </w:r>
      <w:commentRangeEnd w:id="3"/>
      <w:r w:rsidR="00A57A44">
        <w:rPr>
          <w:rStyle w:val="CommentReference"/>
          <w:rFonts w:asciiTheme="minorHAnsi" w:eastAsiaTheme="minorHAnsi" w:hAnsiTheme="minorHAnsi" w:cstheme="minorBidi"/>
          <w:kern w:val="2"/>
          <w14:ligatures w14:val="standardContextual"/>
        </w:rPr>
        <w:commentReference w:id="3"/>
      </w:r>
      <w:commentRangeEnd w:id="4"/>
      <w:r w:rsidR="004774E9">
        <w:rPr>
          <w:rStyle w:val="CommentReference"/>
          <w:rFonts w:asciiTheme="minorHAnsi" w:eastAsiaTheme="minorHAnsi" w:hAnsiTheme="minorHAnsi" w:cstheme="minorBidi"/>
          <w:kern w:val="2"/>
          <w14:ligatures w14:val="standardContextual"/>
        </w:rPr>
        <w:commentReference w:id="4"/>
      </w: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w:t>
      </w:r>
      <w:r w:rsidRPr="00B306C3">
        <w:rPr>
          <w:rFonts w:ascii="Arial" w:hAnsi="Arial" w:cs="Arial"/>
          <w:sz w:val="22"/>
          <w:szCs w:val="22"/>
        </w:rPr>
        <w:lastRenderedPageBreak/>
        <w:t xml:space="preserve">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5642EB92" w:rsidR="00C54A80" w:rsidRDefault="00152ECD" w:rsidP="00CA4501">
      <w:pPr>
        <w:spacing w:line="360" w:lineRule="auto"/>
        <w:ind w:firstLine="720"/>
        <w:rPr>
          <w:rFonts w:ascii="Arial" w:hAnsi="Arial" w:cs="Arial"/>
          <w:sz w:val="22"/>
          <w:szCs w:val="22"/>
        </w:rPr>
      </w:pPr>
      <w:commentRangeStart w:id="5"/>
      <w:commentRangeStart w:id="6"/>
      <w:r w:rsidRPr="000944A9">
        <w:rPr>
          <w:rFonts w:ascii="Arial" w:hAnsi="Arial" w:cs="Arial"/>
          <w:sz w:val="22"/>
          <w:szCs w:val="22"/>
        </w:rPr>
        <w:t>Whi</w:t>
      </w:r>
      <w:commentRangeEnd w:id="5"/>
      <w:r w:rsidR="000C23A4">
        <w:rPr>
          <w:rStyle w:val="CommentReference"/>
          <w:rFonts w:asciiTheme="minorHAnsi" w:eastAsiaTheme="minorHAnsi" w:hAnsiTheme="minorHAnsi" w:cstheme="minorBidi"/>
          <w:kern w:val="2"/>
          <w14:ligatures w14:val="standardContextual"/>
        </w:rPr>
        <w:commentReference w:id="5"/>
      </w:r>
      <w:commentRangeEnd w:id="6"/>
      <w:r w:rsidR="00A711D4">
        <w:rPr>
          <w:rStyle w:val="CommentReference"/>
          <w:rFonts w:asciiTheme="minorHAnsi" w:eastAsiaTheme="minorHAnsi" w:hAnsiTheme="minorHAnsi" w:cstheme="minorBidi"/>
          <w:kern w:val="2"/>
          <w14:ligatures w14:val="standardContextual"/>
        </w:rPr>
        <w:commentReference w:id="6"/>
      </w:r>
      <w:r w:rsidRPr="000944A9">
        <w:rPr>
          <w:rFonts w:ascii="Arial" w:hAnsi="Arial" w:cs="Arial"/>
          <w:sz w:val="22"/>
          <w:szCs w:val="22"/>
        </w:rPr>
        <w:t xml:space="preserve">le </w:t>
      </w:r>
      <w:r>
        <w:rPr>
          <w:rFonts w:ascii="Arial" w:hAnsi="Arial" w:cs="Arial"/>
          <w:sz w:val="22"/>
          <w:szCs w:val="22"/>
        </w:rPr>
        <w:t>negative control analysis</w:t>
      </w:r>
      <w:r w:rsidRPr="000944A9">
        <w:rPr>
          <w:rFonts w:ascii="Arial" w:hAnsi="Arial" w:cs="Arial"/>
          <w:sz w:val="22"/>
          <w:szCs w:val="22"/>
        </w:rPr>
        <w:t xml:space="preserve"> has been </w:t>
      </w:r>
      <w:commentRangeStart w:id="7"/>
      <w:commentRangeStart w:id="8"/>
      <w:commentRangeEnd w:id="7"/>
      <w:r w:rsidR="000C23A4">
        <w:rPr>
          <w:rStyle w:val="CommentReference"/>
          <w:rFonts w:asciiTheme="minorHAnsi" w:eastAsiaTheme="minorHAnsi" w:hAnsiTheme="minorHAnsi" w:cstheme="minorBidi"/>
          <w:kern w:val="2"/>
          <w14:ligatures w14:val="standardContextual"/>
        </w:rPr>
        <w:commentReference w:id="7"/>
      </w:r>
      <w:commentRangeEnd w:id="8"/>
      <w:r w:rsidR="000C0C36">
        <w:rPr>
          <w:rStyle w:val="CommentReference"/>
          <w:rFonts w:asciiTheme="minorHAnsi" w:eastAsiaTheme="minorHAnsi" w:hAnsiTheme="minorHAnsi" w:cstheme="minorBidi"/>
          <w:kern w:val="2"/>
          <w14:ligatures w14:val="standardContextual"/>
        </w:rPr>
        <w:commentReference w:id="8"/>
      </w:r>
      <w:r w:rsidRPr="000944A9">
        <w:rPr>
          <w:rFonts w:ascii="Arial" w:hAnsi="Arial" w:cs="Arial"/>
          <w:sz w:val="22"/>
          <w:szCs w:val="22"/>
        </w:rPr>
        <w:t>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it is often applied in ways that may not align with its underlying assumptions</w:t>
      </w:r>
      <w:r w:rsidR="00766B5B">
        <w:rPr>
          <w:rFonts w:ascii="Arial" w:hAnsi="Arial" w:cs="Arial"/>
          <w:sz w:val="22"/>
          <w:szCs w:val="22"/>
        </w:rPr>
        <w:t xml:space="preserve"> in the environmental </w:t>
      </w:r>
      <w:r w:rsidR="00113885">
        <w:rPr>
          <w:rFonts w:ascii="Arial" w:hAnsi="Arial" w:cs="Arial"/>
          <w:sz w:val="22"/>
          <w:szCs w:val="22"/>
        </w:rPr>
        <w:t>health</w:t>
      </w:r>
      <w:r w:rsidR="00766B5B">
        <w:rPr>
          <w:rFonts w:ascii="Arial" w:hAnsi="Arial" w:cs="Arial"/>
          <w:sz w:val="22"/>
          <w:szCs w:val="22"/>
        </w:rPr>
        <w:t xml:space="preserve"> literature</w:t>
      </w:r>
      <w:r w:rsidRPr="000944A9">
        <w:rPr>
          <w:rFonts w:ascii="Arial" w:hAnsi="Arial" w:cs="Arial"/>
          <w:sz w:val="22"/>
          <w:szCs w:val="22"/>
        </w:rPr>
        <w:t xml:space="preserve">.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r w:rsidRPr="000944A9">
        <w:rPr>
          <w:rFonts w:ascii="Arial" w:hAnsi="Arial" w:cs="Arial"/>
          <w:sz w:val="22"/>
          <w:szCs w:val="22"/>
        </w:rPr>
        <w:t xml:space="preserve">To illustrate </w:t>
      </w:r>
      <w:r w:rsidR="00F21C71">
        <w:rPr>
          <w:rFonts w:ascii="Arial" w:hAnsi="Arial" w:cs="Arial"/>
          <w:sz w:val="22"/>
          <w:szCs w:val="22"/>
        </w:rPr>
        <w:t xml:space="preserve">such </w:t>
      </w:r>
      <w:r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9F1A5E0"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w:t>
      </w:r>
      <w:r w:rsidR="00140A91">
        <w:rPr>
          <w:rFonts w:ascii="Arial" w:hAnsi="Arial" w:cs="Arial"/>
          <w:sz w:val="22"/>
          <w:szCs w:val="22"/>
        </w:rPr>
        <w:t>among</w:t>
      </w:r>
      <w:r w:rsidR="00140A91" w:rsidRPr="00B306C3">
        <w:rPr>
          <w:rFonts w:ascii="Arial" w:hAnsi="Arial" w:cs="Arial"/>
          <w:sz w:val="22"/>
          <w:szCs w:val="22"/>
        </w:rPr>
        <w:t xml:space="preserve"> </w:t>
      </w:r>
      <w:r w:rsidRPr="00B306C3">
        <w:rPr>
          <w:rFonts w:ascii="Arial" w:hAnsi="Arial" w:cs="Arial"/>
          <w:sz w:val="22"/>
          <w:szCs w:val="22"/>
        </w:rPr>
        <w:t xml:space="preserve">other observed </w:t>
      </w:r>
      <w:r w:rsidR="00140A91">
        <w:rPr>
          <w:rFonts w:ascii="Arial" w:hAnsi="Arial" w:cs="Arial"/>
          <w:sz w:val="22"/>
          <w:szCs w:val="22"/>
        </w:rPr>
        <w:t xml:space="preserve">potential </w:t>
      </w:r>
      <w:r w:rsidRPr="00B306C3">
        <w:rPr>
          <w:rFonts w:ascii="Arial" w:hAnsi="Arial" w:cs="Arial"/>
          <w:sz w:val="22"/>
          <w:szCs w:val="22"/>
        </w:rPr>
        <w:t>confounders.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w:t>
      </w:r>
      <w:r w:rsidR="005153DC">
        <w:rPr>
          <w:rFonts w:ascii="Arial" w:hAnsi="Arial" w:cs="Arial"/>
          <w:sz w:val="22"/>
          <w:szCs w:val="22"/>
        </w:rPr>
        <w:t xml:space="preserve">perhaps from inadequate control for seasonality, </w:t>
      </w:r>
      <w:r w:rsidRPr="00B306C3">
        <w:rPr>
          <w:rFonts w:ascii="Arial" w:hAnsi="Arial" w:cs="Arial"/>
          <w:sz w:val="22"/>
          <w:szCs w:val="22"/>
        </w:rPr>
        <w:t xml:space="preserve">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5B875543" w14:textId="6B7930F4" w:rsidR="009A3DEA" w:rsidRPr="00B306C3" w:rsidRDefault="006F6193" w:rsidP="00642B29">
      <w:pPr>
        <w:spacing w:line="360" w:lineRule="auto"/>
        <w:ind w:firstLine="720"/>
        <w:rPr>
          <w:rFonts w:ascii="Arial" w:hAnsi="Arial" w:cs="Arial"/>
          <w:sz w:val="22"/>
          <w:szCs w:val="22"/>
        </w:rPr>
      </w:pPr>
      <w:commentRangeStart w:id="9"/>
      <w:commentRangeStart w:id="10"/>
      <w:commentRangeStart w:id="11"/>
      <w:commentRangeEnd w:id="9"/>
      <w:r>
        <w:rPr>
          <w:rStyle w:val="CommentReference"/>
          <w:rFonts w:asciiTheme="minorHAnsi" w:eastAsiaTheme="minorHAnsi" w:hAnsiTheme="minorHAnsi" w:cstheme="minorBidi"/>
          <w:kern w:val="2"/>
          <w14:ligatures w14:val="standardContextual"/>
        </w:rPr>
        <w:commentReference w:id="9"/>
      </w:r>
      <w:commentRangeEnd w:id="10"/>
      <w:r w:rsidR="00FA660A">
        <w:rPr>
          <w:rStyle w:val="CommentReference"/>
          <w:rFonts w:asciiTheme="minorHAnsi" w:eastAsiaTheme="minorHAnsi" w:hAnsiTheme="minorHAnsi" w:cstheme="minorBidi"/>
          <w:kern w:val="2"/>
          <w14:ligatures w14:val="standardContextual"/>
        </w:rPr>
        <w:commentReference w:id="10"/>
      </w:r>
      <w:commentRangeEnd w:id="11"/>
      <w:r w:rsidR="004A3CF3">
        <w:rPr>
          <w:rStyle w:val="CommentReference"/>
          <w:rFonts w:asciiTheme="minorHAnsi" w:eastAsiaTheme="minorHAnsi" w:hAnsiTheme="minorHAnsi" w:cstheme="minorBidi"/>
          <w:kern w:val="2"/>
          <w14:ligatures w14:val="standardContextual"/>
        </w:rPr>
        <w:commentReference w:id="11"/>
      </w:r>
      <w:r w:rsidR="009A3DEA" w:rsidRPr="009A3DEA">
        <w:rPr>
          <w:rFonts w:ascii="Arial" w:hAnsi="Arial" w:cs="Arial"/>
          <w:sz w:val="22"/>
          <w:szCs w:val="22"/>
        </w:rPr>
        <w:t>To our knowledge, scheduled hip surgery hospitalizations cannot be caused by or associated with PM</w:t>
      </w:r>
      <w:r w:rsidR="009A3DEA" w:rsidRPr="00DF2857">
        <w:rPr>
          <w:rFonts w:ascii="Arial" w:hAnsi="Arial" w:cs="Arial"/>
          <w:sz w:val="22"/>
          <w:szCs w:val="22"/>
          <w:vertAlign w:val="subscript"/>
        </w:rPr>
        <w:t>2.5</w:t>
      </w:r>
      <w:r w:rsidR="009A3DEA" w:rsidRPr="009A3DEA">
        <w:rPr>
          <w:rFonts w:ascii="Arial" w:hAnsi="Arial" w:cs="Arial"/>
          <w:sz w:val="22"/>
          <w:szCs w:val="22"/>
        </w:rPr>
        <w:t xml:space="preserve"> exposure, so they meet the first criterion for a negative control: they are known to not be caused by the exposure of interest. However, scheduled hip surgery hospitalizations are also not u-comparable with the primary outcome of interest. Temperature and seasonality likely do not predict hip surgery hospitalizations as they do respiratory hospitalizations, and they may not share unobserved confounders with respiratory hospitalizations either. In this case, observing a null association between the exposure and negative control would not provide evidence that confounding </w:t>
      </w:r>
      <w:r w:rsidR="00A53308">
        <w:rPr>
          <w:rFonts w:ascii="Arial" w:hAnsi="Arial" w:cs="Arial"/>
          <w:sz w:val="22"/>
          <w:szCs w:val="22"/>
        </w:rPr>
        <w:t xml:space="preserve">by seasonality </w:t>
      </w:r>
      <w:r w:rsidR="009A3DEA" w:rsidRPr="009A3DEA">
        <w:rPr>
          <w:rFonts w:ascii="Arial" w:hAnsi="Arial" w:cs="Arial"/>
          <w:sz w:val="22"/>
          <w:szCs w:val="22"/>
        </w:rPr>
        <w:t>in the primary outcome-model has been controlled for adequately</w:t>
      </w:r>
      <w:r w:rsidR="003C59BA">
        <w:rPr>
          <w:rFonts w:ascii="Arial" w:hAnsi="Arial" w:cs="Arial"/>
          <w:sz w:val="22"/>
          <w:szCs w:val="22"/>
        </w:rPr>
        <w:t>.</w:t>
      </w:r>
    </w:p>
    <w:p w14:paraId="03A72986" w14:textId="77777777" w:rsidR="001C6A8A" w:rsidRDefault="001C6A8A"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t>Methods</w:t>
      </w:r>
      <w:r w:rsidR="00AD6976">
        <w:rPr>
          <w:rFonts w:ascii="Arial" w:hAnsi="Arial" w:cs="Arial"/>
          <w:b/>
          <w:bCs/>
          <w:sz w:val="28"/>
          <w:szCs w:val="28"/>
        </w:rPr>
        <w:t>: Simulations</w:t>
      </w:r>
    </w:p>
    <w:p w14:paraId="27484F64" w14:textId="472671B0"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lastRenderedPageBreak/>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6B9F80B7"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45192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it being present in the primary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6AC26720"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 1</w:t>
      </w:r>
      <w:r w:rsidR="001C5F2C">
        <w:rPr>
          <w:rFonts w:ascii="Arial" w:hAnsi="Arial" w:cs="Arial"/>
          <w:sz w:val="22"/>
          <w:szCs w:val="22"/>
        </w:rPr>
        <w:t xml:space="preserve"> and </w:t>
      </w:r>
      <w:r w:rsidR="001C5F2C" w:rsidRPr="001C5F2C">
        <w:rPr>
          <w:rFonts w:ascii="Arial" w:hAnsi="Arial" w:cs="Arial"/>
          <w:b/>
          <w:bCs/>
          <w:sz w:val="22"/>
          <w:szCs w:val="22"/>
        </w:rPr>
        <w:t>Table 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outcome association is 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lastRenderedPageBreak/>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7BD52958"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and 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739FDA37"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27D78119"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commentRangeStart w:id="12"/>
      <w:commentRangeStart w:id="13"/>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therefore </w:t>
      </w:r>
      <w:commentRangeEnd w:id="12"/>
      <w:r w:rsidR="00D308B7">
        <w:rPr>
          <w:rFonts w:ascii="Arial" w:hAnsi="Arial" w:cs="Arial"/>
          <w:sz w:val="22"/>
          <w:szCs w:val="22"/>
        </w:rPr>
        <w:t>share the same common causes</w:t>
      </w:r>
      <w:r w:rsidR="00C113D1">
        <w:rPr>
          <w:rStyle w:val="CommentReference"/>
          <w:rFonts w:asciiTheme="minorHAnsi" w:eastAsiaTheme="minorHAnsi" w:hAnsiTheme="minorHAnsi" w:cstheme="minorBidi"/>
          <w:kern w:val="2"/>
          <w14:ligatures w14:val="standardContextual"/>
        </w:rPr>
        <w:commentReference w:id="12"/>
      </w:r>
      <w:commentRangeEnd w:id="13"/>
      <w:r w:rsidR="008E1D93">
        <w:rPr>
          <w:rStyle w:val="CommentReference"/>
          <w:rFonts w:asciiTheme="minorHAnsi" w:eastAsiaTheme="minorHAnsi" w:hAnsiTheme="minorHAnsi" w:cstheme="minorBidi"/>
          <w:kern w:val="2"/>
          <w14:ligatures w14:val="standardContextual"/>
        </w:rPr>
        <w:commentReference w:id="13"/>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0F636466"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lastRenderedPageBreak/>
        <w:t xml:space="preserve">Therefore, using a negative outcome control </w:t>
      </w:r>
      <w:r>
        <w:rPr>
          <w:rFonts w:ascii="Arial" w:hAnsi="Arial" w:cs="Arial"/>
          <w:sz w:val="22"/>
          <w:szCs w:val="22"/>
        </w:rPr>
        <w:t>correctly indicate</w:t>
      </w:r>
      <w:r w:rsidR="006B7E6F">
        <w:rPr>
          <w:rFonts w:ascii="Arial" w:hAnsi="Arial" w:cs="Arial"/>
          <w:sz w:val="22"/>
          <w:szCs w:val="22"/>
        </w:rPr>
        <w:t>s</w:t>
      </w:r>
      <w:r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0BA0AF81"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primary effect estimate was still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18765E25"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543E97D6"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confounders</w:t>
      </w:r>
      <w:r w:rsidR="006B71CB">
        <w:rPr>
          <w:rFonts w:ascii="Arial" w:hAnsi="Arial" w:cs="Arial"/>
          <w:sz w:val="22"/>
          <w:szCs w:val="22"/>
        </w:rPr>
        <w:t xml:space="preserve"> (e.g., 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1857BB">
        <w:rPr>
          <w:rFonts w:ascii="Arial" w:hAnsi="Arial" w:cs="Arial"/>
          <w:sz w:val="22"/>
          <w:szCs w:val="22"/>
        </w:rPr>
        <w:t xml:space="preserve">nonparametric estimators that do not make parametric modeling assumptions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53A72FDC"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lastRenderedPageBreak/>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xml:space="preserve">: Weak negative control </w:t>
      </w:r>
    </w:p>
    <w:p w14:paraId="72542C57" w14:textId="66A38F9B"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77777777"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 xml:space="preserve">analysis does not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2619A4A5"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 xml:space="preserve">For example, in a hypothetical study using electronic health record data to test the relationship between last-week traffic related air pollution exposure and outpatient visits for hypertension, individual-level income could </w:t>
      </w:r>
      <w:r w:rsidR="00FD110B">
        <w:rPr>
          <w:rFonts w:ascii="Arial" w:hAnsi="Arial" w:cs="Arial"/>
          <w:sz w:val="22"/>
          <w:szCs w:val="22"/>
        </w:rPr>
        <w:t>increase 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this negative control outcome 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69643B63" w14:textId="42C39038" w:rsidR="00240603" w:rsidRDefault="00D1355E" w:rsidP="00BF2759">
      <w:pPr>
        <w:spacing w:line="360" w:lineRule="auto"/>
        <w:ind w:firstLine="360"/>
        <w:rPr>
          <w:rFonts w:ascii="Arial" w:hAnsi="Arial" w:cs="Arial"/>
          <w:sz w:val="22"/>
          <w:szCs w:val="22"/>
        </w:rPr>
      </w:pPr>
      <w:r w:rsidRPr="00971A37">
        <w:rPr>
          <w:rFonts w:ascii="Arial" w:hAnsi="Arial" w:cs="Arial"/>
          <w:sz w:val="22"/>
          <w:szCs w:val="22"/>
        </w:rPr>
        <w:lastRenderedPageBreak/>
        <w:t xml:space="preserve">Negative control outcome analyses must be </w:t>
      </w:r>
      <w:r w:rsidR="008B2476" w:rsidRPr="00971A37">
        <w:rPr>
          <w:rFonts w:ascii="Arial" w:hAnsi="Arial" w:cs="Arial"/>
          <w:sz w:val="22"/>
          <w:szCs w:val="22"/>
        </w:rPr>
        <w:t xml:space="preserve">conducted with </w:t>
      </w:r>
      <w:r w:rsidR="00B71533">
        <w:rPr>
          <w:rFonts w:ascii="Arial" w:hAnsi="Arial" w:cs="Arial"/>
          <w:sz w:val="22"/>
          <w:szCs w:val="22"/>
        </w:rPr>
        <w:t>caution</w:t>
      </w:r>
      <w:r w:rsidRPr="00971A37">
        <w:rPr>
          <w:rFonts w:ascii="Arial" w:hAnsi="Arial" w:cs="Arial"/>
          <w:sz w:val="22"/>
          <w:szCs w:val="22"/>
        </w:rPr>
        <w:t xml:space="preserve">, as they </w:t>
      </w:r>
      <w:r w:rsidR="0014539C" w:rsidRPr="00971A37">
        <w:rPr>
          <w:rFonts w:ascii="Arial" w:hAnsi="Arial" w:cs="Arial"/>
          <w:sz w:val="22"/>
          <w:szCs w:val="22"/>
        </w:rPr>
        <w:t xml:space="preserve">may not always </w:t>
      </w:r>
      <w:r w:rsidR="00F1090C">
        <w:rPr>
          <w:rFonts w:ascii="Arial" w:hAnsi="Arial" w:cs="Arial"/>
          <w:sz w:val="22"/>
          <w:szCs w:val="22"/>
        </w:rPr>
        <w:t>correctly indicate presence of</w:t>
      </w:r>
      <w:r w:rsidR="00F1090C" w:rsidRPr="00971A37">
        <w:rPr>
          <w:rFonts w:ascii="Arial" w:hAnsi="Arial" w:cs="Arial"/>
          <w:sz w:val="22"/>
          <w:szCs w:val="22"/>
        </w:rPr>
        <w:t xml:space="preserve"> </w:t>
      </w:r>
      <w:r w:rsidRPr="00971A37">
        <w:rPr>
          <w:rFonts w:ascii="Arial" w:hAnsi="Arial" w:cs="Arial"/>
          <w:sz w:val="22"/>
          <w:szCs w:val="22"/>
        </w:rPr>
        <w:t>residual confounding</w:t>
      </w:r>
      <w:r w:rsidR="00D90D49">
        <w:rPr>
          <w:rFonts w:ascii="Arial" w:hAnsi="Arial" w:cs="Arial"/>
          <w:sz w:val="22"/>
          <w:szCs w:val="22"/>
        </w:rPr>
        <w:t xml:space="preserve"> in the </w:t>
      </w:r>
      <w:r w:rsidR="008E4E9B">
        <w:rPr>
          <w:rFonts w:ascii="Arial" w:hAnsi="Arial" w:cs="Arial"/>
          <w:sz w:val="22"/>
          <w:szCs w:val="22"/>
        </w:rPr>
        <w:t>primary outcome analysis</w:t>
      </w:r>
      <w:r w:rsidR="006B7E6F">
        <w:rPr>
          <w:rFonts w:ascii="Arial" w:hAnsi="Arial" w:cs="Arial"/>
          <w:sz w:val="22"/>
          <w:szCs w:val="22"/>
        </w:rPr>
        <w:t xml:space="preserve"> and can lead to false confidence in </w:t>
      </w:r>
      <w:r w:rsidR="00B6739A">
        <w:rPr>
          <w:rFonts w:ascii="Arial" w:hAnsi="Arial" w:cs="Arial"/>
          <w:sz w:val="22"/>
          <w:szCs w:val="22"/>
        </w:rPr>
        <w:t>results</w:t>
      </w:r>
      <w:r w:rsidR="00A81BD6">
        <w:rPr>
          <w:rFonts w:ascii="Arial" w:hAnsi="Arial" w:cs="Arial"/>
          <w:sz w:val="22"/>
          <w:szCs w:val="22"/>
        </w:rPr>
        <w:t xml:space="preserve">. </w:t>
      </w:r>
      <w:r w:rsidRPr="00971A37">
        <w:rPr>
          <w:rFonts w:ascii="Arial" w:hAnsi="Arial" w:cs="Arial"/>
          <w:sz w:val="22"/>
          <w:szCs w:val="22"/>
        </w:rPr>
        <w:t>For a</w:t>
      </w:r>
      <w:r w:rsidR="00A81BD6">
        <w:rPr>
          <w:rFonts w:ascii="Arial" w:hAnsi="Arial" w:cs="Arial"/>
          <w:sz w:val="22"/>
          <w:szCs w:val="22"/>
        </w:rPr>
        <w:t xml:space="preserve"> </w:t>
      </w:r>
      <w:r w:rsidR="0009124B" w:rsidRPr="00971A37">
        <w:rPr>
          <w:rFonts w:ascii="Arial" w:hAnsi="Arial" w:cs="Arial"/>
          <w:sz w:val="22"/>
          <w:szCs w:val="22"/>
        </w:rPr>
        <w:t xml:space="preserve">negative control </w:t>
      </w:r>
      <w:r w:rsidRPr="00971A37">
        <w:rPr>
          <w:rFonts w:ascii="Arial" w:hAnsi="Arial" w:cs="Arial"/>
          <w:sz w:val="22"/>
          <w:szCs w:val="22"/>
        </w:rPr>
        <w:t xml:space="preserve">analysis to be valid, the </w:t>
      </w:r>
      <w:r w:rsidR="009955DB" w:rsidRPr="00971A37">
        <w:rPr>
          <w:rFonts w:ascii="Arial" w:hAnsi="Arial" w:cs="Arial"/>
          <w:sz w:val="22"/>
          <w:szCs w:val="22"/>
        </w:rPr>
        <w:t>chosen negative control</w:t>
      </w:r>
      <w:r w:rsidRPr="00971A37">
        <w:rPr>
          <w:rFonts w:ascii="Arial" w:hAnsi="Arial" w:cs="Arial"/>
          <w:sz w:val="22"/>
          <w:szCs w:val="22"/>
        </w:rPr>
        <w:t xml:space="preserve"> outcome must be known not to be caused by the exposure and it must share </w:t>
      </w:r>
      <w:r w:rsidR="005E6B14">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w:t>
      </w:r>
      <w:r w:rsidR="005260E9" w:rsidRPr="00971A37">
        <w:rPr>
          <w:rFonts w:ascii="Arial" w:hAnsi="Arial" w:cs="Arial"/>
          <w:sz w:val="22"/>
          <w:szCs w:val="22"/>
        </w:rPr>
        <w:t xml:space="preserve"> (be u-comparable).</w:t>
      </w:r>
      <w:r w:rsidR="00B80271">
        <w:rPr>
          <w:rFonts w:ascii="Arial" w:hAnsi="Arial" w:cs="Arial"/>
          <w:sz w:val="22"/>
          <w:szCs w:val="22"/>
        </w:rPr>
        <w:t xml:space="preserve"> </w:t>
      </w:r>
      <w:r w:rsidRPr="00971A37">
        <w:rPr>
          <w:rFonts w:ascii="Arial" w:hAnsi="Arial" w:cs="Arial"/>
          <w:sz w:val="22"/>
          <w:szCs w:val="22"/>
        </w:rPr>
        <w:t xml:space="preserve">Accurate </w:t>
      </w:r>
      <w:r w:rsidR="004826E2">
        <w:rPr>
          <w:rFonts w:ascii="Arial" w:hAnsi="Arial" w:cs="Arial"/>
          <w:sz w:val="22"/>
          <w:szCs w:val="22"/>
        </w:rPr>
        <w:t>assessment</w:t>
      </w:r>
      <w:r w:rsidR="004826E2" w:rsidRPr="00971A37">
        <w:rPr>
          <w:rFonts w:ascii="Arial" w:hAnsi="Arial" w:cs="Arial"/>
          <w:sz w:val="22"/>
          <w:szCs w:val="22"/>
        </w:rPr>
        <w:t xml:space="preserve"> </w:t>
      </w:r>
      <w:r w:rsidRPr="00971A37">
        <w:rPr>
          <w:rFonts w:ascii="Arial" w:hAnsi="Arial" w:cs="Arial"/>
          <w:sz w:val="22"/>
          <w:szCs w:val="22"/>
        </w:rPr>
        <w:t>of confounders, exposure, and outcomes is</w:t>
      </w:r>
      <w:r w:rsidR="00C56D08">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sidR="006F4C5D">
        <w:rPr>
          <w:rFonts w:ascii="Arial" w:hAnsi="Arial" w:cs="Arial"/>
          <w:sz w:val="22"/>
          <w:szCs w:val="22"/>
        </w:rPr>
        <w:t>functional form</w:t>
      </w:r>
      <w:r w:rsidR="006F4C5D" w:rsidRPr="00971A37">
        <w:rPr>
          <w:rFonts w:ascii="Arial" w:hAnsi="Arial" w:cs="Arial"/>
          <w:sz w:val="22"/>
          <w:szCs w:val="22"/>
        </w:rPr>
        <w:t xml:space="preserve"> </w:t>
      </w:r>
      <w:r w:rsidRPr="00971A37">
        <w:rPr>
          <w:rFonts w:ascii="Arial" w:hAnsi="Arial" w:cs="Arial"/>
          <w:sz w:val="22"/>
          <w:szCs w:val="22"/>
        </w:rPr>
        <w:t xml:space="preserve">of confounders in both the </w:t>
      </w:r>
      <w:r w:rsidR="006F4C5D" w:rsidRPr="008E72E9">
        <w:rPr>
          <w:rFonts w:ascii="Arial" w:hAnsi="Arial" w:cs="Arial"/>
          <w:i/>
          <w:iCs/>
          <w:sz w:val="22"/>
          <w:szCs w:val="22"/>
        </w:rPr>
        <w:t>A</w:t>
      </w:r>
      <w:r w:rsidR="006F4C5D">
        <w:rPr>
          <w:rFonts w:ascii="Arial" w:hAnsi="Arial" w:cs="Arial"/>
          <w:sz w:val="22"/>
          <w:szCs w:val="22"/>
        </w:rPr>
        <w:t xml:space="preserve"> – </w:t>
      </w:r>
      <w:r w:rsidR="006F4C5D" w:rsidRPr="008E72E9">
        <w:rPr>
          <w:rFonts w:ascii="Arial" w:hAnsi="Arial" w:cs="Arial"/>
          <w:i/>
          <w:iCs/>
          <w:sz w:val="22"/>
          <w:szCs w:val="22"/>
        </w:rPr>
        <w:t>Y</w:t>
      </w:r>
      <w:r w:rsidR="006F4C5D">
        <w:rPr>
          <w:rFonts w:ascii="Arial" w:hAnsi="Arial" w:cs="Arial"/>
          <w:sz w:val="22"/>
          <w:szCs w:val="22"/>
        </w:rPr>
        <w:t xml:space="preserve"> and </w:t>
      </w:r>
      <w:r w:rsidR="006F4C5D" w:rsidRPr="008E72E9">
        <w:rPr>
          <w:rFonts w:ascii="Arial" w:hAnsi="Arial" w:cs="Arial"/>
          <w:i/>
          <w:iCs/>
          <w:sz w:val="22"/>
          <w:szCs w:val="22"/>
        </w:rPr>
        <w:t>A</w:t>
      </w:r>
      <w:r w:rsidR="006F4C5D">
        <w:rPr>
          <w:rFonts w:ascii="Arial" w:hAnsi="Arial" w:cs="Arial"/>
          <w:sz w:val="22"/>
          <w:szCs w:val="22"/>
        </w:rPr>
        <w:t xml:space="preserve"> – </w:t>
      </w:r>
      <w:r w:rsidR="006F4C5D" w:rsidRPr="008E72E9">
        <w:rPr>
          <w:rFonts w:ascii="Arial" w:hAnsi="Arial" w:cs="Arial"/>
          <w:i/>
          <w:iCs/>
          <w:sz w:val="22"/>
          <w:szCs w:val="22"/>
        </w:rPr>
        <w:t>N</w:t>
      </w:r>
      <w:r w:rsidR="006F4C5D">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sidR="00011CEB">
        <w:rPr>
          <w:rFonts w:ascii="Arial" w:hAnsi="Arial" w:cs="Arial"/>
          <w:sz w:val="22"/>
          <w:szCs w:val="22"/>
        </w:rPr>
        <w:t xml:space="preserve">exposure and confounder </w:t>
      </w:r>
      <w:r w:rsidRPr="00971A37">
        <w:rPr>
          <w:rFonts w:ascii="Arial" w:hAnsi="Arial" w:cs="Arial"/>
          <w:sz w:val="22"/>
          <w:szCs w:val="22"/>
        </w:rPr>
        <w:t>variables relate to one another and to both outcomes.</w:t>
      </w:r>
      <w:r w:rsidR="00DA7834">
        <w:rPr>
          <w:rFonts w:ascii="Arial" w:hAnsi="Arial" w:cs="Arial"/>
          <w:sz w:val="22"/>
          <w:szCs w:val="22"/>
        </w:rPr>
        <w:t xml:space="preserve"> </w:t>
      </w:r>
      <w:r w:rsidR="00474112">
        <w:rPr>
          <w:rFonts w:ascii="Arial" w:hAnsi="Arial" w:cs="Arial"/>
          <w:sz w:val="22"/>
          <w:szCs w:val="22"/>
        </w:rPr>
        <w:t>In any case, negative control analyses</w:t>
      </w:r>
      <w:r w:rsidR="00DA7834">
        <w:rPr>
          <w:rFonts w:ascii="Arial" w:hAnsi="Arial" w:cs="Arial"/>
          <w:sz w:val="22"/>
          <w:szCs w:val="22"/>
        </w:rPr>
        <w:t xml:space="preserve"> have not been used</w:t>
      </w:r>
      <w:r w:rsidR="00474112">
        <w:rPr>
          <w:rFonts w:ascii="Arial" w:hAnsi="Arial" w:cs="Arial"/>
          <w:sz w:val="22"/>
          <w:szCs w:val="22"/>
        </w:rPr>
        <w:t xml:space="preserve"> </w:t>
      </w:r>
      <w:r w:rsidR="00DA6500">
        <w:rPr>
          <w:rFonts w:ascii="Arial" w:hAnsi="Arial" w:cs="Arial"/>
          <w:sz w:val="22"/>
          <w:szCs w:val="22"/>
        </w:rPr>
        <w:t xml:space="preserve">widely </w:t>
      </w:r>
      <w:r w:rsidR="00DA7834">
        <w:rPr>
          <w:rFonts w:ascii="Arial" w:hAnsi="Arial" w:cs="Arial"/>
          <w:sz w:val="22"/>
          <w:szCs w:val="22"/>
        </w:rPr>
        <w:t xml:space="preserve">to </w:t>
      </w:r>
      <w:r w:rsidR="00474112">
        <w:rPr>
          <w:rFonts w:ascii="Arial" w:hAnsi="Arial" w:cs="Arial"/>
          <w:sz w:val="22"/>
          <w:szCs w:val="22"/>
        </w:rPr>
        <w:t>address other sources of bias, such as selection bias and measurement error in the exposure and outcome.</w:t>
      </w:r>
      <w:r w:rsidR="00BF2759">
        <w:rPr>
          <w:rFonts w:ascii="Arial" w:hAnsi="Arial" w:cs="Arial"/>
          <w:sz w:val="22"/>
          <w:szCs w:val="22"/>
        </w:rPr>
        <w:t xml:space="preserve"> </w:t>
      </w:r>
      <w:r w:rsidR="00425C68">
        <w:rPr>
          <w:rFonts w:ascii="Arial" w:hAnsi="Arial" w:cs="Arial"/>
          <w:sz w:val="22"/>
          <w:szCs w:val="22"/>
        </w:rPr>
        <w:t>Although negative control outcome analyses c</w:t>
      </w:r>
      <w:r w:rsidR="00DC0D7D">
        <w:rPr>
          <w:rFonts w:ascii="Arial" w:hAnsi="Arial" w:cs="Arial"/>
          <w:sz w:val="22"/>
          <w:szCs w:val="22"/>
        </w:rPr>
        <w:t xml:space="preserve">ould </w:t>
      </w:r>
      <w:r w:rsidR="00425C68">
        <w:rPr>
          <w:rFonts w:ascii="Arial" w:hAnsi="Arial" w:cs="Arial"/>
          <w:sz w:val="22"/>
          <w:szCs w:val="22"/>
        </w:rPr>
        <w:t xml:space="preserve">be useful in those cases, </w:t>
      </w:r>
      <w:r w:rsidR="00C84455">
        <w:rPr>
          <w:rFonts w:ascii="Arial" w:hAnsi="Arial" w:cs="Arial"/>
          <w:sz w:val="22"/>
          <w:szCs w:val="22"/>
        </w:rPr>
        <w:t>similar application concerns would remain</w:t>
      </w:r>
      <w:r w:rsidR="00691F9A">
        <w:rPr>
          <w:rFonts w:ascii="Arial" w:hAnsi="Arial" w:cs="Arial"/>
          <w:sz w:val="22"/>
          <w:szCs w:val="22"/>
        </w:rPr>
        <w:t xml:space="preserve"> </w:t>
      </w:r>
      <w:r w:rsidR="0071046D">
        <w:rPr>
          <w:rFonts w:ascii="Arial" w:hAnsi="Arial" w:cs="Arial"/>
          <w:sz w:val="22"/>
          <w:szCs w:val="22"/>
        </w:rPr>
        <w:fldChar w:fldCharType="begin"/>
      </w:r>
      <w:r w:rsidR="0071046D">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sidR="0071046D">
        <w:rPr>
          <w:rFonts w:ascii="Arial" w:hAnsi="Arial" w:cs="Arial"/>
          <w:sz w:val="22"/>
          <w:szCs w:val="22"/>
        </w:rPr>
        <w:fldChar w:fldCharType="separate"/>
      </w:r>
      <w:r w:rsidR="0071046D">
        <w:rPr>
          <w:rFonts w:ascii="Arial" w:hAnsi="Arial" w:cs="Arial"/>
          <w:noProof/>
          <w:sz w:val="22"/>
          <w:szCs w:val="22"/>
        </w:rPr>
        <w:t>[13]</w:t>
      </w:r>
      <w:r w:rsidR="0071046D">
        <w:rPr>
          <w:rFonts w:ascii="Arial" w:hAnsi="Arial" w:cs="Arial"/>
          <w:sz w:val="22"/>
          <w:szCs w:val="22"/>
        </w:rPr>
        <w:fldChar w:fldCharType="end"/>
      </w:r>
      <w:r w:rsidR="00C84455">
        <w:rPr>
          <w:rFonts w:ascii="Arial" w:hAnsi="Arial" w:cs="Arial"/>
          <w:sz w:val="22"/>
          <w:szCs w:val="22"/>
        </w:rPr>
        <w:t xml:space="preserve">. </w:t>
      </w:r>
    </w:p>
    <w:p w14:paraId="7B74D1A8" w14:textId="7F164389" w:rsidR="00B80271" w:rsidRDefault="00BF2759" w:rsidP="00A60CFC">
      <w:pPr>
        <w:spacing w:line="360" w:lineRule="auto"/>
        <w:ind w:firstLine="360"/>
        <w:rPr>
          <w:rFonts w:ascii="Arial" w:hAnsi="Arial" w:cs="Arial"/>
          <w:sz w:val="22"/>
          <w:szCs w:val="22"/>
        </w:rPr>
      </w:pPr>
      <w:r>
        <w:rPr>
          <w:rFonts w:ascii="Arial" w:hAnsi="Arial" w:cs="Arial"/>
          <w:sz w:val="22"/>
          <w:szCs w:val="22"/>
        </w:rPr>
        <w:t>Even if a negative control outcome analysis is conducted appropriately, if a positive association is observed between the exposure of interest and negative control outcome, it is not always clear</w:t>
      </w:r>
      <w:r w:rsidR="00091923">
        <w:rPr>
          <w:rFonts w:ascii="Arial" w:hAnsi="Arial" w:cs="Arial"/>
          <w:sz w:val="22"/>
          <w:szCs w:val="22"/>
        </w:rPr>
        <w:t xml:space="preserve"> </w:t>
      </w:r>
      <w:r w:rsidR="00A17A37">
        <w:rPr>
          <w:rFonts w:ascii="Arial" w:hAnsi="Arial" w:cs="Arial"/>
          <w:sz w:val="22"/>
          <w:szCs w:val="22"/>
        </w:rPr>
        <w:t xml:space="preserve">what may be biasing results. </w:t>
      </w:r>
      <w:r w:rsidR="00C26049">
        <w:rPr>
          <w:rFonts w:ascii="Arial" w:hAnsi="Arial" w:cs="Arial"/>
          <w:sz w:val="22"/>
          <w:szCs w:val="22"/>
        </w:rPr>
        <w:t xml:space="preserve">Bias could be </w:t>
      </w:r>
      <w:r>
        <w:rPr>
          <w:rFonts w:ascii="Arial" w:hAnsi="Arial" w:cs="Arial"/>
          <w:sz w:val="22"/>
          <w:szCs w:val="22"/>
        </w:rPr>
        <w:t xml:space="preserve">due to an unobserved confounder, or from an observed confounder assessed or modelled inadequately. </w:t>
      </w:r>
      <w:r w:rsidR="00CF4786">
        <w:rPr>
          <w:rFonts w:ascii="Arial" w:hAnsi="Arial" w:cs="Arial"/>
          <w:sz w:val="22"/>
          <w:szCs w:val="22"/>
        </w:rPr>
        <w:t>In any case, sensitivity analyses on the functional form of all included potential confounder</w:t>
      </w:r>
      <w:r w:rsidR="0036663A">
        <w:rPr>
          <w:rFonts w:ascii="Arial" w:hAnsi="Arial" w:cs="Arial"/>
          <w:sz w:val="22"/>
          <w:szCs w:val="22"/>
        </w:rPr>
        <w:t xml:space="preserve">s </w:t>
      </w:r>
      <w:r w:rsidR="0086120F">
        <w:rPr>
          <w:rFonts w:ascii="Arial" w:hAnsi="Arial" w:cs="Arial"/>
          <w:sz w:val="22"/>
          <w:szCs w:val="22"/>
        </w:rPr>
        <w:t xml:space="preserve">can help. </w:t>
      </w:r>
    </w:p>
    <w:p w14:paraId="13031827" w14:textId="74A96CA9" w:rsidR="00BA0AA9" w:rsidRDefault="005E6B14" w:rsidP="00561A2C">
      <w:pPr>
        <w:spacing w:line="360" w:lineRule="auto"/>
        <w:ind w:firstLine="360"/>
        <w:rPr>
          <w:rFonts w:ascii="Arial" w:hAnsi="Arial" w:cs="Arial"/>
          <w:sz w:val="22"/>
          <w:szCs w:val="22"/>
        </w:rPr>
      </w:pPr>
      <w:r>
        <w:rPr>
          <w:rFonts w:ascii="Arial" w:hAnsi="Arial" w:cs="Arial"/>
          <w:sz w:val="22"/>
          <w:szCs w:val="22"/>
        </w:rPr>
        <w:t>O</w:t>
      </w:r>
      <w:r w:rsidR="00F23483" w:rsidRPr="00B15C3E">
        <w:rPr>
          <w:rFonts w:ascii="Arial" w:hAnsi="Arial" w:cs="Arial"/>
          <w:sz w:val="22"/>
          <w:szCs w:val="22"/>
        </w:rPr>
        <w:t>ur simulations used simple linear model</w:t>
      </w:r>
      <w:r w:rsidR="00F23483">
        <w:rPr>
          <w:rFonts w:ascii="Arial" w:hAnsi="Arial" w:cs="Arial"/>
          <w:sz w:val="22"/>
          <w:szCs w:val="22"/>
        </w:rPr>
        <w:t>s</w:t>
      </w:r>
      <w:r w:rsidR="00F23483" w:rsidRPr="00B15C3E">
        <w:rPr>
          <w:rFonts w:ascii="Arial" w:hAnsi="Arial" w:cs="Arial"/>
          <w:sz w:val="22"/>
          <w:szCs w:val="22"/>
        </w:rPr>
        <w:t xml:space="preserve"> with continuous exposure and outcome</w:t>
      </w:r>
      <w:r>
        <w:rPr>
          <w:rFonts w:ascii="Arial" w:hAnsi="Arial" w:cs="Arial"/>
          <w:sz w:val="22"/>
          <w:szCs w:val="22"/>
        </w:rPr>
        <w:t xml:space="preserve">; </w:t>
      </w:r>
      <w:r w:rsidR="00F23483" w:rsidRPr="00B15C3E">
        <w:rPr>
          <w:rFonts w:ascii="Arial" w:hAnsi="Arial" w:cs="Arial"/>
          <w:sz w:val="22"/>
          <w:szCs w:val="22"/>
        </w:rPr>
        <w:t xml:space="preserve">the core concerns </w:t>
      </w:r>
      <w:r w:rsidR="00F23483">
        <w:rPr>
          <w:rFonts w:ascii="Arial" w:hAnsi="Arial" w:cs="Arial"/>
          <w:sz w:val="22"/>
          <w:szCs w:val="22"/>
        </w:rPr>
        <w:t>we</w:t>
      </w:r>
      <w:r w:rsidR="00F23483" w:rsidRPr="00B15C3E">
        <w:rPr>
          <w:rFonts w:ascii="Arial" w:hAnsi="Arial" w:cs="Arial"/>
          <w:sz w:val="22"/>
          <w:szCs w:val="22"/>
        </w:rPr>
        <w:t xml:space="preserve"> illustrate</w:t>
      </w:r>
      <w:r w:rsidR="00F23483">
        <w:rPr>
          <w:rFonts w:ascii="Arial" w:hAnsi="Arial" w:cs="Arial"/>
          <w:sz w:val="22"/>
          <w:szCs w:val="22"/>
        </w:rPr>
        <w:t>d</w:t>
      </w:r>
      <w:r w:rsidR="00F23483" w:rsidRPr="00B15C3E">
        <w:rPr>
          <w:rFonts w:ascii="Arial" w:hAnsi="Arial" w:cs="Arial"/>
          <w:sz w:val="22"/>
          <w:szCs w:val="22"/>
        </w:rPr>
        <w:t xml:space="preserve"> likely persist in more complicated analyses.</w:t>
      </w:r>
      <w:r w:rsidR="00F23483" w:rsidRPr="00971A37">
        <w:rPr>
          <w:rFonts w:ascii="Arial" w:hAnsi="Arial" w:cs="Arial"/>
          <w:sz w:val="22"/>
          <w:szCs w:val="22"/>
        </w:rPr>
        <w:t xml:space="preserve"> When relationships between exposure, outcome, confounders, and negative control outcomes are complex, as they are in real</w:t>
      </w:r>
      <w:r w:rsidR="00F23483">
        <w:rPr>
          <w:rFonts w:ascii="Arial" w:hAnsi="Arial" w:cs="Arial"/>
          <w:sz w:val="22"/>
          <w:szCs w:val="22"/>
        </w:rPr>
        <w:t>-</w:t>
      </w:r>
      <w:r>
        <w:rPr>
          <w:rFonts w:ascii="Arial" w:hAnsi="Arial" w:cs="Arial"/>
          <w:sz w:val="22"/>
          <w:szCs w:val="22"/>
        </w:rPr>
        <w:t>wo</w:t>
      </w:r>
      <w:r w:rsidR="00FF2CF4">
        <w:rPr>
          <w:rFonts w:ascii="Arial" w:hAnsi="Arial" w:cs="Arial"/>
          <w:sz w:val="22"/>
          <w:szCs w:val="22"/>
        </w:rPr>
        <w:t>rld</w:t>
      </w:r>
      <w:r w:rsidRPr="00971A37">
        <w:rPr>
          <w:rFonts w:ascii="Arial" w:hAnsi="Arial" w:cs="Arial"/>
          <w:sz w:val="22"/>
          <w:szCs w:val="22"/>
        </w:rPr>
        <w:t xml:space="preserve"> </w:t>
      </w:r>
      <w:r w:rsidR="00F23483" w:rsidRPr="00971A37">
        <w:rPr>
          <w:rFonts w:ascii="Arial" w:hAnsi="Arial" w:cs="Arial"/>
          <w:sz w:val="22"/>
          <w:szCs w:val="22"/>
        </w:rPr>
        <w:t xml:space="preserve">studies, negative control analyses </w:t>
      </w:r>
      <w:r w:rsidR="00FF2CF4">
        <w:rPr>
          <w:rFonts w:ascii="Arial" w:hAnsi="Arial" w:cs="Arial"/>
          <w:sz w:val="22"/>
          <w:szCs w:val="22"/>
        </w:rPr>
        <w:t xml:space="preserve">may be more likely to </w:t>
      </w:r>
      <w:r w:rsidR="00F23483">
        <w:rPr>
          <w:rFonts w:ascii="Arial" w:hAnsi="Arial" w:cs="Arial"/>
          <w:sz w:val="22"/>
          <w:szCs w:val="22"/>
        </w:rPr>
        <w:t xml:space="preserve">yield a </w:t>
      </w:r>
      <w:r w:rsidR="00930E11">
        <w:rPr>
          <w:rFonts w:ascii="Arial" w:hAnsi="Arial" w:cs="Arial"/>
          <w:sz w:val="22"/>
          <w:szCs w:val="22"/>
        </w:rPr>
        <w:t>false</w:t>
      </w:r>
      <w:r w:rsidR="00F23483">
        <w:rPr>
          <w:rFonts w:ascii="Arial" w:hAnsi="Arial" w:cs="Arial"/>
          <w:sz w:val="22"/>
          <w:szCs w:val="22"/>
        </w:rPr>
        <w:t xml:space="preserve"> sense</w:t>
      </w:r>
      <w:r w:rsidR="00F23483" w:rsidRPr="00971A37">
        <w:rPr>
          <w:rFonts w:ascii="Arial" w:hAnsi="Arial" w:cs="Arial"/>
          <w:sz w:val="22"/>
          <w:szCs w:val="22"/>
        </w:rPr>
        <w:t xml:space="preserve"> </w:t>
      </w:r>
      <w:r w:rsidR="00030F44">
        <w:rPr>
          <w:rFonts w:ascii="Arial" w:hAnsi="Arial" w:cs="Arial"/>
          <w:sz w:val="22"/>
          <w:szCs w:val="22"/>
        </w:rPr>
        <w:t>of confidence about</w:t>
      </w:r>
      <w:r w:rsidR="00F23483" w:rsidRPr="00971A37">
        <w:rPr>
          <w:rFonts w:ascii="Arial" w:hAnsi="Arial" w:cs="Arial"/>
          <w:sz w:val="22"/>
          <w:szCs w:val="22"/>
        </w:rPr>
        <w:t xml:space="preserve"> the </w:t>
      </w:r>
      <w:r w:rsidR="00F23483">
        <w:rPr>
          <w:rFonts w:ascii="Arial" w:hAnsi="Arial" w:cs="Arial"/>
          <w:sz w:val="22"/>
          <w:szCs w:val="22"/>
        </w:rPr>
        <w:t>absence of confounding bias</w:t>
      </w:r>
      <w:r w:rsidR="00F23483" w:rsidRPr="00971A37">
        <w:rPr>
          <w:rFonts w:ascii="Arial" w:hAnsi="Arial" w:cs="Arial"/>
          <w:sz w:val="22"/>
          <w:szCs w:val="22"/>
        </w:rPr>
        <w:t xml:space="preserve"> </w:t>
      </w:r>
      <w:r w:rsidR="00F23483">
        <w:rPr>
          <w:rFonts w:ascii="Arial" w:hAnsi="Arial" w:cs="Arial"/>
          <w:sz w:val="22"/>
          <w:szCs w:val="22"/>
        </w:rPr>
        <w:t>in</w:t>
      </w:r>
      <w:r w:rsidR="00F23483" w:rsidRPr="00971A37">
        <w:rPr>
          <w:rFonts w:ascii="Arial" w:hAnsi="Arial" w:cs="Arial"/>
          <w:sz w:val="22"/>
          <w:szCs w:val="22"/>
        </w:rPr>
        <w:t xml:space="preserve"> an </w:t>
      </w:r>
      <w:r w:rsidR="00F23483">
        <w:rPr>
          <w:rFonts w:ascii="Arial" w:hAnsi="Arial" w:cs="Arial"/>
          <w:sz w:val="22"/>
          <w:szCs w:val="22"/>
        </w:rPr>
        <w:t>estimated</w:t>
      </w:r>
      <w:r w:rsidR="00F23483" w:rsidRPr="00971A37">
        <w:rPr>
          <w:rFonts w:ascii="Arial" w:hAnsi="Arial" w:cs="Arial"/>
          <w:sz w:val="22"/>
          <w:szCs w:val="22"/>
        </w:rPr>
        <w:t xml:space="preserve"> effect. </w:t>
      </w:r>
    </w:p>
    <w:p w14:paraId="32C9CBAB" w14:textId="6F0E6EBF" w:rsidR="00A74486" w:rsidRDefault="0063126A" w:rsidP="00AB52ED">
      <w:pPr>
        <w:spacing w:line="360" w:lineRule="auto"/>
        <w:ind w:firstLine="360"/>
        <w:rPr>
          <w:rFonts w:ascii="Arial" w:hAnsi="Arial" w:cs="Arial"/>
          <w:sz w:val="22"/>
          <w:szCs w:val="22"/>
        </w:rPr>
      </w:pPr>
      <w:r>
        <w:rPr>
          <w:rFonts w:ascii="Arial" w:hAnsi="Arial" w:cs="Arial"/>
          <w:sz w:val="22"/>
          <w:szCs w:val="22"/>
        </w:rPr>
        <w:t xml:space="preserve">In some cases, </w:t>
      </w:r>
      <w:r w:rsidR="000401D8">
        <w:rPr>
          <w:rFonts w:ascii="Arial" w:hAnsi="Arial" w:cs="Arial"/>
          <w:sz w:val="22"/>
          <w:szCs w:val="22"/>
        </w:rPr>
        <w:t xml:space="preserve">instead of negative control outcomes, </w:t>
      </w:r>
      <w:r>
        <w:rPr>
          <w:rFonts w:ascii="Arial" w:hAnsi="Arial" w:cs="Arial"/>
          <w:sz w:val="22"/>
          <w:szCs w:val="22"/>
        </w:rPr>
        <w:t>n</w:t>
      </w:r>
      <w:r w:rsidR="00EA15DE">
        <w:rPr>
          <w:rFonts w:ascii="Arial" w:hAnsi="Arial" w:cs="Arial"/>
          <w:sz w:val="22"/>
          <w:szCs w:val="22"/>
        </w:rPr>
        <w:t>egative control exposures can be used to evaluate if there is residual confounding in a primary analysis</w:t>
      </w:r>
      <w:r w:rsidR="00B42242">
        <w:rPr>
          <w:rFonts w:ascii="Arial" w:hAnsi="Arial" w:cs="Arial"/>
          <w:sz w:val="22"/>
          <w:szCs w:val="22"/>
        </w:rPr>
        <w:t xml:space="preserve"> </w:t>
      </w:r>
      <w:r w:rsidR="00B42242">
        <w:rPr>
          <w:rFonts w:ascii="Arial" w:hAnsi="Arial" w:cs="Arial"/>
          <w:sz w:val="22"/>
          <w:szCs w:val="22"/>
        </w:rPr>
        <w:fldChar w:fldCharType="begin"/>
      </w:r>
      <w:r w:rsidR="0071046D">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sidR="00B42242">
        <w:rPr>
          <w:rFonts w:ascii="Arial" w:hAnsi="Arial" w:cs="Arial"/>
          <w:sz w:val="22"/>
          <w:szCs w:val="22"/>
        </w:rPr>
        <w:fldChar w:fldCharType="separate"/>
      </w:r>
      <w:r w:rsidR="0071046D">
        <w:rPr>
          <w:rFonts w:ascii="Arial" w:hAnsi="Arial" w:cs="Arial"/>
          <w:noProof/>
          <w:sz w:val="22"/>
          <w:szCs w:val="22"/>
        </w:rPr>
        <w:t>[14], [15]</w:t>
      </w:r>
      <w:r w:rsidR="00B42242">
        <w:rPr>
          <w:rFonts w:ascii="Arial" w:hAnsi="Arial" w:cs="Arial"/>
          <w:sz w:val="22"/>
          <w:szCs w:val="22"/>
        </w:rPr>
        <w:fldChar w:fldCharType="end"/>
      </w:r>
      <w:r>
        <w:rPr>
          <w:rFonts w:ascii="Arial" w:hAnsi="Arial" w:cs="Arial"/>
          <w:sz w:val="22"/>
          <w:szCs w:val="22"/>
        </w:rPr>
        <w:t xml:space="preserve">. </w:t>
      </w:r>
      <w:r w:rsidR="00110189">
        <w:rPr>
          <w:rFonts w:ascii="Arial" w:hAnsi="Arial" w:cs="Arial"/>
          <w:sz w:val="22"/>
          <w:szCs w:val="22"/>
        </w:rPr>
        <w:t>In negative control exposure analysis, another exposure known to not cause the outcome</w:t>
      </w:r>
      <w:r w:rsidR="005C6F53">
        <w:rPr>
          <w:rFonts w:ascii="Arial" w:hAnsi="Arial" w:cs="Arial"/>
          <w:sz w:val="22"/>
          <w:szCs w:val="22"/>
        </w:rPr>
        <w:t xml:space="preserve"> and share a</w:t>
      </w:r>
      <w:r w:rsidR="00FF2CF4">
        <w:rPr>
          <w:rFonts w:ascii="Arial" w:hAnsi="Arial" w:cs="Arial"/>
          <w:sz w:val="22"/>
          <w:szCs w:val="22"/>
        </w:rPr>
        <w:t xml:space="preserve">n unobserved </w:t>
      </w:r>
      <w:r w:rsidR="005C6F53">
        <w:rPr>
          <w:rFonts w:ascii="Arial" w:hAnsi="Arial" w:cs="Arial"/>
          <w:sz w:val="22"/>
          <w:szCs w:val="22"/>
        </w:rPr>
        <w:t>confounding structure with the primary exposure of interest is used</w:t>
      </w:r>
      <w:r w:rsidR="007558D0">
        <w:rPr>
          <w:rFonts w:ascii="Arial" w:hAnsi="Arial" w:cs="Arial"/>
          <w:sz w:val="22"/>
          <w:szCs w:val="22"/>
        </w:rPr>
        <w:t xml:space="preserve"> (</w:t>
      </w:r>
      <w:r w:rsidR="00A05417">
        <w:rPr>
          <w:rFonts w:ascii="Arial" w:hAnsi="Arial" w:cs="Arial"/>
          <w:sz w:val="22"/>
          <w:szCs w:val="22"/>
        </w:rPr>
        <w:t>for example,</w:t>
      </w:r>
      <w:r w:rsidR="007558D0">
        <w:rPr>
          <w:rFonts w:ascii="Arial" w:hAnsi="Arial" w:cs="Arial"/>
          <w:sz w:val="22"/>
          <w:szCs w:val="22"/>
        </w:rPr>
        <w:t xml:space="preserve"> an exposure that happened after the outcome of interest</w:t>
      </w:r>
      <w:r w:rsidR="00B14A61">
        <w:rPr>
          <w:rFonts w:ascii="Arial" w:hAnsi="Arial" w:cs="Arial"/>
          <w:sz w:val="22"/>
          <w:szCs w:val="22"/>
        </w:rPr>
        <w:t xml:space="preserve"> </w:t>
      </w:r>
      <w:r w:rsidR="00B14A61">
        <w:rPr>
          <w:rFonts w:ascii="Arial" w:hAnsi="Arial" w:cs="Arial"/>
          <w:sz w:val="22"/>
          <w:szCs w:val="22"/>
        </w:rPr>
        <w:fldChar w:fldCharType="begin"/>
      </w:r>
      <w:r w:rsidR="0071046D">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sidR="0071046D">
        <w:rPr>
          <w:rFonts w:ascii="Cambria Math" w:hAnsi="Cambria Math" w:cs="Cambria Math"/>
          <w:sz w:val="22"/>
          <w:szCs w:val="22"/>
        </w:rPr>
        <w:instrText>ﬃ</w:instrText>
      </w:r>
      <w:r w:rsidR="0071046D">
        <w:rPr>
          <w:rFonts w:ascii="Arial" w:hAnsi="Arial" w:cs="Arial"/>
          <w:sz w:val="22"/>
          <w:szCs w:val="22"/>
        </w:rPr>
        <w:instrText>c, has also been associated with mortality but is less studied. We previously found a causal e</w:instrText>
      </w:r>
      <w:r w:rsidR="0071046D">
        <w:rPr>
          <w:rFonts w:ascii="Cambria Math" w:hAnsi="Cambria Math" w:cs="Cambria Math"/>
          <w:sz w:val="22"/>
          <w:szCs w:val="22"/>
        </w:rPr>
        <w:instrText>ﬀ</w:instrText>
      </w:r>
      <w:r w:rsidR="0071046D">
        <w:rPr>
          <w:rFonts w:ascii="Arial" w:hAnsi="Arial" w:cs="Arial"/>
          <w:sz w:val="22"/>
          <w:szCs w:val="22"/>
        </w:rPr>
        <w:instrText>ect between local air pollution and mortality in Boston.\nOBJECTIVES: We aimed to estimate the causal e</w:instrText>
      </w:r>
      <w:r w:rsidR="0071046D">
        <w:rPr>
          <w:rFonts w:ascii="Cambria Math" w:hAnsi="Cambria Math" w:cs="Cambria Math"/>
          <w:sz w:val="22"/>
          <w:szCs w:val="22"/>
        </w:rPr>
        <w:instrText>ﬀ</w:instrText>
      </w:r>
      <w:r w:rsidR="0071046D">
        <w:rPr>
          <w:rFonts w:ascii="Arial" w:hAnsi="Arial" w:cs="Arial"/>
          <w:sz w:val="22"/>
          <w:szCs w:val="22"/>
        </w:rPr>
        <w:instrText>ects of local pollution, PM2:5, and NO2 on mortality in 135 U.S. cities.\nMETHODS: We used three methods which, under di</w:instrText>
      </w:r>
      <w:r w:rsidR="0071046D">
        <w:rPr>
          <w:rFonts w:ascii="Cambria Math" w:hAnsi="Cambria Math" w:cs="Cambria Math"/>
          <w:sz w:val="22"/>
          <w:szCs w:val="22"/>
        </w:rPr>
        <w:instrText>ﬀ</w:instrText>
      </w:r>
      <w:r w:rsidR="0071046D">
        <w:rPr>
          <w:rFonts w:ascii="Arial" w:hAnsi="Arial" w:cs="Arial"/>
          <w:sz w:val="22"/>
          <w:szCs w:val="22"/>
        </w:rPr>
        <w:instrText>erent assumptions, provide causal marginal estimates of e</w:instrText>
      </w:r>
      <w:r w:rsidR="0071046D">
        <w:rPr>
          <w:rFonts w:ascii="Cambria Math" w:hAnsi="Cambria Math" w:cs="Cambria Math"/>
          <w:sz w:val="22"/>
          <w:szCs w:val="22"/>
        </w:rPr>
        <w:instrText>ﬀ</w:instrText>
      </w:r>
      <w:r w:rsidR="0071046D">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sidR="0071046D">
        <w:rPr>
          <w:rFonts w:ascii="Cambria Math" w:hAnsi="Cambria Math" w:cs="Cambria Math"/>
          <w:sz w:val="22"/>
          <w:szCs w:val="22"/>
        </w:rPr>
        <w:instrText>ﬀ</w:instrText>
      </w:r>
      <w:r w:rsidR="0071046D">
        <w:rPr>
          <w:rFonts w:ascii="Arial" w:hAnsi="Arial" w:cs="Arial"/>
          <w:sz w:val="22"/>
          <w:szCs w:val="22"/>
        </w:rPr>
        <w:instrText>ects of NO2 from the e</w:instrText>
      </w:r>
      <w:r w:rsidR="0071046D">
        <w:rPr>
          <w:rFonts w:ascii="Cambria Math" w:hAnsi="Cambria Math" w:cs="Cambria Math"/>
          <w:sz w:val="22"/>
          <w:szCs w:val="22"/>
        </w:rPr>
        <w:instrText>ﬀ</w:instrText>
      </w:r>
      <w:r w:rsidR="0071046D">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sidR="0071046D">
        <w:rPr>
          <w:rFonts w:ascii="Cambria Math" w:hAnsi="Cambria Math" w:cs="Cambria Math"/>
          <w:sz w:val="22"/>
          <w:szCs w:val="22"/>
        </w:rPr>
        <w:instrText>ﬀ</w:instrText>
      </w:r>
      <w:r w:rsidR="0071046D">
        <w:rPr>
          <w:rFonts w:ascii="Arial" w:hAnsi="Arial" w:cs="Arial"/>
          <w:sz w:val="22"/>
          <w:szCs w:val="22"/>
        </w:rPr>
        <w:instrText>erent assumptions, demonstrated causal e</w:instrText>
      </w:r>
      <w:r w:rsidR="0071046D">
        <w:rPr>
          <w:rFonts w:ascii="Cambria Math" w:hAnsi="Cambria Math" w:cs="Cambria Math"/>
          <w:sz w:val="22"/>
          <w:szCs w:val="22"/>
        </w:rPr>
        <w:instrText>ﬀ</w:instrText>
      </w:r>
      <w:r w:rsidR="0071046D">
        <w:rPr>
          <w:rFonts w:ascii="Arial" w:hAnsi="Arial" w:cs="Arial"/>
          <w:sz w:val="22"/>
          <w:szCs w:val="22"/>
        </w:rPr>
        <w:instrText>ects of locally generated pollutants on daily deaths with e</w:instrText>
      </w:r>
      <w:r w:rsidR="0071046D">
        <w:rPr>
          <w:rFonts w:ascii="Cambria Math" w:hAnsi="Cambria Math" w:cs="Cambria Math"/>
          <w:sz w:val="22"/>
          <w:szCs w:val="22"/>
        </w:rPr>
        <w:instrText>ﬀ</w:instrText>
      </w:r>
      <w:r w:rsidR="0071046D">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sidR="00B14A61">
        <w:rPr>
          <w:rFonts w:ascii="Arial" w:hAnsi="Arial" w:cs="Arial"/>
          <w:sz w:val="22"/>
          <w:szCs w:val="22"/>
        </w:rPr>
        <w:fldChar w:fldCharType="separate"/>
      </w:r>
      <w:r w:rsidR="0071046D">
        <w:rPr>
          <w:rFonts w:ascii="Arial" w:hAnsi="Arial" w:cs="Arial"/>
          <w:noProof/>
          <w:sz w:val="22"/>
          <w:szCs w:val="22"/>
        </w:rPr>
        <w:t>[16]</w:t>
      </w:r>
      <w:r w:rsidR="00B14A61">
        <w:rPr>
          <w:rFonts w:ascii="Arial" w:hAnsi="Arial" w:cs="Arial"/>
          <w:sz w:val="22"/>
          <w:szCs w:val="22"/>
        </w:rPr>
        <w:fldChar w:fldCharType="end"/>
      </w:r>
      <w:r w:rsidR="007558D0">
        <w:rPr>
          <w:rFonts w:ascii="Arial" w:hAnsi="Arial" w:cs="Arial"/>
          <w:sz w:val="22"/>
          <w:szCs w:val="22"/>
        </w:rPr>
        <w:t>)</w:t>
      </w:r>
      <w:r w:rsidR="005C6F53">
        <w:rPr>
          <w:rFonts w:ascii="Arial" w:hAnsi="Arial" w:cs="Arial"/>
          <w:sz w:val="22"/>
          <w:szCs w:val="22"/>
        </w:rPr>
        <w:t xml:space="preserve">. </w:t>
      </w:r>
      <w:r w:rsidR="00FA45BE">
        <w:rPr>
          <w:rFonts w:ascii="Arial" w:hAnsi="Arial" w:cs="Arial"/>
          <w:sz w:val="22"/>
          <w:szCs w:val="22"/>
        </w:rPr>
        <w:t>In this paper, we only explored some limitations of negative control outcome analyse</w:t>
      </w:r>
      <w:r w:rsidR="00A8311F">
        <w:rPr>
          <w:rFonts w:ascii="Arial" w:hAnsi="Arial" w:cs="Arial"/>
          <w:sz w:val="22"/>
          <w:szCs w:val="22"/>
        </w:rPr>
        <w:t>s.</w:t>
      </w:r>
      <w:r w:rsidR="00FA45BE">
        <w:rPr>
          <w:rFonts w:ascii="Arial" w:hAnsi="Arial" w:cs="Arial"/>
          <w:sz w:val="22"/>
          <w:szCs w:val="22"/>
        </w:rPr>
        <w:t xml:space="preserve"> </w:t>
      </w:r>
      <w:r w:rsidR="00FF2CF4">
        <w:rPr>
          <w:rFonts w:ascii="Arial" w:hAnsi="Arial" w:cs="Arial"/>
          <w:sz w:val="22"/>
          <w:szCs w:val="22"/>
        </w:rPr>
        <w:t xml:space="preserve">Negative control exposures </w:t>
      </w:r>
      <w:r w:rsidR="00A8311F">
        <w:rPr>
          <w:rFonts w:ascii="Arial" w:hAnsi="Arial" w:cs="Arial"/>
          <w:sz w:val="22"/>
          <w:szCs w:val="22"/>
        </w:rPr>
        <w:t>have been applied more successfully and are often more realistic</w:t>
      </w:r>
      <w:r w:rsidR="00A501E1">
        <w:rPr>
          <w:rFonts w:ascii="Arial" w:hAnsi="Arial" w:cs="Arial"/>
          <w:sz w:val="22"/>
          <w:szCs w:val="22"/>
        </w:rPr>
        <w:t xml:space="preserve"> than negative control outcomes </w:t>
      </w:r>
      <w:r w:rsidR="000A321E">
        <w:rPr>
          <w:rFonts w:ascii="Arial" w:hAnsi="Arial" w:cs="Arial"/>
          <w:sz w:val="22"/>
          <w:szCs w:val="22"/>
        </w:rPr>
        <w:t xml:space="preserve">in </w:t>
      </w:r>
      <w:r w:rsidR="00A501E1">
        <w:rPr>
          <w:rFonts w:ascii="Arial" w:hAnsi="Arial" w:cs="Arial"/>
          <w:sz w:val="22"/>
          <w:szCs w:val="22"/>
        </w:rPr>
        <w:t xml:space="preserve">environmental </w:t>
      </w:r>
      <w:r w:rsidR="002C6B3C">
        <w:rPr>
          <w:rFonts w:ascii="Arial" w:hAnsi="Arial" w:cs="Arial"/>
          <w:sz w:val="22"/>
          <w:szCs w:val="22"/>
        </w:rPr>
        <w:t>epidemiology</w:t>
      </w:r>
      <w:r w:rsidR="00A501E1">
        <w:rPr>
          <w:rFonts w:ascii="Arial" w:hAnsi="Arial" w:cs="Arial"/>
          <w:sz w:val="22"/>
          <w:szCs w:val="22"/>
        </w:rPr>
        <w:t xml:space="preserve"> studies</w:t>
      </w:r>
      <w:r w:rsidR="00CE42D1">
        <w:rPr>
          <w:rFonts w:ascii="Arial" w:hAnsi="Arial" w:cs="Arial"/>
          <w:sz w:val="22"/>
          <w:szCs w:val="22"/>
        </w:rPr>
        <w:t xml:space="preserve"> </w:t>
      </w:r>
      <w:r w:rsidR="00CE42D1">
        <w:rPr>
          <w:rFonts w:ascii="Arial" w:hAnsi="Arial" w:cs="Arial"/>
          <w:sz w:val="22"/>
          <w:szCs w:val="22"/>
        </w:rPr>
        <w:fldChar w:fldCharType="begin"/>
      </w:r>
      <w:r w:rsidR="00CE42D1">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sidR="00CE42D1">
        <w:rPr>
          <w:rFonts w:ascii="Arial" w:hAnsi="Arial" w:cs="Arial"/>
          <w:sz w:val="22"/>
          <w:szCs w:val="22"/>
        </w:rPr>
        <w:fldChar w:fldCharType="separate"/>
      </w:r>
      <w:r w:rsidR="00CE42D1">
        <w:rPr>
          <w:rFonts w:ascii="Arial" w:hAnsi="Arial" w:cs="Arial"/>
          <w:noProof/>
          <w:sz w:val="22"/>
          <w:szCs w:val="22"/>
        </w:rPr>
        <w:t>[17], [18]</w:t>
      </w:r>
      <w:r w:rsidR="00CE42D1">
        <w:rPr>
          <w:rFonts w:ascii="Arial" w:hAnsi="Arial" w:cs="Arial"/>
          <w:sz w:val="22"/>
          <w:szCs w:val="22"/>
        </w:rPr>
        <w:fldChar w:fldCharType="end"/>
      </w:r>
      <w:r w:rsidR="00A501E1">
        <w:rPr>
          <w:rFonts w:ascii="Arial" w:hAnsi="Arial" w:cs="Arial"/>
          <w:sz w:val="22"/>
          <w:szCs w:val="22"/>
        </w:rPr>
        <w:t>.</w:t>
      </w:r>
    </w:p>
    <w:p w14:paraId="32998C0F" w14:textId="4D572F77" w:rsidR="0025289D" w:rsidRPr="008E0F74" w:rsidRDefault="009D436E" w:rsidP="008E0F74">
      <w:pPr>
        <w:spacing w:line="360" w:lineRule="auto"/>
        <w:ind w:firstLine="360"/>
        <w:rPr>
          <w:rFonts w:ascii="Arial" w:hAnsi="Arial" w:cs="Arial"/>
          <w:sz w:val="22"/>
          <w:szCs w:val="22"/>
        </w:rPr>
        <w:sectPr w:rsidR="0025289D" w:rsidRPr="008E0F74">
          <w:pgSz w:w="12240" w:h="15840"/>
          <w:pgMar w:top="1440" w:right="1440" w:bottom="1440" w:left="1440" w:header="708" w:footer="708" w:gutter="0"/>
          <w:cols w:space="708"/>
          <w:docGrid w:linePitch="360"/>
        </w:sectPr>
      </w:pPr>
      <w:r>
        <w:rPr>
          <w:rFonts w:ascii="Arial" w:hAnsi="Arial" w:cs="Arial"/>
          <w:sz w:val="22"/>
          <w:szCs w:val="22"/>
        </w:rPr>
        <w:t xml:space="preserve">Negative control outcome analyses can be a powerful tool </w:t>
      </w:r>
      <w:r w:rsidR="00BC7BE2">
        <w:rPr>
          <w:rFonts w:ascii="Arial" w:hAnsi="Arial" w:cs="Arial"/>
          <w:sz w:val="22"/>
          <w:szCs w:val="22"/>
        </w:rPr>
        <w:t xml:space="preserve">if </w:t>
      </w:r>
      <w:r>
        <w:rPr>
          <w:rFonts w:ascii="Arial" w:hAnsi="Arial" w:cs="Arial"/>
          <w:sz w:val="22"/>
          <w:szCs w:val="22"/>
        </w:rPr>
        <w:t>applied correctly</w:t>
      </w:r>
      <w:r w:rsidR="00D51576">
        <w:rPr>
          <w:rFonts w:ascii="Arial" w:hAnsi="Arial" w:cs="Arial"/>
          <w:sz w:val="22"/>
          <w:szCs w:val="22"/>
        </w:rPr>
        <w:t xml:space="preserve"> </w:t>
      </w:r>
      <w:r w:rsidR="00A711D4">
        <w:rPr>
          <w:rFonts w:ascii="Arial" w:hAnsi="Arial" w:cs="Arial"/>
          <w:sz w:val="22"/>
          <w:szCs w:val="22"/>
        </w:rPr>
        <w:fldChar w:fldCharType="begin"/>
      </w:r>
      <w:r w:rsidR="00CE42D1">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sidR="00CE42D1">
        <w:rPr>
          <w:rFonts w:ascii="Cambria Math" w:hAnsi="Cambria Math" w:cs="Cambria Math"/>
          <w:sz w:val="22"/>
          <w:szCs w:val="22"/>
        </w:rPr>
        <w:instrText>‐</w:instrText>
      </w:r>
      <w:r w:rsidR="00CE42D1">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sidR="00A711D4">
        <w:rPr>
          <w:rFonts w:ascii="Arial" w:hAnsi="Arial" w:cs="Arial"/>
          <w:sz w:val="22"/>
          <w:szCs w:val="22"/>
        </w:rPr>
        <w:fldChar w:fldCharType="separate"/>
      </w:r>
      <w:r w:rsidR="00CE42D1">
        <w:rPr>
          <w:rFonts w:ascii="Arial" w:hAnsi="Arial" w:cs="Arial"/>
          <w:noProof/>
          <w:sz w:val="22"/>
          <w:szCs w:val="22"/>
        </w:rPr>
        <w:t>[1], [3], [19], [20]</w:t>
      </w:r>
      <w:r w:rsidR="00A711D4">
        <w:rPr>
          <w:rFonts w:ascii="Arial" w:hAnsi="Arial" w:cs="Arial"/>
          <w:sz w:val="22"/>
          <w:szCs w:val="22"/>
        </w:rPr>
        <w:fldChar w:fldCharType="end"/>
      </w:r>
      <w:r w:rsidR="00F31B6B">
        <w:rPr>
          <w:rFonts w:ascii="Arial" w:hAnsi="Arial" w:cs="Arial"/>
          <w:sz w:val="22"/>
          <w:szCs w:val="22"/>
        </w:rPr>
        <w:t>. However, r</w:t>
      </w:r>
      <w:r w:rsidR="002C5043">
        <w:rPr>
          <w:rFonts w:ascii="Arial" w:hAnsi="Arial" w:cs="Arial"/>
          <w:sz w:val="22"/>
          <w:szCs w:val="22"/>
        </w:rPr>
        <w:t xml:space="preserve">esearchers should </w:t>
      </w:r>
      <w:r w:rsidR="000E540B">
        <w:rPr>
          <w:rFonts w:ascii="Arial" w:hAnsi="Arial" w:cs="Arial"/>
          <w:sz w:val="22"/>
          <w:szCs w:val="22"/>
        </w:rPr>
        <w:t>pay close attention</w:t>
      </w:r>
      <w:r w:rsidR="00FE4E87">
        <w:rPr>
          <w:rFonts w:ascii="Arial" w:hAnsi="Arial" w:cs="Arial"/>
          <w:sz w:val="22"/>
          <w:szCs w:val="22"/>
        </w:rPr>
        <w:t xml:space="preserve"> </w:t>
      </w:r>
      <w:r w:rsidR="0063344C">
        <w:rPr>
          <w:rFonts w:ascii="Arial" w:hAnsi="Arial" w:cs="Arial"/>
          <w:sz w:val="22"/>
          <w:szCs w:val="22"/>
        </w:rPr>
        <w:t xml:space="preserve">to the confounding structures of the </w:t>
      </w:r>
      <w:r w:rsidR="007612AA">
        <w:rPr>
          <w:rFonts w:ascii="Arial" w:hAnsi="Arial" w:cs="Arial"/>
          <w:sz w:val="22"/>
          <w:szCs w:val="22"/>
        </w:rPr>
        <w:lastRenderedPageBreak/>
        <w:t>exposure, primary outcome of inter</w:t>
      </w:r>
      <w:r w:rsidR="00B31F08">
        <w:rPr>
          <w:rFonts w:ascii="Arial" w:hAnsi="Arial" w:cs="Arial"/>
          <w:sz w:val="22"/>
          <w:szCs w:val="22"/>
        </w:rPr>
        <w:t>e</w:t>
      </w:r>
      <w:r w:rsidR="007612AA">
        <w:rPr>
          <w:rFonts w:ascii="Arial" w:hAnsi="Arial" w:cs="Arial"/>
          <w:sz w:val="22"/>
          <w:szCs w:val="22"/>
        </w:rPr>
        <w:t xml:space="preserve">st, and </w:t>
      </w:r>
      <w:r w:rsidR="0063344C">
        <w:rPr>
          <w:rFonts w:ascii="Arial" w:hAnsi="Arial" w:cs="Arial"/>
          <w:sz w:val="22"/>
          <w:szCs w:val="22"/>
        </w:rPr>
        <w:t>negative control outcome</w:t>
      </w:r>
      <w:bookmarkStart w:id="14" w:name="OLE_LINK1"/>
      <w:r w:rsidR="008E0F74">
        <w:rPr>
          <w:rFonts w:ascii="Arial" w:hAnsi="Arial" w:cs="Arial"/>
          <w:sz w:val="22"/>
          <w:szCs w:val="22"/>
        </w:rPr>
        <w:t xml:space="preserve">, </w:t>
      </w:r>
      <w:r w:rsidR="00453158">
        <w:rPr>
          <w:rFonts w:ascii="Arial" w:hAnsi="Arial" w:cs="Arial"/>
          <w:sz w:val="22"/>
          <w:szCs w:val="22"/>
        </w:rPr>
        <w:t xml:space="preserve">and take care to measure and model </w:t>
      </w:r>
      <w:r w:rsidR="003D13D2">
        <w:rPr>
          <w:rFonts w:ascii="Arial" w:hAnsi="Arial" w:cs="Arial"/>
          <w:sz w:val="22"/>
          <w:szCs w:val="22"/>
        </w:rPr>
        <w:t xml:space="preserve">all variables and </w:t>
      </w:r>
      <w:r w:rsidR="003B5A96">
        <w:rPr>
          <w:rFonts w:ascii="Arial" w:hAnsi="Arial" w:cs="Arial"/>
          <w:sz w:val="22"/>
          <w:szCs w:val="22"/>
        </w:rPr>
        <w:t>relationship</w:t>
      </w:r>
      <w:r w:rsidR="003D13D2">
        <w:rPr>
          <w:rFonts w:ascii="Arial" w:hAnsi="Arial" w:cs="Arial"/>
          <w:sz w:val="22"/>
          <w:szCs w:val="22"/>
        </w:rPr>
        <w:t xml:space="preserve"> between them adequately. </w:t>
      </w:r>
    </w:p>
    <w:bookmarkEnd w:id="14"/>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10">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41DACC85"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w:t>
      </w:r>
      <w:commentRangeStart w:id="15"/>
      <w:commentRangeStart w:id="16"/>
      <w:r w:rsidR="004F08A6">
        <w:rPr>
          <w:rFonts w:ascii="Arial" w:hAnsi="Arial" w:cs="Arial"/>
          <w:sz w:val="22"/>
          <w:szCs w:val="22"/>
        </w:rPr>
        <w:t>mean of 1 and standard deviation of 10</w:t>
      </w:r>
      <w:commentRangeEnd w:id="15"/>
      <w:r w:rsidR="006B7E6F">
        <w:rPr>
          <w:rStyle w:val="CommentReference"/>
        </w:rPr>
        <w:commentReference w:id="15"/>
      </w:r>
      <w:commentRangeEnd w:id="16"/>
      <w:r w:rsidR="00E54356">
        <w:rPr>
          <w:rStyle w:val="CommentReference"/>
        </w:rPr>
        <w:commentReference w:id="16"/>
      </w:r>
      <w:r w:rsidR="004F08A6">
        <w:rPr>
          <w:rFonts w:ascii="Arial" w:hAnsi="Arial" w:cs="Arial"/>
          <w:sz w:val="22"/>
          <w:szCs w:val="22"/>
        </w:rPr>
        <w:t xml:space="preserve">. All simulations assumed </w:t>
      </w:r>
      <w:r w:rsidR="00A73C08">
        <w:rPr>
          <w:rFonts w:ascii="Arial" w:hAnsi="Arial" w:cs="Arial"/>
          <w:sz w:val="22"/>
          <w:szCs w:val="22"/>
        </w:rPr>
        <w:t>n</w:t>
      </w:r>
      <w:r w:rsidR="004F08A6">
        <w:rPr>
          <w:rFonts w:ascii="Arial" w:hAnsi="Arial" w:cs="Arial"/>
          <w:sz w:val="22"/>
          <w:szCs w:val="22"/>
        </w:rPr>
        <w:t>=100 observations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1477" w:type="dxa"/>
        <w:tblLook w:val="04A0" w:firstRow="1" w:lastRow="0" w:firstColumn="1" w:lastColumn="0" w:noHBand="0" w:noVBand="1"/>
      </w:tblPr>
      <w:tblGrid>
        <w:gridCol w:w="2689"/>
        <w:gridCol w:w="3827"/>
        <w:gridCol w:w="4961"/>
      </w:tblGrid>
      <w:tr w:rsidR="005530A2" w:rsidRPr="00112A20" w14:paraId="483DD922" w14:textId="7092E3CE" w:rsidTr="008517DC">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4961"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5530A2" w:rsidRPr="00112A20" w14:paraId="601237C3" w14:textId="2AE49EC5" w:rsidTr="008517DC">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4961" w:type="dxa"/>
            <w:vAlign w:val="center"/>
          </w:tcPr>
          <w:p w14:paraId="662622CE" w14:textId="47CE451A" w:rsidR="005530A2" w:rsidRPr="00112A20" w:rsidRDefault="00790436" w:rsidP="00B15C3E">
            <w:pPr>
              <w:jc w:val="center"/>
              <w:rPr>
                <w:rFonts w:ascii="Arial" w:hAnsi="Arial" w:cs="Arial"/>
                <w:sz w:val="22"/>
                <w:szCs w:val="22"/>
              </w:rPr>
            </w:pPr>
            <w:r>
              <w:rPr>
                <w:rFonts w:ascii="Arial" w:hAnsi="Arial" w:cs="Arial"/>
                <w:noProof/>
                <w:sz w:val="22"/>
                <w:szCs w:val="22"/>
              </w:rPr>
              <w:drawing>
                <wp:inline distT="0" distB="0" distL="0" distR="0" wp14:anchorId="2054229C" wp14:editId="02AB5D9B">
                  <wp:extent cx="797398" cy="893086"/>
                  <wp:effectExtent l="0" t="0" r="3175" b="0"/>
                  <wp:docPr id="1008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7985" name="Picture 10082079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1376" cy="931142"/>
                          </a:xfrm>
                          <a:prstGeom prst="rect">
                            <a:avLst/>
                          </a:prstGeom>
                        </pic:spPr>
                      </pic:pic>
                    </a:graphicData>
                  </a:graphic>
                </wp:inline>
              </w:drawing>
            </w:r>
            <w:r>
              <w:rPr>
                <w:rFonts w:ascii="Arial" w:hAnsi="Arial" w:cs="Arial"/>
                <w:sz w:val="22"/>
                <w:szCs w:val="22"/>
              </w:rPr>
              <w:t xml:space="preserve">     </w:t>
            </w:r>
            <w:r w:rsidR="003F238F">
              <w:rPr>
                <w:rFonts w:ascii="Arial" w:hAnsi="Arial" w:cs="Arial"/>
                <w:sz w:val="22"/>
                <w:szCs w:val="22"/>
              </w:rPr>
              <w:t xml:space="preserve">     </w:t>
            </w:r>
            <w:r>
              <w:rPr>
                <w:rFonts w:ascii="Arial" w:hAnsi="Arial" w:cs="Arial"/>
                <w:sz w:val="22"/>
                <w:szCs w:val="22"/>
              </w:rPr>
              <w:t xml:space="preserve">   </w:t>
            </w:r>
            <w:r>
              <w:rPr>
                <w:rFonts w:ascii="Arial" w:hAnsi="Arial" w:cs="Arial"/>
                <w:noProof/>
                <w:sz w:val="22"/>
                <w:szCs w:val="22"/>
              </w:rPr>
              <w:drawing>
                <wp:inline distT="0" distB="0" distL="0" distR="0" wp14:anchorId="3F2D4587" wp14:editId="79065302">
                  <wp:extent cx="818707" cy="871188"/>
                  <wp:effectExtent l="0" t="0" r="0" b="5715"/>
                  <wp:docPr id="193709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9850" name="Picture 19370998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54369" cy="909136"/>
                          </a:xfrm>
                          <a:prstGeom prst="rect">
                            <a:avLst/>
                          </a:prstGeom>
                        </pic:spPr>
                      </pic:pic>
                    </a:graphicData>
                  </a:graphic>
                </wp:inline>
              </w:drawing>
            </w:r>
          </w:p>
        </w:tc>
      </w:tr>
      <w:tr w:rsidR="005530A2" w:rsidRPr="00112A20" w14:paraId="7C378A79" w14:textId="185FBF62" w:rsidTr="008517DC">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4961" w:type="dxa"/>
            <w:vAlign w:val="center"/>
          </w:tcPr>
          <w:p w14:paraId="25EFD127" w14:textId="2062AAC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67C8B8E0" wp14:editId="0334448E">
                  <wp:extent cx="722704" cy="864212"/>
                  <wp:effectExtent l="0" t="0" r="1270" b="0"/>
                  <wp:docPr id="395430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0074" name="Picture 395430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7008" cy="893275"/>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0E602D6A" wp14:editId="0510170D">
                  <wp:extent cx="848360" cy="712381"/>
                  <wp:effectExtent l="0" t="0" r="2540" b="0"/>
                  <wp:docPr id="355629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012" name="Picture 355629012"/>
                          <pic:cNvPicPr/>
                        </pic:nvPicPr>
                        <pic:blipFill rotWithShape="1">
                          <a:blip r:embed="rId14" cstate="print">
                            <a:extLst>
                              <a:ext uri="{28A0092B-C50C-407E-A947-70E740481C1C}">
                                <a14:useLocalDpi xmlns:a14="http://schemas.microsoft.com/office/drawing/2010/main" val="0"/>
                              </a:ext>
                            </a:extLst>
                          </a:blip>
                          <a:srcRect b="21118"/>
                          <a:stretch/>
                        </pic:blipFill>
                        <pic:spPr bwMode="auto">
                          <a:xfrm>
                            <a:off x="0" y="0"/>
                            <a:ext cx="883217" cy="741651"/>
                          </a:xfrm>
                          <a:prstGeom prst="rect">
                            <a:avLst/>
                          </a:prstGeom>
                          <a:ln>
                            <a:noFill/>
                          </a:ln>
                          <a:extLst>
                            <a:ext uri="{53640926-AAD7-44D8-BBD7-CCE9431645EC}">
                              <a14:shadowObscured xmlns:a14="http://schemas.microsoft.com/office/drawing/2010/main"/>
                            </a:ext>
                          </a:extLst>
                        </pic:spPr>
                      </pic:pic>
                    </a:graphicData>
                  </a:graphic>
                </wp:inline>
              </w:drawing>
            </w:r>
          </w:p>
        </w:tc>
      </w:tr>
      <w:tr w:rsidR="005530A2" w:rsidRPr="00112A20" w14:paraId="13551962" w14:textId="5ABF0999" w:rsidTr="008517DC">
        <w:trPr>
          <w:trHeight w:val="1350"/>
        </w:trPr>
        <w:tc>
          <w:tcPr>
            <w:tcW w:w="2689" w:type="dxa"/>
            <w:vAlign w:val="center"/>
          </w:tcPr>
          <w:p w14:paraId="7E1CEE69" w14:textId="2B0AF76F" w:rsidR="005530A2" w:rsidRPr="00112A20" w:rsidRDefault="005530A2" w:rsidP="00D208F1">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1649D2">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sidR="002D2E5B">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sidR="005F766B">
              <w:rPr>
                <w:rFonts w:ascii="Arial" w:hAnsi="Arial" w:cs="Arial"/>
                <w:i/>
                <w:iCs/>
                <w:sz w:val="20"/>
                <w:szCs w:val="20"/>
              </w:rPr>
              <w:t>2</w:t>
            </w:r>
            <w:r>
              <w:rPr>
                <w:rFonts w:ascii="Arial" w:hAnsi="Arial" w:cs="Arial"/>
                <w:i/>
                <w:iCs/>
                <w:sz w:val="20"/>
                <w:szCs w:val="20"/>
              </w:rPr>
              <w:t>0</w:t>
            </w:r>
          </w:p>
          <w:p w14:paraId="268D1CD0" w14:textId="141909E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sidR="002D2E5B">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sidR="005F766B">
              <w:rPr>
                <w:rFonts w:ascii="Arial" w:hAnsi="Arial" w:cs="Arial"/>
                <w:i/>
                <w:iCs/>
                <w:sz w:val="20"/>
                <w:szCs w:val="20"/>
              </w:rPr>
              <w:t>2</w:t>
            </w:r>
            <w:r>
              <w:rPr>
                <w:rFonts w:ascii="Arial" w:hAnsi="Arial" w:cs="Arial"/>
                <w:i/>
                <w:iCs/>
                <w:sz w:val="20"/>
                <w:szCs w:val="20"/>
              </w:rPr>
              <w:t>0</w:t>
            </w:r>
          </w:p>
          <w:p w14:paraId="6C38890D" w14:textId="1F9D8BE8"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sidR="002D2E5B">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1</w:t>
            </w:r>
            <w:proofErr w:type="gramStart"/>
            <w:r w:rsidRPr="002A4F5D">
              <w:rPr>
                <w:rFonts w:ascii="Arial" w:hAnsi="Arial" w:cs="Arial"/>
                <w:i/>
                <w:iCs/>
                <w:sz w:val="20"/>
                <w:szCs w:val="20"/>
              </w:rPr>
              <w:t>)</w:t>
            </w:r>
            <w:r w:rsidR="005F766B" w:rsidRPr="002A4F5D">
              <w:rPr>
                <w:rFonts w:ascii="Arial" w:hAnsi="Arial" w:cs="Arial"/>
                <w:i/>
                <w:iCs/>
                <w:sz w:val="20"/>
                <w:szCs w:val="20"/>
              </w:rPr>
              <w:t>)</w:t>
            </w:r>
            <w:r w:rsidR="005F766B">
              <w:rPr>
                <w:rFonts w:ascii="Arial" w:hAnsi="Arial" w:cs="Arial"/>
                <w:i/>
                <w:iCs/>
                <w:sz w:val="20"/>
                <w:szCs w:val="20"/>
              </w:rPr>
              <w:t>*</w:t>
            </w:r>
            <w:proofErr w:type="gramEnd"/>
            <w:r w:rsidR="005F766B">
              <w:rPr>
                <w:rFonts w:ascii="Arial" w:hAnsi="Arial" w:cs="Arial"/>
                <w:i/>
                <w:iCs/>
                <w:sz w:val="20"/>
                <w:szCs w:val="20"/>
              </w:rPr>
              <w:t>20</w:t>
            </w:r>
          </w:p>
        </w:tc>
        <w:tc>
          <w:tcPr>
            <w:tcW w:w="4961" w:type="dxa"/>
            <w:vAlign w:val="center"/>
          </w:tcPr>
          <w:p w14:paraId="4FEEB2FB" w14:textId="406EE64E" w:rsidR="005530A2" w:rsidRPr="00112A20" w:rsidRDefault="00790436" w:rsidP="00B15C3E">
            <w:pPr>
              <w:jc w:val="center"/>
              <w:rPr>
                <w:rFonts w:ascii="Arial" w:hAnsi="Arial" w:cs="Arial"/>
                <w:noProof/>
                <w:sz w:val="22"/>
                <w:szCs w:val="22"/>
              </w:rPr>
            </w:pPr>
            <w:r>
              <w:rPr>
                <w:rFonts w:ascii="Arial" w:hAnsi="Arial" w:cs="Arial"/>
                <w:noProof/>
                <w:sz w:val="22"/>
                <w:szCs w:val="22"/>
              </w:rPr>
              <w:t xml:space="preserve">     </w:t>
            </w:r>
            <w:r w:rsidR="003F238F">
              <w:rPr>
                <w:rFonts w:ascii="Arial" w:hAnsi="Arial" w:cs="Arial"/>
                <w:noProof/>
                <w:sz w:val="22"/>
                <w:szCs w:val="22"/>
              </w:rPr>
              <w:t xml:space="preserve">  </w:t>
            </w:r>
            <w:r w:rsidR="00F966E2">
              <w:rPr>
                <w:rFonts w:ascii="Arial" w:hAnsi="Arial" w:cs="Arial"/>
                <w:noProof/>
                <w:sz w:val="22"/>
                <w:szCs w:val="22"/>
                <w14:ligatures w14:val="standardContextual"/>
              </w:rPr>
              <w:drawing>
                <wp:inline distT="0" distB="0" distL="0" distR="0" wp14:anchorId="192D33F5" wp14:editId="7542781F">
                  <wp:extent cx="871870" cy="1007906"/>
                  <wp:effectExtent l="0" t="0" r="4445" b="0"/>
                  <wp:docPr id="64790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450" name="Picture 647904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7347" cy="1037358"/>
                          </a:xfrm>
                          <a:prstGeom prst="rect">
                            <a:avLst/>
                          </a:prstGeom>
                        </pic:spPr>
                      </pic:pic>
                    </a:graphicData>
                  </a:graphic>
                </wp:inline>
              </w:drawing>
            </w:r>
            <w:r w:rsidR="003F238F">
              <w:rPr>
                <w:rFonts w:ascii="Arial" w:hAnsi="Arial" w:cs="Arial"/>
                <w:noProof/>
                <w:sz w:val="22"/>
                <w:szCs w:val="22"/>
              </w:rPr>
              <w:t xml:space="preserve">  </w:t>
            </w:r>
            <w:r>
              <w:rPr>
                <w:rFonts w:ascii="Arial" w:hAnsi="Arial" w:cs="Arial"/>
                <w:noProof/>
                <w:sz w:val="22"/>
                <w:szCs w:val="22"/>
              </w:rPr>
              <w:t xml:space="preserve"> </w:t>
            </w:r>
            <w:r w:rsidR="008517DC">
              <w:rPr>
                <w:rFonts w:ascii="Arial" w:hAnsi="Arial" w:cs="Arial"/>
                <w:noProof/>
                <w:sz w:val="22"/>
                <w:szCs w:val="22"/>
                <w14:ligatures w14:val="standardContextual"/>
              </w:rPr>
              <w:drawing>
                <wp:inline distT="0" distB="0" distL="0" distR="0" wp14:anchorId="305A374C" wp14:editId="43537F2B">
                  <wp:extent cx="1696509" cy="1339703"/>
                  <wp:effectExtent l="0" t="0" r="5715" b="0"/>
                  <wp:docPr id="8245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2210" name="Picture 8245422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3954" cy="1377170"/>
                          </a:xfrm>
                          <a:prstGeom prst="rect">
                            <a:avLst/>
                          </a:prstGeom>
                        </pic:spPr>
                      </pic:pic>
                    </a:graphicData>
                  </a:graphic>
                </wp:inline>
              </w:drawing>
            </w:r>
          </w:p>
        </w:tc>
      </w:tr>
      <w:tr w:rsidR="005530A2" w:rsidRPr="00112A20" w14:paraId="5C2DF87F" w14:textId="48CD6B72" w:rsidTr="008517DC">
        <w:trPr>
          <w:trHeight w:val="1350"/>
        </w:trPr>
        <w:tc>
          <w:tcPr>
            <w:tcW w:w="2689" w:type="dxa"/>
            <w:vAlign w:val="center"/>
          </w:tcPr>
          <w:p w14:paraId="78BDC389" w14:textId="7A2FD6BF" w:rsidR="005530A2" w:rsidRDefault="005530A2" w:rsidP="00D208F1">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5530A2" w:rsidRPr="00EA2300" w:rsidRDefault="005530A2" w:rsidP="00D208F1">
            <w:pPr>
              <w:rPr>
                <w:rFonts w:ascii="Arial" w:hAnsi="Arial" w:cs="Arial"/>
                <w:i/>
                <w:iCs/>
                <w:sz w:val="20"/>
                <w:szCs w:val="20"/>
                <w:vertAlign w:val="superscript"/>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5530A2" w:rsidRPr="0000606F" w:rsidRDefault="005530A2" w:rsidP="00D208F1">
            <w:pPr>
              <w:rPr>
                <w:rFonts w:ascii="Arial" w:hAnsi="Arial" w:cs="Arial"/>
                <w:i/>
                <w:iCs/>
                <w:sz w:val="20"/>
                <w:szCs w:val="20"/>
                <w:vertAlign w:val="superscript"/>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4961" w:type="dxa"/>
            <w:vAlign w:val="center"/>
          </w:tcPr>
          <w:p w14:paraId="52D54E69" w14:textId="38558D3A" w:rsidR="005530A2" w:rsidRDefault="00D300E1" w:rsidP="00B15C3E">
            <w:pPr>
              <w:jc w:val="center"/>
              <w:rPr>
                <w:rFonts w:ascii="Arial" w:hAnsi="Arial" w:cs="Arial"/>
                <w:noProof/>
                <w:sz w:val="22"/>
                <w:szCs w:val="22"/>
              </w:rPr>
            </w:pPr>
            <w:r>
              <w:rPr>
                <w:rFonts w:ascii="Arial" w:hAnsi="Arial" w:cs="Arial"/>
                <w:noProof/>
                <w:sz w:val="22"/>
                <w:szCs w:val="22"/>
              </w:rPr>
              <w:drawing>
                <wp:inline distT="0" distB="0" distL="0" distR="0" wp14:anchorId="635559BC" wp14:editId="5B384559">
                  <wp:extent cx="743895" cy="596210"/>
                  <wp:effectExtent l="0" t="0" r="5715" b="1270"/>
                  <wp:docPr id="1252840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0767" name="Picture 12528407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8151" cy="607636"/>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17266B05" wp14:editId="057456F2">
                  <wp:extent cx="892618" cy="687481"/>
                  <wp:effectExtent l="0" t="0" r="0" b="0"/>
                  <wp:docPr id="547176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6623" name="Picture 547176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6702" cy="706030"/>
                          </a:xfrm>
                          <a:prstGeom prst="rect">
                            <a:avLst/>
                          </a:prstGeom>
                        </pic:spPr>
                      </pic:pic>
                    </a:graphicData>
                  </a:graphic>
                </wp:inline>
              </w:drawing>
            </w:r>
          </w:p>
        </w:tc>
      </w:tr>
      <w:tr w:rsidR="005530A2" w:rsidRPr="00112A20" w14:paraId="6A8409D1" w14:textId="0F8704F5" w:rsidTr="008517DC">
        <w:trPr>
          <w:trHeight w:val="1350"/>
        </w:trPr>
        <w:tc>
          <w:tcPr>
            <w:tcW w:w="2689" w:type="dxa"/>
            <w:vAlign w:val="center"/>
          </w:tcPr>
          <w:p w14:paraId="42BB820B" w14:textId="6BCB8C51" w:rsidR="005530A2" w:rsidRPr="00112A20" w:rsidRDefault="005530A2" w:rsidP="004630BD">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4961" w:type="dxa"/>
            <w:vAlign w:val="center"/>
          </w:tcPr>
          <w:p w14:paraId="45DDD6BE" w14:textId="562D620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10E58996" wp14:editId="7DA4D8E6">
                  <wp:extent cx="754912" cy="822015"/>
                  <wp:effectExtent l="0" t="0" r="0" b="3810"/>
                  <wp:docPr id="1300134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930" name="Picture 13001349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0157" cy="849504"/>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63993CE0" wp14:editId="3FE635A5">
                  <wp:extent cx="797442" cy="772207"/>
                  <wp:effectExtent l="0" t="0" r="3175" b="2540"/>
                  <wp:docPr id="1851962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2640" name="Picture 18519626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7216" cy="810722"/>
                          </a:xfrm>
                          <a:prstGeom prst="rect">
                            <a:avLst/>
                          </a:prstGeom>
                        </pic:spPr>
                      </pic:pic>
                    </a:graphicData>
                  </a:graphic>
                </wp:inline>
              </w:drawing>
            </w:r>
          </w:p>
        </w:tc>
      </w:tr>
      <w:tr w:rsidR="005530A2" w:rsidRPr="00112A20" w14:paraId="070F564B" w14:textId="2D885D90" w:rsidTr="008517DC">
        <w:trPr>
          <w:trHeight w:val="1350"/>
        </w:trPr>
        <w:tc>
          <w:tcPr>
            <w:tcW w:w="2689" w:type="dxa"/>
            <w:vAlign w:val="center"/>
          </w:tcPr>
          <w:p w14:paraId="66798C1D" w14:textId="6323DDAC" w:rsidR="005530A2" w:rsidRPr="00112A20" w:rsidRDefault="005530A2" w:rsidP="00D208F1">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4961" w:type="dxa"/>
            <w:vAlign w:val="center"/>
          </w:tcPr>
          <w:p w14:paraId="1BB843D7" w14:textId="0AB95D66" w:rsidR="005530A2" w:rsidRPr="00112A20" w:rsidRDefault="003F238F" w:rsidP="00B15C3E">
            <w:pPr>
              <w:jc w:val="center"/>
              <w:rPr>
                <w:rFonts w:ascii="Arial" w:hAnsi="Arial" w:cs="Arial"/>
                <w:noProof/>
                <w:sz w:val="22"/>
                <w:szCs w:val="22"/>
              </w:rPr>
            </w:pPr>
            <w:r>
              <w:rPr>
                <w:rFonts w:ascii="Arial" w:hAnsi="Arial" w:cs="Arial"/>
                <w:noProof/>
                <w:sz w:val="22"/>
                <w:szCs w:val="22"/>
              </w:rPr>
              <w:drawing>
                <wp:inline distT="0" distB="0" distL="0" distR="0" wp14:anchorId="6B8EF5DD" wp14:editId="69320B3E">
                  <wp:extent cx="733262" cy="595431"/>
                  <wp:effectExtent l="0" t="0" r="3810" b="1905"/>
                  <wp:docPr id="749243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3426" name="Picture 7492434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0114" cy="609115"/>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rPr>
              <w:drawing>
                <wp:inline distT="0" distB="0" distL="0" distR="0" wp14:anchorId="6BF9D656" wp14:editId="1CA38800">
                  <wp:extent cx="818707" cy="618324"/>
                  <wp:effectExtent l="0" t="0" r="0" b="4445"/>
                  <wp:docPr id="1198630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0722" name="Picture 11986307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46454" cy="639280"/>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501F7092"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researcher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3C322B42" w:rsidR="00C22D34" w:rsidRDefault="00C22D34" w:rsidP="00C22D34">
            <w:pPr>
              <w:jc w:val="center"/>
              <w:rPr>
                <w:rFonts w:ascii="Arial" w:hAnsi="Arial" w:cs="Arial"/>
                <w:sz w:val="22"/>
                <w:szCs w:val="22"/>
              </w:rPr>
            </w:pPr>
            <w:r>
              <w:rPr>
                <w:rFonts w:ascii="Arial" w:hAnsi="Arial" w:cs="Arial"/>
                <w:sz w:val="22"/>
                <w:szCs w:val="22"/>
              </w:rPr>
              <w:t>All variables measured 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7559FF25" w:rsidR="00D65354" w:rsidRDefault="00686506" w:rsidP="00B07B5C">
      <w:pPr>
        <w:rPr>
          <w:rFonts w:ascii="Arial" w:hAnsi="Arial" w:cs="Arial"/>
          <w:sz w:val="22"/>
          <w:szCs w:val="22"/>
        </w:rPr>
      </w:pPr>
      <w:r>
        <w:rPr>
          <w:rFonts w:ascii="Arial" w:hAnsi="Arial" w:cs="Arial"/>
          <w:noProof/>
          <w:sz w:val="22"/>
          <w:szCs w:val="22"/>
        </w:rPr>
        <w:lastRenderedPageBreak/>
        <w:drawing>
          <wp:inline distT="0" distB="0" distL="0" distR="0" wp14:anchorId="1807DCAD" wp14:editId="3FAA5B05">
            <wp:extent cx="9484242" cy="4217195"/>
            <wp:effectExtent l="0" t="0" r="3175" b="0"/>
            <wp:docPr id="1113462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2290" name="Picture 1113462290"/>
                    <pic:cNvPicPr/>
                  </pic:nvPicPr>
                  <pic:blipFill>
                    <a:blip r:embed="rId23">
                      <a:extLst>
                        <a:ext uri="{28A0092B-C50C-407E-A947-70E740481C1C}">
                          <a14:useLocalDpi xmlns:a14="http://schemas.microsoft.com/office/drawing/2010/main" val="0"/>
                        </a:ext>
                      </a:extLst>
                    </a:blip>
                    <a:stretch>
                      <a:fillRect/>
                    </a:stretch>
                  </pic:blipFill>
                  <pic:spPr>
                    <a:xfrm>
                      <a:off x="0" y="0"/>
                      <a:ext cx="9503091" cy="4225576"/>
                    </a:xfrm>
                    <a:prstGeom prst="rect">
                      <a:avLst/>
                    </a:prstGeom>
                  </pic:spPr>
                </pic:pic>
              </a:graphicData>
            </a:graphic>
          </wp:inline>
        </w:drawing>
      </w:r>
    </w:p>
    <w:p w14:paraId="7D5F6B06" w14:textId="6A45D371" w:rsidR="00957984" w:rsidRPr="00B15C3E" w:rsidRDefault="0021566B" w:rsidP="00B07B5C">
      <w:pPr>
        <w:rPr>
          <w:rFonts w:ascii="Arial" w:hAnsi="Arial" w:cs="Arial"/>
          <w:sz w:val="22"/>
          <w:szCs w:val="22"/>
        </w:rPr>
      </w:pPr>
      <w:r w:rsidRPr="00497B12">
        <w:rPr>
          <w:rFonts w:ascii="Arial" w:hAnsi="Arial" w:cs="Arial"/>
          <w:b/>
          <w:bCs/>
          <w:sz w:val="22"/>
          <w:szCs w:val="22"/>
        </w:rPr>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lastRenderedPageBreak/>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080A62">
        <w:trPr>
          <w:trHeight w:val="56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22A3B1"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EE91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4E9B94" w14:textId="24830371"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B35C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EE7FE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AD3F0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5874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7F5935"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xml:space="preserve">Mean effect </w:t>
            </w:r>
            <w:proofErr w:type="gramStart"/>
            <w:r w:rsidRPr="008D03A3">
              <w:rPr>
                <w:rFonts w:ascii="Arial" w:eastAsiaTheme="minorHAnsi" w:hAnsi="Arial" w:cs="Arial"/>
                <w:kern w:val="2"/>
                <w:sz w:val="22"/>
                <w:szCs w:val="22"/>
                <w:lang w:val="en-US"/>
                <w14:ligatures w14:val="standardContextual"/>
              </w:rPr>
              <w:t>estimate</w:t>
            </w:r>
            <w:proofErr w:type="gramEnd"/>
            <w:r w:rsidRPr="008D03A3">
              <w:rPr>
                <w:rFonts w:ascii="Arial" w:eastAsiaTheme="minorHAnsi" w:hAnsi="Arial" w:cs="Arial"/>
                <w:kern w:val="2"/>
                <w:sz w:val="22"/>
                <w:szCs w:val="22"/>
                <w:lang w:val="en-US"/>
                <w14:ligatures w14:val="standardContextual"/>
              </w:rPr>
              <w:t xml:space="preserve"> for primary analysis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A8DF96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3A6CD1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1180822" w14:textId="75433742" w:rsidR="008D03A3" w:rsidRPr="008D03A3" w:rsidRDefault="006B7C6A" w:rsidP="008D03A3">
            <w:pPr>
              <w:spacing w:after="160" w:line="278" w:lineRule="auto"/>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1FCF383" w14:textId="10B22F80" w:rsidR="008D03A3" w:rsidRPr="008D03A3" w:rsidRDefault="006B7C6A" w:rsidP="008D03A3">
            <w:pPr>
              <w:spacing w:after="160" w:line="278" w:lineRule="auto"/>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016EFC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5AF8D96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080A62">
        <w:trPr>
          <w:trHeight w:val="112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8826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xml:space="preserve">Mean effect </w:t>
            </w:r>
            <w:proofErr w:type="gramStart"/>
            <w:r w:rsidRPr="008D03A3">
              <w:rPr>
                <w:rFonts w:ascii="Arial" w:eastAsiaTheme="minorHAnsi" w:hAnsi="Arial" w:cs="Arial"/>
                <w:kern w:val="2"/>
                <w:sz w:val="22"/>
                <w:szCs w:val="22"/>
                <w:lang w:val="en-US"/>
                <w14:ligatures w14:val="standardContextual"/>
              </w:rPr>
              <w:t>estimate</w:t>
            </w:r>
            <w:proofErr w:type="gramEnd"/>
            <w:r w:rsidRPr="008D03A3">
              <w:rPr>
                <w:rFonts w:ascii="Arial" w:eastAsiaTheme="minorHAnsi" w:hAnsi="Arial" w:cs="Arial"/>
                <w:kern w:val="2"/>
                <w:sz w:val="22"/>
                <w:szCs w:val="22"/>
                <w:lang w:val="en-US"/>
                <w14:ligatures w14:val="standardContextual"/>
              </w:rPr>
              <w:t xml:space="preserve"> for negative control</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0046B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27A6DB3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735826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D9BCE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E30EF4A"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658D00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28A433"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92FF77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035803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F85DFE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DEC8EA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07291A0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ED90A7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10D293E6" w14:textId="77777777" w:rsidR="00632971" w:rsidRPr="00B04881" w:rsidRDefault="00632971" w:rsidP="00632971"/>
    <w:p w14:paraId="143CE183" w14:textId="77777777" w:rsidR="00CE42D1" w:rsidRPr="00CE42D1" w:rsidRDefault="00632971" w:rsidP="00CE42D1">
      <w:pPr>
        <w:pStyle w:val="Bibliography"/>
        <w:rPr>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CE42D1" w:rsidRPr="00CE42D1">
        <w:rPr>
          <w:sz w:val="22"/>
          <w:lang w:val="en-US"/>
        </w:rPr>
        <w:t>[1]</w:t>
      </w:r>
      <w:r w:rsidR="00CE42D1" w:rsidRPr="00CE42D1">
        <w:rPr>
          <w:sz w:val="22"/>
          <w:lang w:val="en-US"/>
        </w:rPr>
        <w:tab/>
        <w:t xml:space="preserve">M. Lipsitch, E. Tchetgen Tchetgen, and T. Cohen, “Negative Controls: A Tool for Detecting Confounding and Bias in Observational Studies,” </w:t>
      </w:r>
      <w:r w:rsidR="00CE42D1" w:rsidRPr="00CE42D1">
        <w:rPr>
          <w:i/>
          <w:iCs/>
          <w:sz w:val="22"/>
          <w:lang w:val="en-US"/>
        </w:rPr>
        <w:t>Epidemiology</w:t>
      </w:r>
      <w:r w:rsidR="00CE42D1" w:rsidRPr="00CE42D1">
        <w:rPr>
          <w:sz w:val="22"/>
          <w:lang w:val="en-US"/>
        </w:rPr>
        <w:t>, vol. 21, no. 3, pp. 383–388, May 2010, doi: 10.1097/ede.0b013e3181d61eeb.</w:t>
      </w:r>
    </w:p>
    <w:p w14:paraId="7EA415A9" w14:textId="77777777" w:rsidR="00CE42D1" w:rsidRPr="00CE42D1" w:rsidRDefault="00CE42D1" w:rsidP="00CE42D1">
      <w:pPr>
        <w:pStyle w:val="Bibliography"/>
        <w:rPr>
          <w:sz w:val="22"/>
          <w:lang w:val="en-US"/>
        </w:rPr>
      </w:pPr>
      <w:r w:rsidRPr="00CE42D1">
        <w:rPr>
          <w:sz w:val="22"/>
          <w:lang w:val="en-US"/>
        </w:rPr>
        <w:t>[2]</w:t>
      </w:r>
      <w:r w:rsidRPr="00CE42D1">
        <w:rPr>
          <w:sz w:val="22"/>
          <w:lang w:val="en-US"/>
        </w:rPr>
        <w:tab/>
        <w:t xml:space="preserve">Timothy Lash, Tyler J. VanderWeele, Sebastien Haneuse, Kenneth J. Rothman, </w:t>
      </w:r>
      <w:r w:rsidRPr="00CE42D1">
        <w:rPr>
          <w:i/>
          <w:iCs/>
          <w:sz w:val="22"/>
          <w:lang w:val="en-US"/>
        </w:rPr>
        <w:t>Modern Epidemiology</w:t>
      </w:r>
      <w:r w:rsidRPr="00CE42D1">
        <w:rPr>
          <w:sz w:val="22"/>
          <w:lang w:val="en-US"/>
        </w:rPr>
        <w:t xml:space="preserve">. </w:t>
      </w:r>
    </w:p>
    <w:p w14:paraId="77DFE1A3" w14:textId="77777777" w:rsidR="00CE42D1" w:rsidRPr="00CE42D1" w:rsidRDefault="00CE42D1" w:rsidP="00CE42D1">
      <w:pPr>
        <w:pStyle w:val="Bibliography"/>
        <w:rPr>
          <w:sz w:val="22"/>
          <w:lang w:val="en-US"/>
        </w:rPr>
      </w:pPr>
      <w:r w:rsidRPr="00CE42D1">
        <w:rPr>
          <w:sz w:val="22"/>
          <w:lang w:val="en-US"/>
        </w:rPr>
        <w:t>[3]</w:t>
      </w:r>
      <w:r w:rsidRPr="00CE42D1">
        <w:rPr>
          <w:sz w:val="22"/>
          <w:lang w:val="en-US"/>
        </w:rPr>
        <w:tab/>
        <w:t xml:space="preserve">X. Shi, W. Miao, and E. T. Tchetgen, “A Selective Review of Negative Control Methods in Epidemiology,” </w:t>
      </w:r>
      <w:r w:rsidRPr="00CE42D1">
        <w:rPr>
          <w:i/>
          <w:iCs/>
          <w:sz w:val="22"/>
          <w:lang w:val="en-US"/>
        </w:rPr>
        <w:t>Curr Epidemiol Rep</w:t>
      </w:r>
      <w:r w:rsidRPr="00CE42D1">
        <w:rPr>
          <w:sz w:val="22"/>
          <w:lang w:val="en-US"/>
        </w:rPr>
        <w:t>, vol. 7, no. 4, pp. 190–202, Dec. 2020, doi: 10.1007/s40471-020-00243-4.</w:t>
      </w:r>
    </w:p>
    <w:p w14:paraId="62E023F9" w14:textId="77777777" w:rsidR="00CE42D1" w:rsidRPr="00CE42D1" w:rsidRDefault="00CE42D1" w:rsidP="00CE42D1">
      <w:pPr>
        <w:pStyle w:val="Bibliography"/>
        <w:rPr>
          <w:sz w:val="22"/>
          <w:lang w:val="en-US"/>
        </w:rPr>
      </w:pPr>
      <w:r w:rsidRPr="00CE42D1">
        <w:rPr>
          <w:sz w:val="22"/>
          <w:lang w:val="en-US"/>
        </w:rPr>
        <w:t>[4]</w:t>
      </w:r>
      <w:r w:rsidRPr="00CE42D1">
        <w:rPr>
          <w:sz w:val="22"/>
          <w:lang w:val="en-US"/>
        </w:rPr>
        <w:tab/>
        <w:t xml:space="preserve">J. K. Hu, E. J. Tchetgen Tchetgen, and F. Dominici, “Using negative controls to adjust for unmeasured confounding bias in time series studies,” </w:t>
      </w:r>
      <w:r w:rsidRPr="00CE42D1">
        <w:rPr>
          <w:i/>
          <w:iCs/>
          <w:sz w:val="22"/>
          <w:lang w:val="en-US"/>
        </w:rPr>
        <w:t>Nat Rev Methods Primers</w:t>
      </w:r>
      <w:r w:rsidRPr="00CE42D1">
        <w:rPr>
          <w:sz w:val="22"/>
          <w:lang w:val="en-US"/>
        </w:rPr>
        <w:t>, vol. 3, no. 1, p. 66, Aug. 2023, doi: 10.1038/s43586-023-00249-4.</w:t>
      </w:r>
    </w:p>
    <w:p w14:paraId="4BD0E7BD" w14:textId="77777777" w:rsidR="00CE42D1" w:rsidRPr="00CE42D1" w:rsidRDefault="00CE42D1" w:rsidP="00CE42D1">
      <w:pPr>
        <w:pStyle w:val="Bibliography"/>
        <w:rPr>
          <w:sz w:val="22"/>
          <w:lang w:val="en-US"/>
        </w:rPr>
      </w:pPr>
      <w:r w:rsidRPr="00CE42D1">
        <w:rPr>
          <w:sz w:val="22"/>
          <w:lang w:val="en-US"/>
        </w:rPr>
        <w:t>[5]</w:t>
      </w:r>
      <w:r w:rsidRPr="00CE42D1">
        <w:rPr>
          <w:sz w:val="22"/>
          <w:lang w:val="en-US"/>
        </w:rPr>
        <w:tab/>
        <w:t xml:space="preserve">M. G. Weisskopf, E. J. Tchetgen Tchetgen, and R. Raz, “Commentary: On the Use of Imperfect Negative Control Exposures in Epidemiologic Studies,” </w:t>
      </w:r>
      <w:r w:rsidRPr="00CE42D1">
        <w:rPr>
          <w:i/>
          <w:iCs/>
          <w:sz w:val="22"/>
          <w:lang w:val="en-US"/>
        </w:rPr>
        <w:t>Epidemiology</w:t>
      </w:r>
      <w:r w:rsidRPr="00CE42D1">
        <w:rPr>
          <w:sz w:val="22"/>
          <w:lang w:val="en-US"/>
        </w:rPr>
        <w:t>, vol. 27, no. 3, pp. 365–367, May 2016, doi: 10.1097/ede.0000000000000454.</w:t>
      </w:r>
    </w:p>
    <w:p w14:paraId="28572729" w14:textId="77777777" w:rsidR="00CE42D1" w:rsidRPr="00CE42D1" w:rsidRDefault="00CE42D1" w:rsidP="00CE42D1">
      <w:pPr>
        <w:pStyle w:val="Bibliography"/>
        <w:rPr>
          <w:sz w:val="22"/>
          <w:lang w:val="en-US"/>
        </w:rPr>
      </w:pPr>
      <w:r w:rsidRPr="00CE42D1">
        <w:rPr>
          <w:sz w:val="22"/>
          <w:lang w:val="en-US"/>
        </w:rPr>
        <w:t>[6]</w:t>
      </w:r>
      <w:r w:rsidRPr="00CE42D1">
        <w:rPr>
          <w:sz w:val="22"/>
          <w:lang w:val="en-US"/>
        </w:rPr>
        <w:tab/>
        <w:t xml:space="preserve">M. G. Weisskopf, M.-A. Kioumourtzoglou, and A. L. Roberts, “Air Pollution and Autism Spectrum Disorders: Causal or Confounded?,” </w:t>
      </w:r>
      <w:r w:rsidRPr="00CE42D1">
        <w:rPr>
          <w:i/>
          <w:iCs/>
          <w:sz w:val="22"/>
          <w:lang w:val="en-US"/>
        </w:rPr>
        <w:t>Curr Envir Health Rpt</w:t>
      </w:r>
      <w:r w:rsidRPr="00CE42D1">
        <w:rPr>
          <w:sz w:val="22"/>
          <w:lang w:val="en-US"/>
        </w:rPr>
        <w:t>, vol. 2, no. 4, pp. 430–439, Dec. 2015, doi: 10.1007/s40572-015-0073-9.</w:t>
      </w:r>
    </w:p>
    <w:p w14:paraId="32862025" w14:textId="77777777" w:rsidR="00CE42D1" w:rsidRPr="00CE42D1" w:rsidRDefault="00CE42D1" w:rsidP="00CE42D1">
      <w:pPr>
        <w:pStyle w:val="Bibliography"/>
        <w:rPr>
          <w:sz w:val="22"/>
          <w:lang w:val="en-US"/>
        </w:rPr>
      </w:pPr>
      <w:r w:rsidRPr="00CE42D1">
        <w:rPr>
          <w:sz w:val="22"/>
          <w:lang w:val="en-US"/>
        </w:rPr>
        <w:t>[7]</w:t>
      </w:r>
      <w:r w:rsidRPr="00CE42D1">
        <w:rPr>
          <w:sz w:val="22"/>
          <w:lang w:val="en-US"/>
        </w:rPr>
        <w:tab/>
        <w:t xml:space="preserve">H. Elser </w:t>
      </w:r>
      <w:r w:rsidRPr="00CE42D1">
        <w:rPr>
          <w:i/>
          <w:iCs/>
          <w:sz w:val="22"/>
          <w:lang w:val="en-US"/>
        </w:rPr>
        <w:t>et al.</w:t>
      </w:r>
      <w:r w:rsidRPr="00CE42D1">
        <w:rPr>
          <w:sz w:val="22"/>
          <w:lang w:val="en-US"/>
        </w:rPr>
        <w:t xml:space="preserve">, “Anomalously warm weather and acute care visits in patients with multiple sclerosis: A retrospective study of privately insured individuals in the US,” </w:t>
      </w:r>
      <w:r w:rsidRPr="00CE42D1">
        <w:rPr>
          <w:i/>
          <w:iCs/>
          <w:sz w:val="22"/>
          <w:lang w:val="en-US"/>
        </w:rPr>
        <w:t>PLoS Med</w:t>
      </w:r>
      <w:r w:rsidRPr="00CE42D1">
        <w:rPr>
          <w:sz w:val="22"/>
          <w:lang w:val="en-US"/>
        </w:rPr>
        <w:t>, vol. 18, no. 4, p. e1003580, Apr. 2021, doi: 10.1371/journal.pmed.1003580.</w:t>
      </w:r>
    </w:p>
    <w:p w14:paraId="5E8BF385" w14:textId="77777777" w:rsidR="00CE42D1" w:rsidRPr="00CE42D1" w:rsidRDefault="00CE42D1" w:rsidP="00CE42D1">
      <w:pPr>
        <w:pStyle w:val="Bibliography"/>
        <w:rPr>
          <w:sz w:val="22"/>
          <w:lang w:val="en-US"/>
        </w:rPr>
      </w:pPr>
      <w:r w:rsidRPr="00CE42D1">
        <w:rPr>
          <w:sz w:val="22"/>
          <w:lang w:val="en-US"/>
        </w:rPr>
        <w:t>[8]</w:t>
      </w:r>
      <w:r w:rsidRPr="00CE42D1">
        <w:rPr>
          <w:sz w:val="22"/>
          <w:lang w:val="en-US"/>
        </w:rPr>
        <w:tab/>
        <w:t xml:space="preserve">X. Wu, F. Mealli, M.-A. Kioumourtzoglou, F. Dominici, and D. Braun, “Matching on Generalized Propensity Scores with Continuous Exposures,” </w:t>
      </w:r>
      <w:r w:rsidRPr="00CE42D1">
        <w:rPr>
          <w:i/>
          <w:iCs/>
          <w:sz w:val="22"/>
          <w:lang w:val="en-US"/>
        </w:rPr>
        <w:t>Journal of the American Statistical Association</w:t>
      </w:r>
      <w:r w:rsidRPr="00CE42D1">
        <w:rPr>
          <w:sz w:val="22"/>
          <w:lang w:val="en-US"/>
        </w:rPr>
        <w:t>, vol. 119, no. 545, pp. 757–772, Jan. 2024, doi: 10.1080/01621459.2022.2144737.</w:t>
      </w:r>
    </w:p>
    <w:p w14:paraId="3A0A2B7B" w14:textId="77777777" w:rsidR="00CE42D1" w:rsidRPr="00CE42D1" w:rsidRDefault="00CE42D1" w:rsidP="00CE42D1">
      <w:pPr>
        <w:pStyle w:val="Bibliography"/>
        <w:rPr>
          <w:sz w:val="22"/>
          <w:lang w:val="en-US"/>
        </w:rPr>
      </w:pPr>
      <w:r w:rsidRPr="00CE42D1">
        <w:rPr>
          <w:sz w:val="22"/>
          <w:lang w:val="en-US"/>
        </w:rPr>
        <w:t>[9]</w:t>
      </w:r>
      <w:r w:rsidRPr="00CE42D1">
        <w:rPr>
          <w:sz w:val="22"/>
          <w:lang w:val="en-US"/>
        </w:rPr>
        <w:tab/>
        <w:t xml:space="preserve">K. E. Rudolph, N. T. Williams, C. H. Miles, J. Antonelli, and I. Diaz, “All models are wrong, but which are useful? Comparing parametric and nonparametric estimation of causal effects in finite samples,” </w:t>
      </w:r>
      <w:r w:rsidRPr="00CE42D1">
        <w:rPr>
          <w:i/>
          <w:iCs/>
          <w:sz w:val="22"/>
          <w:lang w:val="en-US"/>
        </w:rPr>
        <w:t>Journal of Causal Inference</w:t>
      </w:r>
      <w:r w:rsidRPr="00CE42D1">
        <w:rPr>
          <w:sz w:val="22"/>
          <w:lang w:val="en-US"/>
        </w:rPr>
        <w:t>, vol. 11, no. 1, p. 20230022, Nov. 2023, doi: 10.1515/jci-2023-0022.</w:t>
      </w:r>
    </w:p>
    <w:p w14:paraId="3332D252" w14:textId="77777777" w:rsidR="00CE42D1" w:rsidRPr="00CE42D1" w:rsidRDefault="00CE42D1" w:rsidP="00CE42D1">
      <w:pPr>
        <w:pStyle w:val="Bibliography"/>
        <w:rPr>
          <w:sz w:val="22"/>
          <w:lang w:val="en-US"/>
        </w:rPr>
      </w:pPr>
      <w:r w:rsidRPr="00CE42D1">
        <w:rPr>
          <w:sz w:val="22"/>
          <w:lang w:val="en-US"/>
        </w:rPr>
        <w:t>[10]</w:t>
      </w:r>
      <w:r w:rsidRPr="00CE42D1">
        <w:rPr>
          <w:sz w:val="22"/>
          <w:lang w:val="en-US"/>
        </w:rPr>
        <w:tab/>
        <w:t xml:space="preserve">M. J. Van Der Laan and D. Rubin, “Targeted Maximum Likelihood Learning,” </w:t>
      </w:r>
      <w:r w:rsidRPr="00CE42D1">
        <w:rPr>
          <w:i/>
          <w:iCs/>
          <w:sz w:val="22"/>
          <w:lang w:val="en-US"/>
        </w:rPr>
        <w:t>The International Journal of Biostatistics</w:t>
      </w:r>
      <w:r w:rsidRPr="00CE42D1">
        <w:rPr>
          <w:sz w:val="22"/>
          <w:lang w:val="en-US"/>
        </w:rPr>
        <w:t>, vol. 2, no. 1, Jan. 2006, doi: 10.2202/1557-4679.1043.</w:t>
      </w:r>
    </w:p>
    <w:p w14:paraId="3FBB55F3" w14:textId="77777777" w:rsidR="00CE42D1" w:rsidRPr="00CE42D1" w:rsidRDefault="00CE42D1" w:rsidP="00CE42D1">
      <w:pPr>
        <w:pStyle w:val="Bibliography"/>
        <w:rPr>
          <w:sz w:val="22"/>
          <w:lang w:val="en-US"/>
        </w:rPr>
      </w:pPr>
      <w:r w:rsidRPr="00CE42D1">
        <w:rPr>
          <w:sz w:val="22"/>
          <w:lang w:val="en-US"/>
        </w:rPr>
        <w:t>[11]</w:t>
      </w:r>
      <w:r w:rsidRPr="00CE42D1">
        <w:rPr>
          <w:sz w:val="22"/>
          <w:lang w:val="en-US"/>
        </w:rPr>
        <w:tab/>
        <w:t xml:space="preserve">S. Lehrer, S. Green, and K. E. Rosenzweig, “Affluence and Breast Cancer,” </w:t>
      </w:r>
      <w:r w:rsidRPr="00CE42D1">
        <w:rPr>
          <w:i/>
          <w:iCs/>
          <w:sz w:val="22"/>
          <w:lang w:val="en-US"/>
        </w:rPr>
        <w:t>Breast J</w:t>
      </w:r>
      <w:r w:rsidRPr="00CE42D1">
        <w:rPr>
          <w:sz w:val="22"/>
          <w:lang w:val="en-US"/>
        </w:rPr>
        <w:t>, vol. 22, no. 5, pp. 564–567, Sep. 2016, doi: 10.1111/tbj.12630.</w:t>
      </w:r>
    </w:p>
    <w:p w14:paraId="10DD3408" w14:textId="77777777" w:rsidR="00CE42D1" w:rsidRPr="00CE42D1" w:rsidRDefault="00CE42D1" w:rsidP="00CE42D1">
      <w:pPr>
        <w:pStyle w:val="Bibliography"/>
        <w:rPr>
          <w:sz w:val="22"/>
          <w:lang w:val="en-US"/>
        </w:rPr>
      </w:pPr>
      <w:r w:rsidRPr="00CE42D1">
        <w:rPr>
          <w:sz w:val="22"/>
          <w:lang w:val="en-US"/>
        </w:rPr>
        <w:t>[12]</w:t>
      </w:r>
      <w:r w:rsidRPr="00CE42D1">
        <w:rPr>
          <w:sz w:val="22"/>
          <w:lang w:val="en-US"/>
        </w:rPr>
        <w:tab/>
        <w:t xml:space="preserve">W. J. Mackillop, J. Zhang-Salomons, C. J. Boyd, and P. A. Groome, “Associations between community income and cancer incidence in Canada and the United States,” </w:t>
      </w:r>
      <w:r w:rsidRPr="00CE42D1">
        <w:rPr>
          <w:i/>
          <w:iCs/>
          <w:sz w:val="22"/>
          <w:lang w:val="en-US"/>
        </w:rPr>
        <w:t>Cancer</w:t>
      </w:r>
      <w:r w:rsidRPr="00CE42D1">
        <w:rPr>
          <w:sz w:val="22"/>
          <w:lang w:val="en-US"/>
        </w:rPr>
        <w:t>, vol. 89, no. 4, pp. 901–912, Aug. 2000, doi: 10.1002/1097-0142(20000815)89:4&lt;901::AID-CNCR25&gt;3.0.CO;2-I.</w:t>
      </w:r>
    </w:p>
    <w:p w14:paraId="1121C7D6" w14:textId="77777777" w:rsidR="00CE42D1" w:rsidRPr="00CE42D1" w:rsidRDefault="00CE42D1" w:rsidP="00CE42D1">
      <w:pPr>
        <w:pStyle w:val="Bibliography"/>
        <w:rPr>
          <w:sz w:val="22"/>
          <w:lang w:val="en-US"/>
        </w:rPr>
      </w:pPr>
      <w:r w:rsidRPr="00CE42D1">
        <w:rPr>
          <w:sz w:val="22"/>
          <w:lang w:val="en-US"/>
        </w:rPr>
        <w:t>[13]</w:t>
      </w:r>
      <w:r w:rsidRPr="00CE42D1">
        <w:rPr>
          <w:sz w:val="22"/>
          <w:lang w:val="en-US"/>
        </w:rPr>
        <w:tab/>
        <w:t xml:space="preserve">B. F. Arnold, A. Ercumen, J. Benjamin-Chung, and J. M. Colford, “Brief Report: Negative Controls to Detect Selection Bias and Measurement Bias in Epidemiologic Studies,” </w:t>
      </w:r>
      <w:r w:rsidRPr="00CE42D1">
        <w:rPr>
          <w:i/>
          <w:iCs/>
          <w:sz w:val="22"/>
          <w:lang w:val="en-US"/>
        </w:rPr>
        <w:t>Epidemiology</w:t>
      </w:r>
      <w:r w:rsidRPr="00CE42D1">
        <w:rPr>
          <w:sz w:val="22"/>
          <w:lang w:val="en-US"/>
        </w:rPr>
        <w:t>, vol. 27, no. 5, pp. 637–641, Sep. 2016, doi: 10.1097/EDE.0000000000000504.</w:t>
      </w:r>
    </w:p>
    <w:p w14:paraId="57FC27AB" w14:textId="77777777" w:rsidR="00CE42D1" w:rsidRPr="00CE42D1" w:rsidRDefault="00CE42D1" w:rsidP="00CE42D1">
      <w:pPr>
        <w:pStyle w:val="Bibliography"/>
        <w:rPr>
          <w:sz w:val="22"/>
          <w:lang w:val="en-US"/>
        </w:rPr>
      </w:pPr>
      <w:r w:rsidRPr="00CE42D1">
        <w:rPr>
          <w:sz w:val="22"/>
          <w:lang w:val="en-US"/>
        </w:rPr>
        <w:t>[14]</w:t>
      </w:r>
      <w:r w:rsidRPr="00CE42D1">
        <w:rPr>
          <w:sz w:val="22"/>
          <w:lang w:val="en-US"/>
        </w:rPr>
        <w:tab/>
        <w:t xml:space="preserve">W. D. Flanders, “Negative-Control Exposures: Adjusting for Unmeasured and Measured Confounders With Bounds for Remaining Bias,” </w:t>
      </w:r>
      <w:r w:rsidRPr="00CE42D1">
        <w:rPr>
          <w:i/>
          <w:iCs/>
          <w:sz w:val="22"/>
          <w:lang w:val="en-US"/>
        </w:rPr>
        <w:t>Epidemiology</w:t>
      </w:r>
      <w:r w:rsidRPr="00CE42D1">
        <w:rPr>
          <w:sz w:val="22"/>
          <w:lang w:val="en-US"/>
        </w:rPr>
        <w:t>, vol. 34, no. 6, pp. 850–853, Nov. 2023, doi: 10.1097/EDE.0000000000001650.</w:t>
      </w:r>
    </w:p>
    <w:p w14:paraId="7F8ABD88" w14:textId="77777777" w:rsidR="00CE42D1" w:rsidRPr="00CE42D1" w:rsidRDefault="00CE42D1" w:rsidP="00CE42D1">
      <w:pPr>
        <w:pStyle w:val="Bibliography"/>
        <w:rPr>
          <w:sz w:val="22"/>
          <w:lang w:val="en-US"/>
        </w:rPr>
      </w:pPr>
      <w:r w:rsidRPr="00CE42D1">
        <w:rPr>
          <w:sz w:val="22"/>
          <w:lang w:val="en-US"/>
        </w:rPr>
        <w:t>[15]</w:t>
      </w:r>
      <w:r w:rsidRPr="00CE42D1">
        <w:rPr>
          <w:sz w:val="22"/>
          <w:lang w:val="en-US"/>
        </w:rPr>
        <w:tab/>
        <w:t xml:space="preserve">W. D. Flanders </w:t>
      </w:r>
      <w:r w:rsidRPr="00CE42D1">
        <w:rPr>
          <w:i/>
          <w:iCs/>
          <w:sz w:val="22"/>
          <w:lang w:val="en-US"/>
        </w:rPr>
        <w:t>et al.</w:t>
      </w:r>
      <w:r w:rsidRPr="00CE42D1">
        <w:rPr>
          <w:sz w:val="22"/>
          <w:lang w:val="en-US"/>
        </w:rPr>
        <w:t xml:space="preserve">, “A Method for Detection of Residual Confounding in Time-series and Other Observational Studies,” </w:t>
      </w:r>
      <w:r w:rsidRPr="00CE42D1">
        <w:rPr>
          <w:i/>
          <w:iCs/>
          <w:sz w:val="22"/>
          <w:lang w:val="en-US"/>
        </w:rPr>
        <w:t>Epidemiology</w:t>
      </w:r>
      <w:r w:rsidRPr="00CE42D1">
        <w:rPr>
          <w:sz w:val="22"/>
          <w:lang w:val="en-US"/>
        </w:rPr>
        <w:t>, vol. 22, no. 1, pp. 59–67, Jan. 2011, doi: 10.1097/EDE.0b013e3181fdcabe.</w:t>
      </w:r>
    </w:p>
    <w:p w14:paraId="089618A0" w14:textId="77777777" w:rsidR="00CE42D1" w:rsidRPr="00CE42D1" w:rsidRDefault="00CE42D1" w:rsidP="00CE42D1">
      <w:pPr>
        <w:pStyle w:val="Bibliography"/>
        <w:rPr>
          <w:sz w:val="22"/>
          <w:lang w:val="en-US"/>
        </w:rPr>
      </w:pPr>
      <w:r w:rsidRPr="00CE42D1">
        <w:rPr>
          <w:sz w:val="22"/>
          <w:lang w:val="en-US"/>
        </w:rPr>
        <w:t>[16]</w:t>
      </w:r>
      <w:r w:rsidRPr="00CE42D1">
        <w:rPr>
          <w:sz w:val="22"/>
          <w:lang w:val="en-US"/>
        </w:rPr>
        <w:tab/>
        <w:t xml:space="preserve">J. Schwartz, K. Fong, and A. Zanobetti, “A National Multicity Analysis of the Causal Effect of Local Pollution, NO2, and PM2.5 on Mortality,” </w:t>
      </w:r>
      <w:r w:rsidRPr="00CE42D1">
        <w:rPr>
          <w:i/>
          <w:iCs/>
          <w:sz w:val="22"/>
          <w:lang w:val="en-US"/>
        </w:rPr>
        <w:t>Environ Health Perspect</w:t>
      </w:r>
      <w:r w:rsidRPr="00CE42D1">
        <w:rPr>
          <w:sz w:val="22"/>
          <w:lang w:val="en-US"/>
        </w:rPr>
        <w:t>, vol. 126, no. 8, p. 087004, Aug. 2018, doi: 10.1289/EHP2732.</w:t>
      </w:r>
    </w:p>
    <w:p w14:paraId="013B5C2A" w14:textId="77777777" w:rsidR="00CE42D1" w:rsidRPr="00CE42D1" w:rsidRDefault="00CE42D1" w:rsidP="00CE42D1">
      <w:pPr>
        <w:pStyle w:val="Bibliography"/>
        <w:rPr>
          <w:sz w:val="22"/>
          <w:lang w:val="en-US"/>
        </w:rPr>
      </w:pPr>
      <w:r w:rsidRPr="00CE42D1">
        <w:rPr>
          <w:sz w:val="22"/>
          <w:lang w:val="en-US"/>
        </w:rPr>
        <w:t>[17]</w:t>
      </w:r>
      <w:r w:rsidRPr="00CE42D1">
        <w:rPr>
          <w:sz w:val="22"/>
          <w:lang w:val="en-US"/>
        </w:rPr>
        <w:tab/>
        <w:t xml:space="preserve">J. Schwartz, M.-A. Bind, and P. Koutrakis, “Estimating Causal Effects of Local Air Pollution on Daily Deaths: Effect of Low Levels,” </w:t>
      </w:r>
      <w:r w:rsidRPr="00CE42D1">
        <w:rPr>
          <w:i/>
          <w:iCs/>
          <w:sz w:val="22"/>
          <w:lang w:val="en-US"/>
        </w:rPr>
        <w:t>Environ Health Perspect</w:t>
      </w:r>
      <w:r w:rsidRPr="00CE42D1">
        <w:rPr>
          <w:sz w:val="22"/>
          <w:lang w:val="en-US"/>
        </w:rPr>
        <w:t>, vol. 125, no. 1, pp. 23–29, Jan. 2017, doi: 10.1289/EHP232.</w:t>
      </w:r>
    </w:p>
    <w:p w14:paraId="5D4B66E9" w14:textId="77777777" w:rsidR="00CE42D1" w:rsidRPr="00CE42D1" w:rsidRDefault="00CE42D1" w:rsidP="00CE42D1">
      <w:pPr>
        <w:pStyle w:val="Bibliography"/>
        <w:rPr>
          <w:sz w:val="22"/>
          <w:lang w:val="en-US"/>
        </w:rPr>
      </w:pPr>
      <w:r w:rsidRPr="00CE42D1">
        <w:rPr>
          <w:sz w:val="22"/>
          <w:lang w:val="en-US"/>
        </w:rPr>
        <w:lastRenderedPageBreak/>
        <w:t>[18]</w:t>
      </w:r>
      <w:r w:rsidRPr="00CE42D1">
        <w:rPr>
          <w:sz w:val="22"/>
          <w:lang w:val="en-US"/>
        </w:rPr>
        <w:tab/>
        <w:t xml:space="preserve">R. A. Liu, Y. Wei, X. Qiu, A. Kosheleva, and J. D. Schwartz, “Short term exposure to air pollution and mortality in the US: a double negative control analysis,” </w:t>
      </w:r>
      <w:r w:rsidRPr="00CE42D1">
        <w:rPr>
          <w:i/>
          <w:iCs/>
          <w:sz w:val="22"/>
          <w:lang w:val="en-US"/>
        </w:rPr>
        <w:t>Environ Health</w:t>
      </w:r>
      <w:r w:rsidRPr="00CE42D1">
        <w:rPr>
          <w:sz w:val="22"/>
          <w:lang w:val="en-US"/>
        </w:rPr>
        <w:t>, vol. 21, no. 1, p. 81, Sep. 2022, doi: 10.1186/s12940-022-00886-4.</w:t>
      </w:r>
    </w:p>
    <w:p w14:paraId="30B7E691" w14:textId="77777777" w:rsidR="00CE42D1" w:rsidRPr="00CE42D1" w:rsidRDefault="00CE42D1" w:rsidP="00CE42D1">
      <w:pPr>
        <w:pStyle w:val="Bibliography"/>
        <w:rPr>
          <w:sz w:val="22"/>
          <w:lang w:val="en-US"/>
        </w:rPr>
      </w:pPr>
      <w:r w:rsidRPr="00CE42D1">
        <w:rPr>
          <w:sz w:val="22"/>
          <w:lang w:val="en-US"/>
        </w:rPr>
        <w:t>[19]</w:t>
      </w:r>
      <w:r w:rsidRPr="00CE42D1">
        <w:rPr>
          <w:sz w:val="22"/>
          <w:lang w:val="en-US"/>
        </w:rPr>
        <w:tab/>
        <w:t xml:space="preserve">H. Elser </w:t>
      </w:r>
      <w:r w:rsidRPr="00CE42D1">
        <w:rPr>
          <w:i/>
          <w:iCs/>
          <w:sz w:val="22"/>
          <w:lang w:val="en-US"/>
        </w:rPr>
        <w:t>et al.</w:t>
      </w:r>
      <w:r w:rsidRPr="00CE42D1">
        <w:rPr>
          <w:sz w:val="22"/>
          <w:lang w:val="en-US"/>
        </w:rPr>
        <w:t xml:space="preserve">, “Wildfire smoke exposure and emergency department visits for headache: A case‐crossover analysis in California, 2006–2020,” </w:t>
      </w:r>
      <w:r w:rsidRPr="00CE42D1">
        <w:rPr>
          <w:i/>
          <w:iCs/>
          <w:sz w:val="22"/>
          <w:lang w:val="en-US"/>
        </w:rPr>
        <w:t>Headache</w:t>
      </w:r>
      <w:r w:rsidRPr="00CE42D1">
        <w:rPr>
          <w:sz w:val="22"/>
          <w:lang w:val="en-US"/>
        </w:rPr>
        <w:t>, vol. 63, no. 1, pp. 94–103, Jan. 2023, doi: 10.1111/head.14442.</w:t>
      </w:r>
    </w:p>
    <w:p w14:paraId="1A151987" w14:textId="77777777" w:rsidR="00CE42D1" w:rsidRPr="00CE42D1" w:rsidRDefault="00CE42D1" w:rsidP="00CE42D1">
      <w:pPr>
        <w:pStyle w:val="Bibliography"/>
        <w:rPr>
          <w:sz w:val="22"/>
          <w:lang w:val="en-US"/>
        </w:rPr>
      </w:pPr>
      <w:r w:rsidRPr="00CE42D1">
        <w:rPr>
          <w:sz w:val="22"/>
          <w:lang w:val="en-US"/>
        </w:rPr>
        <w:t>[20]</w:t>
      </w:r>
      <w:r w:rsidRPr="00CE42D1">
        <w:rPr>
          <w:sz w:val="22"/>
          <w:lang w:val="en-US"/>
        </w:rPr>
        <w:tab/>
        <w:t xml:space="preserve">K. L. Hoffman </w:t>
      </w:r>
      <w:r w:rsidRPr="00CE42D1">
        <w:rPr>
          <w:i/>
          <w:iCs/>
          <w:sz w:val="22"/>
          <w:lang w:val="en-US"/>
        </w:rPr>
        <w:t>et al.</w:t>
      </w:r>
      <w:r w:rsidRPr="00CE42D1">
        <w:rPr>
          <w:sz w:val="22"/>
          <w:lang w:val="en-US"/>
        </w:rPr>
        <w:t xml:space="preserve">, “Independent and joint contributions of physical disability and chronic pain to incident opioid use disorder and opioid overdose among Medicaid patients,” </w:t>
      </w:r>
      <w:r w:rsidRPr="00CE42D1">
        <w:rPr>
          <w:i/>
          <w:iCs/>
          <w:sz w:val="22"/>
          <w:lang w:val="en-US"/>
        </w:rPr>
        <w:t>Psychol. Med.</w:t>
      </w:r>
      <w:r w:rsidRPr="00CE42D1">
        <w:rPr>
          <w:sz w:val="22"/>
          <w:lang w:val="en-US"/>
        </w:rPr>
        <w:t>, vol. 54, no. 7, pp. 1419–1430, May 2024, doi: 10.1017/S003329172300332X.</w:t>
      </w:r>
    </w:p>
    <w:p w14:paraId="7724EC7B" w14:textId="120E7C83" w:rsidR="002A4F5D" w:rsidRPr="00FF409C" w:rsidRDefault="00632971" w:rsidP="00B07B5C">
      <w:pPr>
        <w:rPr>
          <w:rFonts w:ascii="Arial" w:hAnsi="Arial" w:cs="Arial"/>
          <w:sz w:val="22"/>
          <w:szCs w:val="22"/>
        </w:rPr>
      </w:pPr>
      <w:r>
        <w:rPr>
          <w:rFonts w:ascii="Arial" w:hAnsi="Arial" w:cs="Arial"/>
          <w:sz w:val="22"/>
          <w:szCs w:val="22"/>
        </w:rPr>
        <w:fldChar w:fldCharType="end"/>
      </w:r>
    </w:p>
    <w:sectPr w:rsidR="002A4F5D"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dolph, Kara E." w:date="2025-05-23T15:04:00Z" w:initials="KRt">
    <w:p w14:paraId="1258B5C8" w14:textId="37DC41D3" w:rsidR="00032A6A" w:rsidRDefault="00032A6A" w:rsidP="00032A6A">
      <w:r>
        <w:rPr>
          <w:rStyle w:val="CommentReference"/>
        </w:rPr>
        <w:annotationRef/>
      </w:r>
      <w:r>
        <w:rPr>
          <w:rFonts w:asciiTheme="minorHAnsi" w:eastAsiaTheme="minorHAnsi" w:hAnsiTheme="minorHAnsi" w:cstheme="minorBidi"/>
          <w:kern w:val="2"/>
          <w:sz w:val="20"/>
          <w:szCs w:val="20"/>
          <w14:ligatures w14:val="standardContextual"/>
        </w:rPr>
        <w:t>Or more generally: the regression models used in estimation need to be correctly specified (bc could have IPTW, DR estimator, etc).</w:t>
      </w:r>
    </w:p>
  </w:comment>
  <w:comment w:id="1" w:author="Heather M" w:date="2025-05-25T18:09:00Z" w:initials="HM">
    <w:p w14:paraId="556BA88B" w14:textId="2ABF97AA" w:rsidR="00034DEA" w:rsidRDefault="00034DEA">
      <w:pPr>
        <w:pStyle w:val="CommentText"/>
      </w:pPr>
      <w:r>
        <w:t xml:space="preserve">Point taken! </w:t>
      </w:r>
      <w:r>
        <w:rPr>
          <w:rStyle w:val="CommentReference"/>
        </w:rPr>
        <w:annotationRef/>
      </w:r>
      <w:r>
        <w:t>Ok?</w:t>
      </w:r>
    </w:p>
  </w:comment>
  <w:comment w:id="2" w:author="Rudolph, Kara E." w:date="2025-05-23T15:11:00Z" w:initials="KRt">
    <w:p w14:paraId="5489C701" w14:textId="77777777" w:rsidR="00A57A44" w:rsidRDefault="00A57A44" w:rsidP="00A57A44">
      <w:r>
        <w:rPr>
          <w:rStyle w:val="CommentReference"/>
        </w:rPr>
        <w:annotationRef/>
      </w:r>
      <w:r>
        <w:rPr>
          <w:rFonts w:asciiTheme="minorHAnsi" w:eastAsiaTheme="minorHAnsi" w:hAnsiTheme="minorHAnsi" w:cstheme="minorBidi"/>
          <w:kern w:val="2"/>
          <w:sz w:val="20"/>
          <w:szCs w:val="20"/>
          <w14:ligatures w14:val="standardContextual"/>
        </w:rPr>
        <w:t>This seems like a different point than the point of the paragraph</w:t>
      </w:r>
    </w:p>
    <w:p w14:paraId="23F77D7B" w14:textId="77777777" w:rsidR="00A57A44" w:rsidRDefault="00A57A44" w:rsidP="00A57A44"/>
  </w:comment>
  <w:comment w:id="3" w:author="Rudolph, Kara E." w:date="2025-05-23T15:12:00Z" w:initials="KRt">
    <w:p w14:paraId="308C10E2" w14:textId="77777777" w:rsidR="00A57A44" w:rsidRDefault="00A57A44" w:rsidP="00A57A44">
      <w:r>
        <w:rPr>
          <w:rStyle w:val="CommentReference"/>
        </w:rPr>
        <w:annotationRef/>
      </w:r>
      <w:r>
        <w:rPr>
          <w:rFonts w:asciiTheme="minorHAnsi" w:eastAsiaTheme="minorHAnsi" w:hAnsiTheme="minorHAnsi" w:cstheme="minorBidi"/>
          <w:kern w:val="2"/>
          <w:sz w:val="20"/>
          <w:szCs w:val="20"/>
          <w14:ligatures w14:val="standardContextual"/>
        </w:rPr>
        <w:t>I don’t know what to do this this part</w:t>
      </w:r>
    </w:p>
  </w:comment>
  <w:comment w:id="4" w:author="Heather M" w:date="2025-05-26T13:21:00Z" w:initials="HM">
    <w:p w14:paraId="6187E9B2" w14:textId="6C3CEAF2" w:rsidR="004774E9" w:rsidRDefault="004774E9">
      <w:pPr>
        <w:pStyle w:val="CommentText"/>
      </w:pPr>
      <w:r>
        <w:rPr>
          <w:rStyle w:val="CommentReference"/>
        </w:rPr>
        <w:annotationRef/>
      </w:r>
      <w:r>
        <w:t>Me neither lol</w:t>
      </w:r>
      <w:r w:rsidR="00D13721">
        <w:t xml:space="preserve"> – possible to leave here Marianthi according to our dis</w:t>
      </w:r>
      <w:r w:rsidR="00EA2EA5">
        <w:t>cussion</w:t>
      </w:r>
    </w:p>
  </w:comment>
  <w:comment w:id="5" w:author="Rudolph, Kara E." w:date="2025-05-23T15:14:00Z" w:initials="KRt">
    <w:p w14:paraId="0063CA3C" w14:textId="77777777" w:rsidR="000C23A4" w:rsidRDefault="000C23A4" w:rsidP="000C23A4">
      <w:r>
        <w:rPr>
          <w:rStyle w:val="CommentReference"/>
        </w:rPr>
        <w:annotationRef/>
      </w:r>
      <w:r>
        <w:rPr>
          <w:rFonts w:asciiTheme="minorHAnsi" w:eastAsiaTheme="minorHAnsi" w:hAnsiTheme="minorHAnsi" w:cstheme="minorBidi"/>
          <w:kern w:val="2"/>
          <w:sz w:val="20"/>
          <w:szCs w:val="20"/>
          <w14:ligatures w14:val="standardContextual"/>
        </w:rPr>
        <w:t>Throughout I’m deleting text that is redundant</w:t>
      </w:r>
    </w:p>
    <w:p w14:paraId="624E5F15" w14:textId="77777777" w:rsidR="000C23A4" w:rsidRDefault="000C23A4" w:rsidP="000C23A4"/>
  </w:comment>
  <w:comment w:id="6" w:author="Heather M" w:date="2025-05-26T13:26:00Z" w:initials="HM">
    <w:p w14:paraId="4211C3BF" w14:textId="3E8F4390" w:rsidR="00A711D4" w:rsidRDefault="00A711D4">
      <w:pPr>
        <w:pStyle w:val="CommentText"/>
      </w:pPr>
      <w:r>
        <w:rPr>
          <w:rStyle w:val="CommentReference"/>
        </w:rPr>
        <w:annotationRef/>
      </w:r>
    </w:p>
  </w:comment>
  <w:comment w:id="7" w:author="Rudolph, Kara E." w:date="2025-05-23T15:15:00Z" w:initials="KRt">
    <w:p w14:paraId="12C67F68" w14:textId="77777777" w:rsidR="000C23A4" w:rsidRDefault="000C23A4" w:rsidP="000C23A4">
      <w:r>
        <w:rPr>
          <w:rStyle w:val="CommentReference"/>
        </w:rPr>
        <w:annotationRef/>
      </w:r>
      <w:r>
        <w:rPr>
          <w:rFonts w:asciiTheme="minorHAnsi" w:eastAsiaTheme="minorHAnsi" w:hAnsiTheme="minorHAnsi" w:cstheme="minorBidi"/>
          <w:kern w:val="2"/>
          <w:sz w:val="20"/>
          <w:szCs w:val="20"/>
          <w14:ligatures w14:val="standardContextual"/>
        </w:rPr>
        <w:t>Can something be “somewhat widely”?</w:t>
      </w:r>
    </w:p>
    <w:p w14:paraId="5962BECA" w14:textId="77777777" w:rsidR="000C23A4" w:rsidRDefault="000C23A4" w:rsidP="000C23A4"/>
  </w:comment>
  <w:comment w:id="8" w:author="Heather M" w:date="2025-05-26T12:59:00Z" w:initials="HM">
    <w:p w14:paraId="131B76D1" w14:textId="502DCD4D" w:rsidR="000C0C36" w:rsidRDefault="000C0C36">
      <w:pPr>
        <w:pStyle w:val="CommentText"/>
      </w:pPr>
      <w:r>
        <w:rPr>
          <w:rStyle w:val="CommentReference"/>
        </w:rPr>
        <w:annotationRef/>
      </w:r>
      <w:r>
        <w:t>This made me laugh. I fixed it</w:t>
      </w:r>
    </w:p>
  </w:comment>
  <w:comment w:id="9" w:author="Rudolph, Kara E." w:date="2025-05-23T15:42:00Z" w:initials="KRt">
    <w:p w14:paraId="77714AA6" w14:textId="77777777" w:rsidR="006F6193" w:rsidRDefault="006F6193" w:rsidP="006F6193">
      <w:r>
        <w:rPr>
          <w:rStyle w:val="CommentReference"/>
        </w:rPr>
        <w:annotationRef/>
      </w:r>
      <w:r>
        <w:rPr>
          <w:rFonts w:asciiTheme="minorHAnsi" w:eastAsiaTheme="minorHAnsi" w:hAnsiTheme="minorHAnsi" w:cstheme="minorBidi"/>
          <w:kern w:val="2"/>
          <w:sz w:val="20"/>
          <w:szCs w:val="20"/>
          <w14:ligatures w14:val="standardContextual"/>
        </w:rPr>
        <w:t xml:space="preserve">I don’t think this works </w:t>
      </w:r>
      <w:r>
        <w:rPr>
          <w:rFonts w:asciiTheme="minorHAnsi" w:eastAsiaTheme="minorHAnsi" w:hAnsiTheme="minorHAnsi" w:cstheme="minorBidi"/>
          <w:kern w:val="2"/>
          <w:sz w:val="20"/>
          <w:szCs w:val="20"/>
          <w14:ligatures w14:val="standardContextual"/>
        </w:rPr>
        <w:t>bc I think the focus needs to be on different unobserved confounders. So what unobserved confounding could be present in the A-N relationship that is different from unobserved confounding in the A-Y relationship?</w:t>
      </w:r>
    </w:p>
  </w:comment>
  <w:comment w:id="10" w:author="Heather M" w:date="2025-05-25T18:13:00Z" w:initials="HM">
    <w:p w14:paraId="76120360" w14:textId="77777777" w:rsidR="00FA660A" w:rsidRDefault="00FA660A">
      <w:pPr>
        <w:pStyle w:val="CommentText"/>
      </w:pPr>
      <w:r>
        <w:rPr>
          <w:rStyle w:val="CommentReference"/>
        </w:rPr>
        <w:annotationRef/>
      </w:r>
      <w:r>
        <w:t>Kara is right</w:t>
      </w:r>
      <w:r w:rsidR="009A3DEA">
        <w:t xml:space="preserve"> – I added an unobserved confounder! </w:t>
      </w:r>
    </w:p>
    <w:p w14:paraId="53BE7BA4" w14:textId="47F69F7F" w:rsidR="007E619D" w:rsidRDefault="007E619D">
      <w:pPr>
        <w:pStyle w:val="CommentText"/>
      </w:pPr>
      <w:r>
        <w:t xml:space="preserve">But now it’s a bit like we focused too much on observed confounders. Hm. </w:t>
      </w:r>
    </w:p>
  </w:comment>
  <w:comment w:id="11" w:author="Heather M" w:date="2025-05-27T13:24:00Z" w:initials="HM">
    <w:p w14:paraId="793BCD76" w14:textId="7D4EE693" w:rsidR="004A3CF3" w:rsidRDefault="004A3CF3">
      <w:pPr>
        <w:pStyle w:val="CommentText"/>
      </w:pPr>
      <w:r>
        <w:rPr>
          <w:rStyle w:val="CommentReference"/>
        </w:rPr>
        <w:annotationRef/>
      </w:r>
      <w:r w:rsidR="009578E0">
        <w:t>Ok fixed this again just now to focus on inadequate control for seasonality</w:t>
      </w:r>
      <w:r w:rsidR="00F23F4D">
        <w:t xml:space="preserve"> </w:t>
      </w:r>
    </w:p>
  </w:comment>
  <w:comment w:id="12" w:author="Rudolph, Kara E." w:date="2025-05-23T15:46:00Z" w:initials="KRt">
    <w:p w14:paraId="0EC7C8AD" w14:textId="77777777" w:rsidR="00C113D1" w:rsidRDefault="00C113D1" w:rsidP="00C113D1">
      <w:r>
        <w:rPr>
          <w:rStyle w:val="CommentReference"/>
        </w:rPr>
        <w:annotationRef/>
      </w:r>
      <w:r>
        <w:rPr>
          <w:rFonts w:asciiTheme="minorHAnsi" w:eastAsiaTheme="minorHAnsi" w:hAnsiTheme="minorHAnsi" w:cstheme="minorBidi"/>
          <w:kern w:val="2"/>
          <w:sz w:val="20"/>
          <w:szCs w:val="20"/>
          <w14:ligatures w14:val="standardContextual"/>
        </w:rPr>
        <w:t>Is this true even though they have the opposite relationship? Idk that it is fair to call them u comparable in this case</w:t>
      </w:r>
    </w:p>
    <w:p w14:paraId="799A1297" w14:textId="77777777" w:rsidR="00C113D1" w:rsidRDefault="00C113D1" w:rsidP="00C113D1"/>
  </w:comment>
  <w:comment w:id="13" w:author="Heather M" w:date="2025-05-26T13:07:00Z" w:initials="HM">
    <w:p w14:paraId="4ED79D53" w14:textId="2908B716" w:rsidR="008E1D93" w:rsidRDefault="008E1D93">
      <w:pPr>
        <w:pStyle w:val="CommentText"/>
      </w:pPr>
      <w:r>
        <w:rPr>
          <w:rStyle w:val="CommentReference"/>
        </w:rPr>
        <w:annotationRef/>
      </w:r>
      <w:r>
        <w:t xml:space="preserve">I think this gets at how u-comparable is used in the literature and how it’s not super rigorous. </w:t>
      </w:r>
      <w:r w:rsidR="005D0826">
        <w:t>Idk if it’s f</w:t>
      </w:r>
      <w:r w:rsidR="00D308B7">
        <w:t>ai</w:t>
      </w:r>
      <w:r w:rsidR="005D0826">
        <w:t>r</w:t>
      </w:r>
      <w:r w:rsidR="00D308B7">
        <w:t xml:space="preserve"> to say that. </w:t>
      </w:r>
      <w:r w:rsidR="00511D8D">
        <w:t>I changed it</w:t>
      </w:r>
    </w:p>
  </w:comment>
  <w:comment w:id="15" w:author="Joan Casey" w:date="2025-05-12T12:03:00Z" w:initials="JAC">
    <w:p w14:paraId="337C769C" w14:textId="1C09DA4E" w:rsidR="006B7E6F" w:rsidRDefault="006B7E6F" w:rsidP="006B7E6F">
      <w:r>
        <w:rPr>
          <w:rStyle w:val="CommentReference"/>
        </w:rPr>
        <w:annotationRef/>
      </w:r>
      <w:r>
        <w:rPr>
          <w:sz w:val="20"/>
          <w:szCs w:val="20"/>
        </w:rPr>
        <w:t>if this was always done i think you could state it in the methods</w:t>
      </w:r>
    </w:p>
  </w:comment>
  <w:comment w:id="16" w:author="Heather M" w:date="2025-05-12T19:32:00Z" w:initials="HM">
    <w:p w14:paraId="0B1FE9D9" w14:textId="25E89E9B" w:rsidR="00E54356" w:rsidRDefault="00E54356">
      <w:pPr>
        <w:pStyle w:val="CommentText"/>
      </w:pPr>
      <w:r>
        <w:rPr>
          <w:rStyle w:val="CommentReference"/>
        </w:rPr>
        <w:annotationRef/>
      </w:r>
      <w:r>
        <w:t xml:space="preserve">I think it’s distractingly specific to be in the methods? </w:t>
      </w:r>
      <w:r w:rsidR="00032545">
        <w:t>If you think it’s important though go ahead I don’t have a strong opinion/really know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58B5C8" w15:done="0"/>
  <w15:commentEx w15:paraId="556BA88B" w15:paraIdParent="1258B5C8" w15:done="0"/>
  <w15:commentEx w15:paraId="23F77D7B" w15:done="0"/>
  <w15:commentEx w15:paraId="308C10E2" w15:paraIdParent="23F77D7B" w15:done="0"/>
  <w15:commentEx w15:paraId="6187E9B2" w15:paraIdParent="23F77D7B" w15:done="0"/>
  <w15:commentEx w15:paraId="624E5F15" w15:done="0"/>
  <w15:commentEx w15:paraId="4211C3BF" w15:paraIdParent="624E5F15" w15:done="0"/>
  <w15:commentEx w15:paraId="5962BECA" w15:done="0"/>
  <w15:commentEx w15:paraId="131B76D1" w15:paraIdParent="5962BECA" w15:done="0"/>
  <w15:commentEx w15:paraId="77714AA6" w15:done="0"/>
  <w15:commentEx w15:paraId="53BE7BA4" w15:paraIdParent="77714AA6" w15:done="0"/>
  <w15:commentEx w15:paraId="793BCD76" w15:paraIdParent="77714AA6" w15:done="0"/>
  <w15:commentEx w15:paraId="799A1297" w15:done="0"/>
  <w15:commentEx w15:paraId="4ED79D53" w15:paraIdParent="799A1297" w15:done="0"/>
  <w15:commentEx w15:paraId="337C769C" w15:done="0"/>
  <w15:commentEx w15:paraId="0B1FE9D9" w15:paraIdParent="337C76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739A9" w16cex:dateUtc="2025-05-23T19:04:00Z"/>
  <w16cex:commentExtensible w16cex:durableId="73ABDA61" w16cex:dateUtc="2025-05-25T22:09:00Z"/>
  <w16cex:commentExtensible w16cex:durableId="0924E0C1" w16cex:dateUtc="2025-05-23T19:11:00Z"/>
  <w16cex:commentExtensible w16cex:durableId="13371038" w16cex:dateUtc="2025-05-23T19:12:00Z"/>
  <w16cex:commentExtensible w16cex:durableId="06F4BC86" w16cex:dateUtc="2025-05-26T17:21:00Z"/>
  <w16cex:commentExtensible w16cex:durableId="5506949D" w16cex:dateUtc="2025-05-23T19:14:00Z"/>
  <w16cex:commentExtensible w16cex:durableId="5A2ACBD2" w16cex:dateUtc="2025-05-26T17:26:00Z"/>
  <w16cex:commentExtensible w16cex:durableId="73520F96" w16cex:dateUtc="2025-05-23T19:15:00Z"/>
  <w16cex:commentExtensible w16cex:durableId="45F63932" w16cex:dateUtc="2025-05-26T16:59:00Z"/>
  <w16cex:commentExtensible w16cex:durableId="28E38982" w16cex:dateUtc="2025-05-23T19:42:00Z"/>
  <w16cex:commentExtensible w16cex:durableId="44F6F273" w16cex:dateUtc="2025-05-25T22:13:00Z"/>
  <w16cex:commentExtensible w16cex:durableId="76A95E42" w16cex:dateUtc="2025-05-27T17:24:00Z"/>
  <w16cex:commentExtensible w16cex:durableId="53E860DD" w16cex:dateUtc="2025-05-23T19:46:00Z"/>
  <w16cex:commentExtensible w16cex:durableId="0BD2E32C" w16cex:dateUtc="2025-05-26T17:07:00Z"/>
  <w16cex:commentExtensible w16cex:durableId="2D26AC8F" w16cex:dateUtc="2025-05-12T19:03:00Z"/>
  <w16cex:commentExtensible w16cex:durableId="09C5D86C" w16cex:dateUtc="2025-05-12T2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58B5C8" w16cid:durableId="5E8739A9"/>
  <w16cid:commentId w16cid:paraId="556BA88B" w16cid:durableId="73ABDA61"/>
  <w16cid:commentId w16cid:paraId="23F77D7B" w16cid:durableId="0924E0C1"/>
  <w16cid:commentId w16cid:paraId="308C10E2" w16cid:durableId="13371038"/>
  <w16cid:commentId w16cid:paraId="6187E9B2" w16cid:durableId="06F4BC86"/>
  <w16cid:commentId w16cid:paraId="624E5F15" w16cid:durableId="5506949D"/>
  <w16cid:commentId w16cid:paraId="4211C3BF" w16cid:durableId="5A2ACBD2"/>
  <w16cid:commentId w16cid:paraId="5962BECA" w16cid:durableId="73520F96"/>
  <w16cid:commentId w16cid:paraId="131B76D1" w16cid:durableId="45F63932"/>
  <w16cid:commentId w16cid:paraId="77714AA6" w16cid:durableId="28E38982"/>
  <w16cid:commentId w16cid:paraId="53BE7BA4" w16cid:durableId="44F6F273"/>
  <w16cid:commentId w16cid:paraId="793BCD76" w16cid:durableId="76A95E42"/>
  <w16cid:commentId w16cid:paraId="799A1297" w16cid:durableId="53E860DD"/>
  <w16cid:commentId w16cid:paraId="4ED79D53" w16cid:durableId="0BD2E32C"/>
  <w16cid:commentId w16cid:paraId="337C769C" w16cid:durableId="2D26AC8F"/>
  <w16cid:commentId w16cid:paraId="0B1FE9D9" w16cid:durableId="09C5D8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dolph, Kara E.">
    <w15:presenceInfo w15:providerId="AD" w15:userId="S::kr2854@cumc.columbia.edu::6a8174aa-6dc7-4a4d-8aca-ba973ae17cb9"/>
  </w15:person>
  <w15:person w15:author="Heather M">
    <w15:presenceInfo w15:providerId="None" w15:userId="Heather M"/>
  </w15:person>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FE6"/>
    <w:rsid w:val="000650F8"/>
    <w:rsid w:val="00065369"/>
    <w:rsid w:val="00067C45"/>
    <w:rsid w:val="00071AF2"/>
    <w:rsid w:val="00072BDF"/>
    <w:rsid w:val="00073B11"/>
    <w:rsid w:val="000753CB"/>
    <w:rsid w:val="00075AAA"/>
    <w:rsid w:val="0007732F"/>
    <w:rsid w:val="000778D4"/>
    <w:rsid w:val="00080A62"/>
    <w:rsid w:val="000822A1"/>
    <w:rsid w:val="00084125"/>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3BF"/>
    <w:rsid w:val="000D25C3"/>
    <w:rsid w:val="000D3045"/>
    <w:rsid w:val="000D315D"/>
    <w:rsid w:val="000D4066"/>
    <w:rsid w:val="000D5C3E"/>
    <w:rsid w:val="000D5CF0"/>
    <w:rsid w:val="000D79DE"/>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ACA"/>
    <w:rsid w:val="00145317"/>
    <w:rsid w:val="0014539C"/>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6F99"/>
    <w:rsid w:val="001F1BA5"/>
    <w:rsid w:val="001F1C79"/>
    <w:rsid w:val="001F2ABC"/>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F66"/>
    <w:rsid w:val="00240603"/>
    <w:rsid w:val="00240A69"/>
    <w:rsid w:val="00241620"/>
    <w:rsid w:val="002428D1"/>
    <w:rsid w:val="00243446"/>
    <w:rsid w:val="0024355E"/>
    <w:rsid w:val="002444D8"/>
    <w:rsid w:val="00244B2E"/>
    <w:rsid w:val="0025289D"/>
    <w:rsid w:val="00253A93"/>
    <w:rsid w:val="00253B31"/>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C98"/>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B27C8"/>
    <w:rsid w:val="003B2C76"/>
    <w:rsid w:val="003B2D46"/>
    <w:rsid w:val="003B5A96"/>
    <w:rsid w:val="003B6725"/>
    <w:rsid w:val="003B6F84"/>
    <w:rsid w:val="003B71D5"/>
    <w:rsid w:val="003C0919"/>
    <w:rsid w:val="003C2EE7"/>
    <w:rsid w:val="003C2F87"/>
    <w:rsid w:val="003C3A61"/>
    <w:rsid w:val="003C4EE4"/>
    <w:rsid w:val="003C59BA"/>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637"/>
    <w:rsid w:val="003F238F"/>
    <w:rsid w:val="003F2CEA"/>
    <w:rsid w:val="003F2F15"/>
    <w:rsid w:val="003F3621"/>
    <w:rsid w:val="003F706A"/>
    <w:rsid w:val="003F7FCC"/>
    <w:rsid w:val="0040159A"/>
    <w:rsid w:val="00403908"/>
    <w:rsid w:val="0040469B"/>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C68"/>
    <w:rsid w:val="00425DD8"/>
    <w:rsid w:val="00426847"/>
    <w:rsid w:val="00427B7C"/>
    <w:rsid w:val="00431758"/>
    <w:rsid w:val="00434255"/>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4112"/>
    <w:rsid w:val="00474507"/>
    <w:rsid w:val="0047474B"/>
    <w:rsid w:val="00474BCE"/>
    <w:rsid w:val="00477491"/>
    <w:rsid w:val="004774E9"/>
    <w:rsid w:val="00480230"/>
    <w:rsid w:val="004826E2"/>
    <w:rsid w:val="00482B27"/>
    <w:rsid w:val="00483621"/>
    <w:rsid w:val="00485678"/>
    <w:rsid w:val="00485FFB"/>
    <w:rsid w:val="004868F0"/>
    <w:rsid w:val="0048792F"/>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3CF3"/>
    <w:rsid w:val="004A54DC"/>
    <w:rsid w:val="004A5AD8"/>
    <w:rsid w:val="004A7413"/>
    <w:rsid w:val="004A7451"/>
    <w:rsid w:val="004B07FA"/>
    <w:rsid w:val="004B2B4D"/>
    <w:rsid w:val="004B57DA"/>
    <w:rsid w:val="004B66B8"/>
    <w:rsid w:val="004C03D9"/>
    <w:rsid w:val="004C1856"/>
    <w:rsid w:val="004C31BB"/>
    <w:rsid w:val="004C3DDC"/>
    <w:rsid w:val="004C49B1"/>
    <w:rsid w:val="004D0383"/>
    <w:rsid w:val="004D2431"/>
    <w:rsid w:val="004D33E1"/>
    <w:rsid w:val="004D47C7"/>
    <w:rsid w:val="004D4CB9"/>
    <w:rsid w:val="004D4D86"/>
    <w:rsid w:val="004D54E7"/>
    <w:rsid w:val="004D5DD3"/>
    <w:rsid w:val="004D6E6B"/>
    <w:rsid w:val="004E0C92"/>
    <w:rsid w:val="004E1B46"/>
    <w:rsid w:val="004E1C42"/>
    <w:rsid w:val="004E7F30"/>
    <w:rsid w:val="004F08A6"/>
    <w:rsid w:val="004F1E99"/>
    <w:rsid w:val="004F64DE"/>
    <w:rsid w:val="00500669"/>
    <w:rsid w:val="005006F6"/>
    <w:rsid w:val="00501222"/>
    <w:rsid w:val="00502BA9"/>
    <w:rsid w:val="00503837"/>
    <w:rsid w:val="005051C2"/>
    <w:rsid w:val="00505464"/>
    <w:rsid w:val="00507A4E"/>
    <w:rsid w:val="00507C22"/>
    <w:rsid w:val="00511D8D"/>
    <w:rsid w:val="00512056"/>
    <w:rsid w:val="00512577"/>
    <w:rsid w:val="00512642"/>
    <w:rsid w:val="00513485"/>
    <w:rsid w:val="005153DC"/>
    <w:rsid w:val="00515660"/>
    <w:rsid w:val="00515D5A"/>
    <w:rsid w:val="00516120"/>
    <w:rsid w:val="005162CF"/>
    <w:rsid w:val="00517B1F"/>
    <w:rsid w:val="0052216C"/>
    <w:rsid w:val="00523D45"/>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4C7B"/>
    <w:rsid w:val="0055560D"/>
    <w:rsid w:val="00556920"/>
    <w:rsid w:val="0055750C"/>
    <w:rsid w:val="00561028"/>
    <w:rsid w:val="00561A2C"/>
    <w:rsid w:val="00562648"/>
    <w:rsid w:val="00563AAA"/>
    <w:rsid w:val="00563B3B"/>
    <w:rsid w:val="00564986"/>
    <w:rsid w:val="0056752C"/>
    <w:rsid w:val="00571799"/>
    <w:rsid w:val="00571BBA"/>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56B8"/>
    <w:rsid w:val="00686506"/>
    <w:rsid w:val="00686756"/>
    <w:rsid w:val="00687271"/>
    <w:rsid w:val="00690C49"/>
    <w:rsid w:val="00690FFA"/>
    <w:rsid w:val="00691F9A"/>
    <w:rsid w:val="0069296F"/>
    <w:rsid w:val="00692C5F"/>
    <w:rsid w:val="006935DF"/>
    <w:rsid w:val="00693F3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6F6193"/>
    <w:rsid w:val="00701162"/>
    <w:rsid w:val="0070487E"/>
    <w:rsid w:val="007054C0"/>
    <w:rsid w:val="0071046D"/>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934"/>
    <w:rsid w:val="00733409"/>
    <w:rsid w:val="00733929"/>
    <w:rsid w:val="00734522"/>
    <w:rsid w:val="00736A95"/>
    <w:rsid w:val="0073765A"/>
    <w:rsid w:val="00737664"/>
    <w:rsid w:val="007429A6"/>
    <w:rsid w:val="00743034"/>
    <w:rsid w:val="00743BE9"/>
    <w:rsid w:val="00744035"/>
    <w:rsid w:val="007459AF"/>
    <w:rsid w:val="00746860"/>
    <w:rsid w:val="00747683"/>
    <w:rsid w:val="00751B7F"/>
    <w:rsid w:val="00752295"/>
    <w:rsid w:val="0075587E"/>
    <w:rsid w:val="007558D0"/>
    <w:rsid w:val="007572C8"/>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1672"/>
    <w:rsid w:val="00782695"/>
    <w:rsid w:val="00783B51"/>
    <w:rsid w:val="0078409A"/>
    <w:rsid w:val="0078486F"/>
    <w:rsid w:val="00790195"/>
    <w:rsid w:val="00790436"/>
    <w:rsid w:val="007920E6"/>
    <w:rsid w:val="0079285F"/>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7DC"/>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5BE9"/>
    <w:rsid w:val="00887DF6"/>
    <w:rsid w:val="00890156"/>
    <w:rsid w:val="008912F1"/>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540"/>
    <w:rsid w:val="009556B5"/>
    <w:rsid w:val="00956254"/>
    <w:rsid w:val="009572AC"/>
    <w:rsid w:val="00957790"/>
    <w:rsid w:val="009578E0"/>
    <w:rsid w:val="00957984"/>
    <w:rsid w:val="0096058B"/>
    <w:rsid w:val="00966B44"/>
    <w:rsid w:val="009712A8"/>
    <w:rsid w:val="00971A37"/>
    <w:rsid w:val="00972154"/>
    <w:rsid w:val="00975CC3"/>
    <w:rsid w:val="00976801"/>
    <w:rsid w:val="00977603"/>
    <w:rsid w:val="00980AD5"/>
    <w:rsid w:val="009812A8"/>
    <w:rsid w:val="0098322E"/>
    <w:rsid w:val="00983B4C"/>
    <w:rsid w:val="00986FC2"/>
    <w:rsid w:val="009903F4"/>
    <w:rsid w:val="0099420C"/>
    <w:rsid w:val="00994499"/>
    <w:rsid w:val="00994A1F"/>
    <w:rsid w:val="009955DB"/>
    <w:rsid w:val="009A02BE"/>
    <w:rsid w:val="009A1656"/>
    <w:rsid w:val="009A1CE7"/>
    <w:rsid w:val="009A2BF2"/>
    <w:rsid w:val="009A32A3"/>
    <w:rsid w:val="009A3DEA"/>
    <w:rsid w:val="009A4F24"/>
    <w:rsid w:val="009A4F94"/>
    <w:rsid w:val="009A62E4"/>
    <w:rsid w:val="009B0804"/>
    <w:rsid w:val="009B2FFF"/>
    <w:rsid w:val="009B356E"/>
    <w:rsid w:val="009B512C"/>
    <w:rsid w:val="009B57CE"/>
    <w:rsid w:val="009B7A0E"/>
    <w:rsid w:val="009C19EA"/>
    <w:rsid w:val="009C2BE4"/>
    <w:rsid w:val="009C3A27"/>
    <w:rsid w:val="009C5FC3"/>
    <w:rsid w:val="009C6E33"/>
    <w:rsid w:val="009C71A5"/>
    <w:rsid w:val="009D1051"/>
    <w:rsid w:val="009D317F"/>
    <w:rsid w:val="009D36F7"/>
    <w:rsid w:val="009D436E"/>
    <w:rsid w:val="009D4C42"/>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A00B22"/>
    <w:rsid w:val="00A018A0"/>
    <w:rsid w:val="00A0267C"/>
    <w:rsid w:val="00A02EA6"/>
    <w:rsid w:val="00A040E0"/>
    <w:rsid w:val="00A04328"/>
    <w:rsid w:val="00A04E99"/>
    <w:rsid w:val="00A05417"/>
    <w:rsid w:val="00A06F25"/>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9F9"/>
    <w:rsid w:val="00A4501C"/>
    <w:rsid w:val="00A45D7C"/>
    <w:rsid w:val="00A466E5"/>
    <w:rsid w:val="00A501E1"/>
    <w:rsid w:val="00A505D8"/>
    <w:rsid w:val="00A50C76"/>
    <w:rsid w:val="00A53308"/>
    <w:rsid w:val="00A553B3"/>
    <w:rsid w:val="00A57A44"/>
    <w:rsid w:val="00A57C22"/>
    <w:rsid w:val="00A57D92"/>
    <w:rsid w:val="00A6032D"/>
    <w:rsid w:val="00A60928"/>
    <w:rsid w:val="00A60CFC"/>
    <w:rsid w:val="00A612F5"/>
    <w:rsid w:val="00A617A0"/>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FEF"/>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53BC"/>
    <w:rsid w:val="00AA6031"/>
    <w:rsid w:val="00AA7F05"/>
    <w:rsid w:val="00AB3A25"/>
    <w:rsid w:val="00AB421A"/>
    <w:rsid w:val="00AB4E14"/>
    <w:rsid w:val="00AB4E70"/>
    <w:rsid w:val="00AB52ED"/>
    <w:rsid w:val="00AB61A0"/>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B04"/>
    <w:rsid w:val="00B14E5E"/>
    <w:rsid w:val="00B1541F"/>
    <w:rsid w:val="00B15C3E"/>
    <w:rsid w:val="00B1684B"/>
    <w:rsid w:val="00B169F7"/>
    <w:rsid w:val="00B175C9"/>
    <w:rsid w:val="00B21CA7"/>
    <w:rsid w:val="00B2203D"/>
    <w:rsid w:val="00B26978"/>
    <w:rsid w:val="00B2743E"/>
    <w:rsid w:val="00B27DC6"/>
    <w:rsid w:val="00B306C3"/>
    <w:rsid w:val="00B3112B"/>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675D"/>
    <w:rsid w:val="00B568F4"/>
    <w:rsid w:val="00B56AB6"/>
    <w:rsid w:val="00B61369"/>
    <w:rsid w:val="00B62206"/>
    <w:rsid w:val="00B63017"/>
    <w:rsid w:val="00B63816"/>
    <w:rsid w:val="00B63826"/>
    <w:rsid w:val="00B64830"/>
    <w:rsid w:val="00B65E61"/>
    <w:rsid w:val="00B6739A"/>
    <w:rsid w:val="00B71533"/>
    <w:rsid w:val="00B7203A"/>
    <w:rsid w:val="00B723B5"/>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85A"/>
    <w:rsid w:val="00C50FDF"/>
    <w:rsid w:val="00C525C2"/>
    <w:rsid w:val="00C538E8"/>
    <w:rsid w:val="00C53E49"/>
    <w:rsid w:val="00C544E3"/>
    <w:rsid w:val="00C54649"/>
    <w:rsid w:val="00C54809"/>
    <w:rsid w:val="00C54A80"/>
    <w:rsid w:val="00C55B70"/>
    <w:rsid w:val="00C56D08"/>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4455"/>
    <w:rsid w:val="00C861C8"/>
    <w:rsid w:val="00C863AA"/>
    <w:rsid w:val="00C86DF7"/>
    <w:rsid w:val="00C86EF3"/>
    <w:rsid w:val="00C87DF9"/>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2D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3721"/>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431C"/>
    <w:rsid w:val="00D74B43"/>
    <w:rsid w:val="00D75118"/>
    <w:rsid w:val="00D7640D"/>
    <w:rsid w:val="00D76F32"/>
    <w:rsid w:val="00D826B2"/>
    <w:rsid w:val="00D82B71"/>
    <w:rsid w:val="00D84D2D"/>
    <w:rsid w:val="00D87497"/>
    <w:rsid w:val="00D87ED8"/>
    <w:rsid w:val="00D9004B"/>
    <w:rsid w:val="00D9035B"/>
    <w:rsid w:val="00D9053D"/>
    <w:rsid w:val="00D90D49"/>
    <w:rsid w:val="00D91E7D"/>
    <w:rsid w:val="00D97109"/>
    <w:rsid w:val="00D9718E"/>
    <w:rsid w:val="00D975DB"/>
    <w:rsid w:val="00DA1DB2"/>
    <w:rsid w:val="00DA2FEC"/>
    <w:rsid w:val="00DA394A"/>
    <w:rsid w:val="00DA4D86"/>
    <w:rsid w:val="00DA6500"/>
    <w:rsid w:val="00DA7834"/>
    <w:rsid w:val="00DA7B24"/>
    <w:rsid w:val="00DB1761"/>
    <w:rsid w:val="00DB2619"/>
    <w:rsid w:val="00DB2C1A"/>
    <w:rsid w:val="00DB312A"/>
    <w:rsid w:val="00DB42B6"/>
    <w:rsid w:val="00DB43A1"/>
    <w:rsid w:val="00DB6B27"/>
    <w:rsid w:val="00DB6F72"/>
    <w:rsid w:val="00DB79B3"/>
    <w:rsid w:val="00DC0A4E"/>
    <w:rsid w:val="00DC0BF9"/>
    <w:rsid w:val="00DC0D7D"/>
    <w:rsid w:val="00DC1C64"/>
    <w:rsid w:val="00DC5E93"/>
    <w:rsid w:val="00DC7617"/>
    <w:rsid w:val="00DC7C36"/>
    <w:rsid w:val="00DD0A85"/>
    <w:rsid w:val="00DD2975"/>
    <w:rsid w:val="00DD4ED0"/>
    <w:rsid w:val="00DD7B3F"/>
    <w:rsid w:val="00DE0403"/>
    <w:rsid w:val="00DE2EE8"/>
    <w:rsid w:val="00DE4FBE"/>
    <w:rsid w:val="00DE6393"/>
    <w:rsid w:val="00DE6FD0"/>
    <w:rsid w:val="00DF1EE8"/>
    <w:rsid w:val="00DF228E"/>
    <w:rsid w:val="00DF276B"/>
    <w:rsid w:val="00DF2857"/>
    <w:rsid w:val="00DF2B90"/>
    <w:rsid w:val="00DF4999"/>
    <w:rsid w:val="00DF79F7"/>
    <w:rsid w:val="00E00647"/>
    <w:rsid w:val="00E00B7A"/>
    <w:rsid w:val="00E00C5C"/>
    <w:rsid w:val="00E02377"/>
    <w:rsid w:val="00E04211"/>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6ABF"/>
    <w:rsid w:val="00E270BE"/>
    <w:rsid w:val="00E27872"/>
    <w:rsid w:val="00E30050"/>
    <w:rsid w:val="00E30BDE"/>
    <w:rsid w:val="00E30CE9"/>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47F4"/>
    <w:rsid w:val="00E84C68"/>
    <w:rsid w:val="00E8733D"/>
    <w:rsid w:val="00E90981"/>
    <w:rsid w:val="00E918A6"/>
    <w:rsid w:val="00E94784"/>
    <w:rsid w:val="00E96458"/>
    <w:rsid w:val="00E96D04"/>
    <w:rsid w:val="00EA021F"/>
    <w:rsid w:val="00EA026A"/>
    <w:rsid w:val="00EA15DE"/>
    <w:rsid w:val="00EA1A93"/>
    <w:rsid w:val="00EA2300"/>
    <w:rsid w:val="00EA2EA5"/>
    <w:rsid w:val="00EA3FE4"/>
    <w:rsid w:val="00EA4147"/>
    <w:rsid w:val="00EA5CF6"/>
    <w:rsid w:val="00EA72AB"/>
    <w:rsid w:val="00EA7934"/>
    <w:rsid w:val="00EB12B8"/>
    <w:rsid w:val="00EB1541"/>
    <w:rsid w:val="00EB1C2B"/>
    <w:rsid w:val="00EB3163"/>
    <w:rsid w:val="00EB3747"/>
    <w:rsid w:val="00EB4D3E"/>
    <w:rsid w:val="00EB5342"/>
    <w:rsid w:val="00EB55CA"/>
    <w:rsid w:val="00EB5F26"/>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73B"/>
    <w:rsid w:val="00F21BFC"/>
    <w:rsid w:val="00F21C71"/>
    <w:rsid w:val="00F22492"/>
    <w:rsid w:val="00F22EBB"/>
    <w:rsid w:val="00F23483"/>
    <w:rsid w:val="00F23F4D"/>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839D1"/>
    <w:rsid w:val="00F84F3D"/>
    <w:rsid w:val="00F85B6A"/>
    <w:rsid w:val="00F85B70"/>
    <w:rsid w:val="00F873AF"/>
    <w:rsid w:val="00F94547"/>
    <w:rsid w:val="00F966E2"/>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11290</Words>
  <Characters>64353</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cp:revision>
  <dcterms:created xsi:type="dcterms:W3CDTF">2025-05-28T17:34:00Z</dcterms:created>
  <dcterms:modified xsi:type="dcterms:W3CDTF">2025-05-28T17:34:00Z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id="KJ2TeOEh"/&gt;&lt;style id="http://www.zotero.org/styles/ieee" locale="en-CA" hasBibliography="1" bibliographyStyleHasBeenSet="1"/&gt;&lt;prefs&gt;&lt;pref name="fieldType" value="Field"/&gt;&lt;/prefs&gt;&lt;/data&gt;</vt:lpwstr>
  </property>
</Properties>
</file>