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39726" w14:textId="77777777" w:rsidR="00701FD4" w:rsidRPr="00BD7574" w:rsidRDefault="00701FD4">
      <w:pPr>
        <w:rPr>
          <w:rFonts w:ascii="Aptos" w:hAnsi="Aptos"/>
          <w:sz w:val="22"/>
          <w:szCs w:val="22"/>
        </w:rPr>
      </w:pPr>
      <w:r w:rsidRPr="00BD7574">
        <w:rPr>
          <w:rFonts w:ascii="Aptos" w:hAnsi="Aptos"/>
          <w:color w:val="000000" w:themeColor="text1"/>
          <w:sz w:val="22"/>
          <w:szCs w:val="22"/>
        </w:rPr>
        <w:t>This is a very clearly written description of how using negative control outcomes may lead to incorrect inference. Several common scenarios have been simulated and the DAGs, tables and figures help clarify the authors’ findings. There are a few minor suggestions for the authors.</w:t>
      </w:r>
    </w:p>
    <w:p w14:paraId="692A7015" w14:textId="77777777" w:rsidR="00FA4197" w:rsidRPr="00BD7574" w:rsidRDefault="00701FD4">
      <w:pPr>
        <w:rPr>
          <w:rFonts w:ascii="Aptos" w:hAnsi="Aptos"/>
          <w:color w:val="000000" w:themeColor="text1"/>
          <w:sz w:val="22"/>
          <w:szCs w:val="22"/>
        </w:rPr>
      </w:pPr>
      <w:r w:rsidRPr="00BD7574">
        <w:rPr>
          <w:rFonts w:ascii="Aptos" w:hAnsi="Aptos"/>
          <w:color w:val="4472C4" w:themeColor="accent1"/>
          <w:sz w:val="22"/>
          <w:szCs w:val="22"/>
        </w:rPr>
        <w:t xml:space="preserve">Thank you for the positive review of our paper and these small comments! We appreciate the opportunity to improve our manuscript. </w:t>
      </w:r>
      <w:r w:rsidRPr="00BD7574">
        <w:rPr>
          <w:rFonts w:ascii="Aptos" w:hAnsi="Aptos"/>
          <w:color w:val="000000" w:themeColor="text1"/>
          <w:sz w:val="22"/>
          <w:szCs w:val="22"/>
        </w:rPr>
        <w:br/>
      </w:r>
      <w:r w:rsidRPr="00BD7574">
        <w:rPr>
          <w:rFonts w:ascii="Aptos" w:hAnsi="Aptos"/>
          <w:color w:val="000000" w:themeColor="text1"/>
          <w:sz w:val="22"/>
          <w:szCs w:val="22"/>
        </w:rPr>
        <w:br/>
        <w:t>P 3. Consider providing some framing for “treatment of interest” in the background because in the abstract exposure is described instead.</w:t>
      </w:r>
    </w:p>
    <w:p w14:paraId="1C1AC952" w14:textId="77777777" w:rsidR="002D134A" w:rsidRPr="00BD7574" w:rsidRDefault="00FA4197">
      <w:pPr>
        <w:rPr>
          <w:rFonts w:ascii="Aptos" w:hAnsi="Aptos"/>
          <w:color w:val="000000" w:themeColor="text1"/>
          <w:sz w:val="22"/>
          <w:szCs w:val="22"/>
        </w:rPr>
      </w:pPr>
      <w:r w:rsidRPr="00BD7574">
        <w:rPr>
          <w:rFonts w:ascii="Aptos" w:hAnsi="Aptos"/>
          <w:color w:val="4472C4" w:themeColor="accent1"/>
          <w:sz w:val="22"/>
          <w:szCs w:val="22"/>
        </w:rPr>
        <w:t xml:space="preserve">Thank you for this comment – we have changed the phrasing so that we refer to the ‘exposure’ throughout and do not mention ‘treatment of interest’. </w:t>
      </w:r>
      <w:r w:rsidR="00701FD4" w:rsidRPr="00BD7574">
        <w:rPr>
          <w:rFonts w:ascii="Aptos" w:hAnsi="Aptos"/>
          <w:color w:val="4472C4" w:themeColor="accent1"/>
          <w:sz w:val="22"/>
          <w:szCs w:val="22"/>
        </w:rPr>
        <w:br/>
      </w:r>
      <w:r w:rsidR="00701FD4" w:rsidRPr="00BD7574">
        <w:rPr>
          <w:rFonts w:ascii="Aptos" w:hAnsi="Aptos"/>
          <w:color w:val="4472C4" w:themeColor="accent1"/>
          <w:sz w:val="22"/>
          <w:szCs w:val="22"/>
        </w:rPr>
        <w:br/>
      </w:r>
      <w:r w:rsidR="00701FD4" w:rsidRPr="00BD7574">
        <w:rPr>
          <w:rFonts w:ascii="Aptos" w:hAnsi="Aptos"/>
          <w:color w:val="000000" w:themeColor="text1"/>
          <w:sz w:val="22"/>
          <w:szCs w:val="22"/>
        </w:rPr>
        <w:t>P 3. Please add a figure to the section describing the theory underlying the negative control outcome to facilitate the explanation in the text.</w:t>
      </w:r>
    </w:p>
    <w:p w14:paraId="4AAA13A6" w14:textId="77777777" w:rsidR="00701FD4" w:rsidRPr="00BD7574" w:rsidRDefault="00D32DC5">
      <w:pPr>
        <w:rPr>
          <w:rFonts w:ascii="Aptos" w:hAnsi="Aptos"/>
          <w:color w:val="000000" w:themeColor="text1"/>
          <w:sz w:val="22"/>
          <w:szCs w:val="22"/>
        </w:rPr>
      </w:pPr>
      <w:r w:rsidRPr="00BD7574">
        <w:rPr>
          <w:rFonts w:ascii="Aptos" w:hAnsi="Aptos"/>
          <w:color w:val="4472C4" w:themeColor="accent1"/>
          <w:sz w:val="22"/>
          <w:szCs w:val="22"/>
        </w:rPr>
        <w:t>We have included</w:t>
      </w:r>
      <w:r w:rsidRPr="00BD7574">
        <w:rPr>
          <w:rFonts w:ascii="Aptos" w:hAnsi="Aptos"/>
          <w:b/>
          <w:bCs/>
          <w:color w:val="4472C4" w:themeColor="accent1"/>
          <w:sz w:val="22"/>
          <w:szCs w:val="22"/>
        </w:rPr>
        <w:t xml:space="preserve"> </w:t>
      </w:r>
      <w:r w:rsidR="002D134A" w:rsidRPr="00BD7574">
        <w:rPr>
          <w:rFonts w:ascii="Aptos" w:hAnsi="Aptos"/>
          <w:b/>
          <w:bCs/>
          <w:color w:val="4472C4" w:themeColor="accent1"/>
          <w:sz w:val="22"/>
          <w:szCs w:val="22"/>
        </w:rPr>
        <w:t>Figure 1</w:t>
      </w:r>
      <w:r w:rsidR="002D134A" w:rsidRPr="00BD7574">
        <w:rPr>
          <w:rFonts w:ascii="Aptos" w:hAnsi="Aptos"/>
          <w:color w:val="4472C4" w:themeColor="accent1"/>
          <w:sz w:val="22"/>
          <w:szCs w:val="22"/>
        </w:rPr>
        <w:t xml:space="preserve"> in our manuscript</w:t>
      </w:r>
      <w:r w:rsidR="009024E0" w:rsidRPr="00BD7574">
        <w:rPr>
          <w:rFonts w:ascii="Aptos" w:hAnsi="Aptos"/>
          <w:color w:val="4472C4" w:themeColor="accent1"/>
          <w:sz w:val="22"/>
          <w:szCs w:val="22"/>
        </w:rPr>
        <w:t>, which</w:t>
      </w:r>
      <w:r w:rsidR="002D134A" w:rsidRPr="00BD7574">
        <w:rPr>
          <w:rFonts w:ascii="Aptos" w:hAnsi="Aptos"/>
          <w:color w:val="4472C4" w:themeColor="accent1"/>
          <w:sz w:val="22"/>
          <w:szCs w:val="22"/>
        </w:rPr>
        <w:t xml:space="preserve"> </w:t>
      </w:r>
      <w:r w:rsidR="001D2EE3" w:rsidRPr="00BD7574">
        <w:rPr>
          <w:rFonts w:ascii="Aptos" w:hAnsi="Aptos"/>
          <w:color w:val="4472C4" w:themeColor="accent1"/>
          <w:sz w:val="22"/>
          <w:szCs w:val="22"/>
        </w:rPr>
        <w:t>shows</w:t>
      </w:r>
      <w:r w:rsidR="002D134A" w:rsidRPr="00BD7574">
        <w:rPr>
          <w:rFonts w:ascii="Aptos" w:hAnsi="Aptos"/>
          <w:color w:val="4472C4" w:themeColor="accent1"/>
          <w:sz w:val="22"/>
          <w:szCs w:val="22"/>
        </w:rPr>
        <w:t xml:space="preserve"> </w:t>
      </w:r>
      <w:r w:rsidR="001D2EE3" w:rsidRPr="00BD7574">
        <w:rPr>
          <w:rFonts w:ascii="Aptos" w:hAnsi="Aptos"/>
          <w:color w:val="4472C4" w:themeColor="accent1"/>
          <w:sz w:val="22"/>
          <w:szCs w:val="22"/>
        </w:rPr>
        <w:t xml:space="preserve">the theory behind a negative control </w:t>
      </w:r>
      <w:commentRangeStart w:id="0"/>
      <w:r w:rsidR="001D2EE3" w:rsidRPr="00BD7574">
        <w:rPr>
          <w:rFonts w:ascii="Aptos" w:hAnsi="Aptos"/>
          <w:color w:val="4472C4" w:themeColor="accent1"/>
          <w:sz w:val="22"/>
          <w:szCs w:val="22"/>
        </w:rPr>
        <w:t>outcome</w:t>
      </w:r>
      <w:commentRangeEnd w:id="0"/>
      <w:r w:rsidR="00F639DF">
        <w:rPr>
          <w:rStyle w:val="CommentReference"/>
        </w:rPr>
        <w:commentReference w:id="0"/>
      </w:r>
      <w:r w:rsidR="001D2EE3" w:rsidRPr="00BD7574">
        <w:rPr>
          <w:rFonts w:ascii="Aptos" w:hAnsi="Aptos"/>
          <w:color w:val="4472C4" w:themeColor="accent1"/>
          <w:sz w:val="22"/>
          <w:szCs w:val="22"/>
        </w:rPr>
        <w:t xml:space="preserve">. </w:t>
      </w:r>
      <w:r w:rsidR="00701FD4" w:rsidRPr="00BD7574">
        <w:rPr>
          <w:rFonts w:ascii="Aptos" w:hAnsi="Aptos"/>
          <w:color w:val="000000" w:themeColor="text1"/>
          <w:sz w:val="22"/>
          <w:szCs w:val="22"/>
        </w:rPr>
        <w:br/>
      </w:r>
      <w:r w:rsidR="00701FD4" w:rsidRPr="00BD7574">
        <w:rPr>
          <w:rFonts w:ascii="Aptos" w:hAnsi="Aptos"/>
          <w:color w:val="000000" w:themeColor="text1"/>
          <w:sz w:val="22"/>
          <w:szCs w:val="22"/>
        </w:rPr>
        <w:br/>
        <w:t>P 5. Example: Inappropriate negative control analysis – this is a very interesting point and it would be helpful to provide the reader with some insight as to how it was determined that the negative control outcome analysis was misapplied. That may help readers understand how to evaluate these potential pitfalls in their own work.</w:t>
      </w:r>
    </w:p>
    <w:p w14:paraId="79C09E5E" w14:textId="77777777" w:rsidR="00BD7574" w:rsidRPr="00BD7574" w:rsidRDefault="00BD7574">
      <w:pPr>
        <w:rPr>
          <w:rFonts w:ascii="Aptos" w:hAnsi="Aptos"/>
          <w:color w:val="4472C4" w:themeColor="accent1"/>
          <w:sz w:val="22"/>
          <w:szCs w:val="22"/>
        </w:rPr>
      </w:pPr>
      <w:r w:rsidRPr="00BD7574">
        <w:rPr>
          <w:rFonts w:ascii="Aptos" w:hAnsi="Aptos"/>
          <w:color w:val="4472C4" w:themeColor="accent1"/>
          <w:sz w:val="22"/>
          <w:szCs w:val="22"/>
        </w:rPr>
        <w:t>This is a great idea, thank you. We’ve added the following text to the section on inappropriate negative control analyses</w:t>
      </w:r>
      <w:r>
        <w:rPr>
          <w:rFonts w:ascii="Aptos" w:hAnsi="Aptos"/>
          <w:color w:val="4472C4" w:themeColor="accent1"/>
          <w:sz w:val="22"/>
          <w:szCs w:val="22"/>
        </w:rPr>
        <w:t xml:space="preserve"> (page 5, </w:t>
      </w:r>
      <w:r w:rsidRPr="00BD7574">
        <w:rPr>
          <w:rFonts w:ascii="Aptos" w:hAnsi="Aptos"/>
          <w:color w:val="4472C4" w:themeColor="accent1"/>
          <w:sz w:val="22"/>
          <w:szCs w:val="22"/>
        </w:rPr>
        <w:t>Example: Inappropriate negative control analysis</w:t>
      </w:r>
      <w:r>
        <w:rPr>
          <w:rFonts w:ascii="Aptos" w:hAnsi="Aptos"/>
          <w:color w:val="4472C4" w:themeColor="accent1"/>
          <w:sz w:val="22"/>
          <w:szCs w:val="22"/>
        </w:rPr>
        <w:t>, paragraph 1):</w:t>
      </w:r>
    </w:p>
    <w:p w14:paraId="6D887EE5" w14:textId="77777777" w:rsidR="00BD7574" w:rsidRPr="00BD7574" w:rsidRDefault="00BD7574" w:rsidP="00BD7574">
      <w:pPr>
        <w:spacing w:line="360" w:lineRule="auto"/>
        <w:ind w:firstLine="720"/>
        <w:rPr>
          <w:rFonts w:ascii="Aptos" w:hAnsi="Aptos" w:cs="Arial"/>
          <w:color w:val="4472C4" w:themeColor="accent1"/>
          <w:sz w:val="22"/>
          <w:szCs w:val="22"/>
        </w:rPr>
      </w:pPr>
      <w:r>
        <w:rPr>
          <w:rFonts w:ascii="Aptos" w:hAnsi="Aptos" w:cs="Arial"/>
          <w:color w:val="4472C4" w:themeColor="accent1"/>
          <w:sz w:val="22"/>
          <w:szCs w:val="22"/>
        </w:rPr>
        <w:t>“</w:t>
      </w:r>
      <w:r w:rsidRPr="00BD7574">
        <w:rPr>
          <w:rFonts w:ascii="Aptos" w:hAnsi="Aptos" w:cs="Arial"/>
          <w:color w:val="4472C4" w:themeColor="accent1"/>
          <w:sz w:val="22"/>
          <w:szCs w:val="22"/>
        </w:rPr>
        <w:t xml:space="preserve">While negative control outcome analysis has been adopted by some environmental epidemiologists, it is often applied in ways that may not align with its underlying assumptions. For example, one of the authors of the present manuscript has misapplied a negative control outcome analysis </w:t>
      </w:r>
      <w:r w:rsidRPr="00BD7574">
        <w:rPr>
          <w:rFonts w:ascii="Aptos" w:hAnsi="Aptos" w:cs="Arial"/>
          <w:color w:val="4472C4" w:themeColor="accent1"/>
          <w:sz w:val="22"/>
          <w:szCs w:val="22"/>
        </w:rPr>
        <w:fldChar w:fldCharType="begin"/>
      </w:r>
      <w:r w:rsidRPr="00BD7574">
        <w:rPr>
          <w:rFonts w:ascii="Aptos" w:hAnsi="Aptos" w:cs="Arial"/>
          <w:color w:val="4472C4" w:themeColor="accent1"/>
          <w:sz w:val="22"/>
          <w:szCs w:val="22"/>
        </w:rPr>
        <w:instrText xml:space="preserve"> ADDIN ZOTERO_ITEM CSL_CITATION {"citationID":"6CMEhcsx","properties":{"formattedCitation":"[7]","plainCitation":"[7]","noteIndex":0},"citationItems":[{"id":372,"uris":["http://zotero.org/users/local/hHKggCUl/items/3M6SSR7G"],"itemData":{"id":372,"type":"article-journal","abstract":"Background As the global climate changes in response to anthropogenic greenhouse gas emissions, weather and temperature are expected to become increasingly variable. Although heat sensitivity is a recognized clinical feature of multiple sclerosis (MS), a chronic demyelinating disorder of the central nervous system, few studies have examined the implications of climate change for patients with this disease.","container-title":"PLOS Medicine","DOI":"10.1371/journal.pmed.1003580","ISSN":"1549-1676","issue":"4","journalAbbreviation":"PLoS Med","language":"en","page":"e1003580","source":"DOI.org (Crossref)","title":"Anomalously warm weather and acute care visits in patients with multiple sclerosis: A retrospective study of privately insured individuals in the US","title-short":"Anomalously warm weather and acute care visits in patients with multiple sclerosis","volume":"18","author":[{"family":"Elser","given":"Holly"},{"family":"Parks","given":"Robbie M."},{"family":"Moghavem","given":"Nuriel"},{"family":"Kiang","given":"Mathew V."},{"family":"Bozinov","given":"Nina"},{"family":"Henderson","given":"Victor W."},{"family":"Rehkopf","given":"David H."},{"family":"Casey","given":"Joan A."}],"editor":[{"family":"Tsai","given":"Alexander C."}],"issued":{"date-parts":[["2021",4,26]]}}}],"schema":"https://github.com/citation-style-language/schema/raw/master/csl-citation.json"} </w:instrText>
      </w:r>
      <w:r w:rsidRPr="00BD7574">
        <w:rPr>
          <w:rFonts w:ascii="Aptos" w:hAnsi="Aptos" w:cs="Arial"/>
          <w:color w:val="4472C4" w:themeColor="accent1"/>
          <w:sz w:val="22"/>
          <w:szCs w:val="22"/>
        </w:rPr>
        <w:fldChar w:fldCharType="separate"/>
      </w:r>
      <w:r w:rsidRPr="00BD7574">
        <w:rPr>
          <w:rFonts w:ascii="Aptos" w:hAnsi="Aptos" w:cs="Arial"/>
          <w:noProof/>
          <w:color w:val="4472C4" w:themeColor="accent1"/>
          <w:sz w:val="22"/>
          <w:szCs w:val="22"/>
        </w:rPr>
        <w:t>[7]</w:t>
      </w:r>
      <w:r w:rsidRPr="00BD7574">
        <w:rPr>
          <w:rFonts w:ascii="Aptos" w:hAnsi="Aptos" w:cs="Arial"/>
          <w:color w:val="4472C4" w:themeColor="accent1"/>
          <w:sz w:val="22"/>
          <w:szCs w:val="22"/>
        </w:rPr>
        <w:fldChar w:fldCharType="end"/>
      </w:r>
      <w:r w:rsidRPr="00BD7574">
        <w:rPr>
          <w:rFonts w:ascii="Aptos" w:hAnsi="Aptos" w:cs="Arial"/>
          <w:color w:val="4472C4" w:themeColor="accent1"/>
          <w:sz w:val="22"/>
          <w:szCs w:val="22"/>
        </w:rPr>
        <w:t xml:space="preserve">. In our experience, negative control outcome analyses where the negative control outcome does not share a confounding structure with the primary outcome of interest are common in the environmental epidemiology literature. While epidemiologists may receive training on how to implement and interpret negative control outcome analyses, environmental health scientists may be less familiar with these methods and nuances in their application and interpretation. In our case, this gap in understanding contributed to our misapplication of this approach, and motivated us to write this paper. </w:t>
      </w:r>
    </w:p>
    <w:p w14:paraId="2879160C" w14:textId="77777777" w:rsidR="00BD7574" w:rsidRPr="00F0506A" w:rsidRDefault="00BD7574" w:rsidP="00F0506A">
      <w:pPr>
        <w:spacing w:line="360" w:lineRule="auto"/>
        <w:ind w:firstLine="720"/>
        <w:rPr>
          <w:rFonts w:ascii="Aptos" w:hAnsi="Aptos" w:cs="Arial"/>
          <w:color w:val="4472C4" w:themeColor="accent1"/>
          <w:sz w:val="22"/>
          <w:szCs w:val="22"/>
        </w:rPr>
      </w:pPr>
      <w:r w:rsidRPr="00BD7574">
        <w:rPr>
          <w:rFonts w:ascii="Aptos" w:hAnsi="Aptos" w:cs="Arial"/>
          <w:color w:val="4472C4" w:themeColor="accent1"/>
          <w:sz w:val="22"/>
          <w:szCs w:val="22"/>
        </w:rPr>
        <w:t>To illustrate the potential pitfalls of negative control outcomes, we present a hypothetical example followed by simulations that highlight the implications of such misapplication.</w:t>
      </w:r>
      <w:r w:rsidR="00F0506A">
        <w:rPr>
          <w:rFonts w:ascii="Aptos" w:hAnsi="Aptos" w:cs="Arial"/>
          <w:color w:val="4472C4" w:themeColor="accent1"/>
          <w:sz w:val="22"/>
          <w:szCs w:val="22"/>
        </w:rPr>
        <w:t>”</w:t>
      </w:r>
    </w:p>
    <w:sectPr w:rsidR="00BD7574" w:rsidRPr="00F0506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ather M" w:date="2025-09-10T18:58:00Z" w:initials="HM">
    <w:p w14:paraId="2C16A858" w14:textId="016FFEB5" w:rsidR="00F639DF" w:rsidRDefault="00F639DF">
      <w:pPr>
        <w:pStyle w:val="CommentText"/>
      </w:pPr>
      <w:r>
        <w:rPr>
          <w:rStyle w:val="CommentReference"/>
        </w:rPr>
        <w:annotationRef/>
      </w:r>
      <w:r>
        <w:t xml:space="preserve">They didn’t read our paper and we already have a figure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16A8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5B3E29" w16cex:dateUtc="2025-09-10T2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16A858" w16cid:durableId="595B3E2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FD4"/>
    <w:rsid w:val="00001562"/>
    <w:rsid w:val="000017EC"/>
    <w:rsid w:val="00003092"/>
    <w:rsid w:val="00013E71"/>
    <w:rsid w:val="00016CA5"/>
    <w:rsid w:val="00020FD3"/>
    <w:rsid w:val="00024726"/>
    <w:rsid w:val="000249A4"/>
    <w:rsid w:val="00032B28"/>
    <w:rsid w:val="00035864"/>
    <w:rsid w:val="00040545"/>
    <w:rsid w:val="0004370E"/>
    <w:rsid w:val="0004427B"/>
    <w:rsid w:val="00047C06"/>
    <w:rsid w:val="00051BF3"/>
    <w:rsid w:val="00055164"/>
    <w:rsid w:val="00055E7E"/>
    <w:rsid w:val="00056203"/>
    <w:rsid w:val="00062092"/>
    <w:rsid w:val="0006286B"/>
    <w:rsid w:val="00064FE6"/>
    <w:rsid w:val="00065144"/>
    <w:rsid w:val="00065369"/>
    <w:rsid w:val="00066D03"/>
    <w:rsid w:val="00067C45"/>
    <w:rsid w:val="00070528"/>
    <w:rsid w:val="00071AF2"/>
    <w:rsid w:val="00071B66"/>
    <w:rsid w:val="000822A1"/>
    <w:rsid w:val="0008563F"/>
    <w:rsid w:val="00085F4E"/>
    <w:rsid w:val="00086D79"/>
    <w:rsid w:val="00086DAF"/>
    <w:rsid w:val="00092331"/>
    <w:rsid w:val="000A066F"/>
    <w:rsid w:val="000A3283"/>
    <w:rsid w:val="000A33F7"/>
    <w:rsid w:val="000A4CAC"/>
    <w:rsid w:val="000A53B3"/>
    <w:rsid w:val="000A77BB"/>
    <w:rsid w:val="000B1432"/>
    <w:rsid w:val="000B5B3C"/>
    <w:rsid w:val="000D0EA9"/>
    <w:rsid w:val="000D25C3"/>
    <w:rsid w:val="000D315D"/>
    <w:rsid w:val="000D3558"/>
    <w:rsid w:val="000E232F"/>
    <w:rsid w:val="000E6C21"/>
    <w:rsid w:val="000F47A3"/>
    <w:rsid w:val="001011EE"/>
    <w:rsid w:val="00102417"/>
    <w:rsid w:val="001025E2"/>
    <w:rsid w:val="00102A4C"/>
    <w:rsid w:val="0010410F"/>
    <w:rsid w:val="001075ED"/>
    <w:rsid w:val="00116B57"/>
    <w:rsid w:val="001208D2"/>
    <w:rsid w:val="00120AD3"/>
    <w:rsid w:val="001235FE"/>
    <w:rsid w:val="00124672"/>
    <w:rsid w:val="001256DB"/>
    <w:rsid w:val="00131EC6"/>
    <w:rsid w:val="001329D1"/>
    <w:rsid w:val="00132ED3"/>
    <w:rsid w:val="00134D7B"/>
    <w:rsid w:val="00135F85"/>
    <w:rsid w:val="00144071"/>
    <w:rsid w:val="00144648"/>
    <w:rsid w:val="00146960"/>
    <w:rsid w:val="00146F33"/>
    <w:rsid w:val="0014731A"/>
    <w:rsid w:val="001521E6"/>
    <w:rsid w:val="00152C08"/>
    <w:rsid w:val="00153EFC"/>
    <w:rsid w:val="001557A7"/>
    <w:rsid w:val="00162EF9"/>
    <w:rsid w:val="00170955"/>
    <w:rsid w:val="00175770"/>
    <w:rsid w:val="00175B89"/>
    <w:rsid w:val="00176307"/>
    <w:rsid w:val="00176AC9"/>
    <w:rsid w:val="00177B0C"/>
    <w:rsid w:val="001867A2"/>
    <w:rsid w:val="00194672"/>
    <w:rsid w:val="0019472A"/>
    <w:rsid w:val="00195E65"/>
    <w:rsid w:val="001A296F"/>
    <w:rsid w:val="001B0A39"/>
    <w:rsid w:val="001B1A9D"/>
    <w:rsid w:val="001B46FE"/>
    <w:rsid w:val="001B5CFA"/>
    <w:rsid w:val="001B5E5F"/>
    <w:rsid w:val="001C0CF8"/>
    <w:rsid w:val="001C0FBD"/>
    <w:rsid w:val="001C5A37"/>
    <w:rsid w:val="001C65DD"/>
    <w:rsid w:val="001D2EE3"/>
    <w:rsid w:val="001E1920"/>
    <w:rsid w:val="001E2CFE"/>
    <w:rsid w:val="001E43C7"/>
    <w:rsid w:val="001E4B50"/>
    <w:rsid w:val="001F1BA5"/>
    <w:rsid w:val="001F5BF2"/>
    <w:rsid w:val="001F7ECE"/>
    <w:rsid w:val="00203B12"/>
    <w:rsid w:val="00210F18"/>
    <w:rsid w:val="00212F97"/>
    <w:rsid w:val="00213543"/>
    <w:rsid w:val="00213FD2"/>
    <w:rsid w:val="00217124"/>
    <w:rsid w:val="00217E75"/>
    <w:rsid w:val="00222EA3"/>
    <w:rsid w:val="0022465F"/>
    <w:rsid w:val="0022657B"/>
    <w:rsid w:val="002275F6"/>
    <w:rsid w:val="00227E8F"/>
    <w:rsid w:val="00231841"/>
    <w:rsid w:val="002335D3"/>
    <w:rsid w:val="002353EF"/>
    <w:rsid w:val="0023683A"/>
    <w:rsid w:val="00237F66"/>
    <w:rsid w:val="00241620"/>
    <w:rsid w:val="002428D1"/>
    <w:rsid w:val="0024355E"/>
    <w:rsid w:val="00244B2E"/>
    <w:rsid w:val="002505DE"/>
    <w:rsid w:val="00253B31"/>
    <w:rsid w:val="002607C3"/>
    <w:rsid w:val="002626E4"/>
    <w:rsid w:val="00267192"/>
    <w:rsid w:val="00271157"/>
    <w:rsid w:val="00271DF6"/>
    <w:rsid w:val="00280957"/>
    <w:rsid w:val="00281AC2"/>
    <w:rsid w:val="002836A2"/>
    <w:rsid w:val="00286201"/>
    <w:rsid w:val="00287A29"/>
    <w:rsid w:val="00287CFE"/>
    <w:rsid w:val="00294C5D"/>
    <w:rsid w:val="00296A34"/>
    <w:rsid w:val="002A27FB"/>
    <w:rsid w:val="002A497A"/>
    <w:rsid w:val="002A6467"/>
    <w:rsid w:val="002B35B0"/>
    <w:rsid w:val="002B7B5D"/>
    <w:rsid w:val="002C0266"/>
    <w:rsid w:val="002C0354"/>
    <w:rsid w:val="002C0E64"/>
    <w:rsid w:val="002C2B29"/>
    <w:rsid w:val="002C3CDB"/>
    <w:rsid w:val="002C4A90"/>
    <w:rsid w:val="002C54B2"/>
    <w:rsid w:val="002C6804"/>
    <w:rsid w:val="002D134A"/>
    <w:rsid w:val="002D2695"/>
    <w:rsid w:val="002D3419"/>
    <w:rsid w:val="002D341C"/>
    <w:rsid w:val="002D3B31"/>
    <w:rsid w:val="002D4DCE"/>
    <w:rsid w:val="002D6CE8"/>
    <w:rsid w:val="002E0BA9"/>
    <w:rsid w:val="002E2A49"/>
    <w:rsid w:val="002E3D23"/>
    <w:rsid w:val="002E3F34"/>
    <w:rsid w:val="002E5BE5"/>
    <w:rsid w:val="002E7B6E"/>
    <w:rsid w:val="002F284B"/>
    <w:rsid w:val="002F376B"/>
    <w:rsid w:val="00300727"/>
    <w:rsid w:val="003009BB"/>
    <w:rsid w:val="00300AAC"/>
    <w:rsid w:val="0030362F"/>
    <w:rsid w:val="00303737"/>
    <w:rsid w:val="003055B7"/>
    <w:rsid w:val="00307516"/>
    <w:rsid w:val="00307B4B"/>
    <w:rsid w:val="003111D6"/>
    <w:rsid w:val="00314C4A"/>
    <w:rsid w:val="003161EB"/>
    <w:rsid w:val="00326A81"/>
    <w:rsid w:val="00330620"/>
    <w:rsid w:val="0033185C"/>
    <w:rsid w:val="00335985"/>
    <w:rsid w:val="00335D11"/>
    <w:rsid w:val="003431D3"/>
    <w:rsid w:val="00347CBF"/>
    <w:rsid w:val="00350D35"/>
    <w:rsid w:val="003516F6"/>
    <w:rsid w:val="0035252A"/>
    <w:rsid w:val="003527B0"/>
    <w:rsid w:val="00352BCD"/>
    <w:rsid w:val="00355432"/>
    <w:rsid w:val="00360C88"/>
    <w:rsid w:val="00372AC3"/>
    <w:rsid w:val="00374695"/>
    <w:rsid w:val="00375BE4"/>
    <w:rsid w:val="0037722A"/>
    <w:rsid w:val="00380659"/>
    <w:rsid w:val="00380783"/>
    <w:rsid w:val="00384427"/>
    <w:rsid w:val="00387077"/>
    <w:rsid w:val="00387CF0"/>
    <w:rsid w:val="003902C1"/>
    <w:rsid w:val="00390388"/>
    <w:rsid w:val="00394DFE"/>
    <w:rsid w:val="003955D5"/>
    <w:rsid w:val="003A2C79"/>
    <w:rsid w:val="003A33F9"/>
    <w:rsid w:val="003A3494"/>
    <w:rsid w:val="003A3E91"/>
    <w:rsid w:val="003A663E"/>
    <w:rsid w:val="003C2F87"/>
    <w:rsid w:val="003C3A61"/>
    <w:rsid w:val="003C5CFD"/>
    <w:rsid w:val="003D2F4F"/>
    <w:rsid w:val="003D5721"/>
    <w:rsid w:val="003D6935"/>
    <w:rsid w:val="003E0519"/>
    <w:rsid w:val="003E4405"/>
    <w:rsid w:val="003E4A3B"/>
    <w:rsid w:val="003E56C5"/>
    <w:rsid w:val="003F2CEA"/>
    <w:rsid w:val="003F3621"/>
    <w:rsid w:val="003F536E"/>
    <w:rsid w:val="003F706A"/>
    <w:rsid w:val="003F7FCC"/>
    <w:rsid w:val="00403178"/>
    <w:rsid w:val="00403908"/>
    <w:rsid w:val="00407C8C"/>
    <w:rsid w:val="00410065"/>
    <w:rsid w:val="00411228"/>
    <w:rsid w:val="0041231D"/>
    <w:rsid w:val="00423DDC"/>
    <w:rsid w:val="00425DD8"/>
    <w:rsid w:val="00427B7C"/>
    <w:rsid w:val="0043105A"/>
    <w:rsid w:val="00435091"/>
    <w:rsid w:val="00443231"/>
    <w:rsid w:val="00443AF7"/>
    <w:rsid w:val="0044407B"/>
    <w:rsid w:val="004442EC"/>
    <w:rsid w:val="004453FE"/>
    <w:rsid w:val="0044583C"/>
    <w:rsid w:val="00450A18"/>
    <w:rsid w:val="00450B83"/>
    <w:rsid w:val="004511C0"/>
    <w:rsid w:val="0045121D"/>
    <w:rsid w:val="00452232"/>
    <w:rsid w:val="00452B5A"/>
    <w:rsid w:val="00461A9B"/>
    <w:rsid w:val="004623BD"/>
    <w:rsid w:val="0046420C"/>
    <w:rsid w:val="00465EA0"/>
    <w:rsid w:val="0046651F"/>
    <w:rsid w:val="004702AC"/>
    <w:rsid w:val="00480230"/>
    <w:rsid w:val="00483621"/>
    <w:rsid w:val="00483C78"/>
    <w:rsid w:val="00485678"/>
    <w:rsid w:val="00485FFB"/>
    <w:rsid w:val="0048792F"/>
    <w:rsid w:val="004908B6"/>
    <w:rsid w:val="0049169F"/>
    <w:rsid w:val="0049406A"/>
    <w:rsid w:val="00494BFE"/>
    <w:rsid w:val="00495405"/>
    <w:rsid w:val="00495424"/>
    <w:rsid w:val="00495A66"/>
    <w:rsid w:val="00495E4A"/>
    <w:rsid w:val="00496A90"/>
    <w:rsid w:val="00496DB9"/>
    <w:rsid w:val="00497C64"/>
    <w:rsid w:val="004A315F"/>
    <w:rsid w:val="004A325F"/>
    <w:rsid w:val="004A34DA"/>
    <w:rsid w:val="004A7451"/>
    <w:rsid w:val="004B7018"/>
    <w:rsid w:val="004B720B"/>
    <w:rsid w:val="004B7932"/>
    <w:rsid w:val="004C1856"/>
    <w:rsid w:val="004C49B1"/>
    <w:rsid w:val="004D0383"/>
    <w:rsid w:val="004D47C7"/>
    <w:rsid w:val="004D4CB9"/>
    <w:rsid w:val="004D5DD3"/>
    <w:rsid w:val="004E0C92"/>
    <w:rsid w:val="004F6628"/>
    <w:rsid w:val="00501222"/>
    <w:rsid w:val="00503837"/>
    <w:rsid w:val="005051C2"/>
    <w:rsid w:val="00505464"/>
    <w:rsid w:val="00512642"/>
    <w:rsid w:val="00516120"/>
    <w:rsid w:val="00517B1F"/>
    <w:rsid w:val="00522030"/>
    <w:rsid w:val="0052216C"/>
    <w:rsid w:val="005246E7"/>
    <w:rsid w:val="00533115"/>
    <w:rsid w:val="00541389"/>
    <w:rsid w:val="00545BCD"/>
    <w:rsid w:val="00554C7B"/>
    <w:rsid w:val="0055560D"/>
    <w:rsid w:val="00556920"/>
    <w:rsid w:val="0055750C"/>
    <w:rsid w:val="00561028"/>
    <w:rsid w:val="00562648"/>
    <w:rsid w:val="00564986"/>
    <w:rsid w:val="00570182"/>
    <w:rsid w:val="005802F9"/>
    <w:rsid w:val="00585A97"/>
    <w:rsid w:val="00592929"/>
    <w:rsid w:val="005935E3"/>
    <w:rsid w:val="005951D7"/>
    <w:rsid w:val="00597106"/>
    <w:rsid w:val="005A2116"/>
    <w:rsid w:val="005B6F6E"/>
    <w:rsid w:val="005B7EC9"/>
    <w:rsid w:val="005C1E0F"/>
    <w:rsid w:val="005C4FD5"/>
    <w:rsid w:val="005C7483"/>
    <w:rsid w:val="005D0587"/>
    <w:rsid w:val="005D06B3"/>
    <w:rsid w:val="005D0912"/>
    <w:rsid w:val="005E09CA"/>
    <w:rsid w:val="005E252E"/>
    <w:rsid w:val="005F23F7"/>
    <w:rsid w:val="005F2A5C"/>
    <w:rsid w:val="0060099D"/>
    <w:rsid w:val="00600CA6"/>
    <w:rsid w:val="006014DF"/>
    <w:rsid w:val="00606803"/>
    <w:rsid w:val="00611253"/>
    <w:rsid w:val="00614D45"/>
    <w:rsid w:val="00620C6F"/>
    <w:rsid w:val="00624287"/>
    <w:rsid w:val="00626A18"/>
    <w:rsid w:val="00632636"/>
    <w:rsid w:val="006373B6"/>
    <w:rsid w:val="0064012C"/>
    <w:rsid w:val="00640BED"/>
    <w:rsid w:val="0064399B"/>
    <w:rsid w:val="0064405C"/>
    <w:rsid w:val="00645B86"/>
    <w:rsid w:val="0064609D"/>
    <w:rsid w:val="00652737"/>
    <w:rsid w:val="0065297A"/>
    <w:rsid w:val="00652BD4"/>
    <w:rsid w:val="00656777"/>
    <w:rsid w:val="00661578"/>
    <w:rsid w:val="00663740"/>
    <w:rsid w:val="0066374E"/>
    <w:rsid w:val="0066685B"/>
    <w:rsid w:val="006675C9"/>
    <w:rsid w:val="0067121F"/>
    <w:rsid w:val="0067390A"/>
    <w:rsid w:val="00674A83"/>
    <w:rsid w:val="006751D1"/>
    <w:rsid w:val="00675C36"/>
    <w:rsid w:val="00677ABA"/>
    <w:rsid w:val="00680128"/>
    <w:rsid w:val="00680579"/>
    <w:rsid w:val="00681278"/>
    <w:rsid w:val="006843E2"/>
    <w:rsid w:val="006856B8"/>
    <w:rsid w:val="00690FFA"/>
    <w:rsid w:val="006935DF"/>
    <w:rsid w:val="006A03B2"/>
    <w:rsid w:val="006A1343"/>
    <w:rsid w:val="006A18BE"/>
    <w:rsid w:val="006A1C60"/>
    <w:rsid w:val="006A2068"/>
    <w:rsid w:val="006A381A"/>
    <w:rsid w:val="006A614B"/>
    <w:rsid w:val="006A726E"/>
    <w:rsid w:val="006B3968"/>
    <w:rsid w:val="006C3946"/>
    <w:rsid w:val="006C6383"/>
    <w:rsid w:val="006C6AF6"/>
    <w:rsid w:val="006D19D1"/>
    <w:rsid w:val="006D2B77"/>
    <w:rsid w:val="006D5BBF"/>
    <w:rsid w:val="006D61A6"/>
    <w:rsid w:val="006E4723"/>
    <w:rsid w:val="006E7015"/>
    <w:rsid w:val="006E7FAE"/>
    <w:rsid w:val="006F4ED9"/>
    <w:rsid w:val="006F73BB"/>
    <w:rsid w:val="006F7B8C"/>
    <w:rsid w:val="00701162"/>
    <w:rsid w:val="00701FD4"/>
    <w:rsid w:val="0070487E"/>
    <w:rsid w:val="00705368"/>
    <w:rsid w:val="007054C0"/>
    <w:rsid w:val="00706B6C"/>
    <w:rsid w:val="00715C51"/>
    <w:rsid w:val="00716199"/>
    <w:rsid w:val="0072126A"/>
    <w:rsid w:val="00721889"/>
    <w:rsid w:val="00721991"/>
    <w:rsid w:val="00721B8F"/>
    <w:rsid w:val="0072207E"/>
    <w:rsid w:val="00722752"/>
    <w:rsid w:val="00722776"/>
    <w:rsid w:val="00725D8B"/>
    <w:rsid w:val="007263BC"/>
    <w:rsid w:val="00727970"/>
    <w:rsid w:val="007306BD"/>
    <w:rsid w:val="00733929"/>
    <w:rsid w:val="00734522"/>
    <w:rsid w:val="00740321"/>
    <w:rsid w:val="007429A6"/>
    <w:rsid w:val="00743034"/>
    <w:rsid w:val="00744035"/>
    <w:rsid w:val="007459AF"/>
    <w:rsid w:val="00746860"/>
    <w:rsid w:val="00751B7F"/>
    <w:rsid w:val="00752295"/>
    <w:rsid w:val="00754361"/>
    <w:rsid w:val="007545D4"/>
    <w:rsid w:val="007572C8"/>
    <w:rsid w:val="007605E7"/>
    <w:rsid w:val="00763AE5"/>
    <w:rsid w:val="007673F0"/>
    <w:rsid w:val="00773B3D"/>
    <w:rsid w:val="00774886"/>
    <w:rsid w:val="00776618"/>
    <w:rsid w:val="00780BFF"/>
    <w:rsid w:val="00781672"/>
    <w:rsid w:val="00782695"/>
    <w:rsid w:val="007839CB"/>
    <w:rsid w:val="00783B51"/>
    <w:rsid w:val="0078409A"/>
    <w:rsid w:val="0078486F"/>
    <w:rsid w:val="00795CE9"/>
    <w:rsid w:val="007A1666"/>
    <w:rsid w:val="007A2610"/>
    <w:rsid w:val="007A3358"/>
    <w:rsid w:val="007A7F80"/>
    <w:rsid w:val="007B111C"/>
    <w:rsid w:val="007B1868"/>
    <w:rsid w:val="007B1F0B"/>
    <w:rsid w:val="007B405A"/>
    <w:rsid w:val="007B5184"/>
    <w:rsid w:val="007B7A13"/>
    <w:rsid w:val="007C2EE9"/>
    <w:rsid w:val="007C45F4"/>
    <w:rsid w:val="007C7124"/>
    <w:rsid w:val="007D3B89"/>
    <w:rsid w:val="007D520D"/>
    <w:rsid w:val="007D6F95"/>
    <w:rsid w:val="007E3E93"/>
    <w:rsid w:val="007E512D"/>
    <w:rsid w:val="007E56A8"/>
    <w:rsid w:val="007E6088"/>
    <w:rsid w:val="007E6ECC"/>
    <w:rsid w:val="007F079B"/>
    <w:rsid w:val="007F29A9"/>
    <w:rsid w:val="007F70A1"/>
    <w:rsid w:val="00803D15"/>
    <w:rsid w:val="00804E71"/>
    <w:rsid w:val="0080782E"/>
    <w:rsid w:val="0080795A"/>
    <w:rsid w:val="00810FB3"/>
    <w:rsid w:val="008121DC"/>
    <w:rsid w:val="00812F6C"/>
    <w:rsid w:val="00812FA1"/>
    <w:rsid w:val="00814741"/>
    <w:rsid w:val="00821C2A"/>
    <w:rsid w:val="00821D46"/>
    <w:rsid w:val="0082204A"/>
    <w:rsid w:val="00822302"/>
    <w:rsid w:val="008226E1"/>
    <w:rsid w:val="008229E8"/>
    <w:rsid w:val="00825AAB"/>
    <w:rsid w:val="00831414"/>
    <w:rsid w:val="00832558"/>
    <w:rsid w:val="00832BF5"/>
    <w:rsid w:val="00834400"/>
    <w:rsid w:val="0083499C"/>
    <w:rsid w:val="0083770D"/>
    <w:rsid w:val="00837F7B"/>
    <w:rsid w:val="008406FD"/>
    <w:rsid w:val="00840708"/>
    <w:rsid w:val="008423A1"/>
    <w:rsid w:val="0084484E"/>
    <w:rsid w:val="00844EC2"/>
    <w:rsid w:val="00851AEC"/>
    <w:rsid w:val="00851ECD"/>
    <w:rsid w:val="00852F98"/>
    <w:rsid w:val="00855190"/>
    <w:rsid w:val="00860470"/>
    <w:rsid w:val="00863E6E"/>
    <w:rsid w:val="008666E4"/>
    <w:rsid w:val="00871586"/>
    <w:rsid w:val="008716A6"/>
    <w:rsid w:val="008730E1"/>
    <w:rsid w:val="00876DB5"/>
    <w:rsid w:val="008813A6"/>
    <w:rsid w:val="00884DA6"/>
    <w:rsid w:val="00892C09"/>
    <w:rsid w:val="0089601B"/>
    <w:rsid w:val="008A1814"/>
    <w:rsid w:val="008A4AF5"/>
    <w:rsid w:val="008A63FA"/>
    <w:rsid w:val="008B25BD"/>
    <w:rsid w:val="008B4325"/>
    <w:rsid w:val="008B45AA"/>
    <w:rsid w:val="008B48A7"/>
    <w:rsid w:val="008B50A2"/>
    <w:rsid w:val="008B71D2"/>
    <w:rsid w:val="008C0741"/>
    <w:rsid w:val="008C2A20"/>
    <w:rsid w:val="008C34F5"/>
    <w:rsid w:val="008D205F"/>
    <w:rsid w:val="008D534C"/>
    <w:rsid w:val="008E1C8F"/>
    <w:rsid w:val="008E448A"/>
    <w:rsid w:val="008E72DB"/>
    <w:rsid w:val="008F235E"/>
    <w:rsid w:val="008F3128"/>
    <w:rsid w:val="008F46DA"/>
    <w:rsid w:val="008F65D2"/>
    <w:rsid w:val="008F69DA"/>
    <w:rsid w:val="00900C92"/>
    <w:rsid w:val="009024CF"/>
    <w:rsid w:val="009024E0"/>
    <w:rsid w:val="00903A81"/>
    <w:rsid w:val="00905B16"/>
    <w:rsid w:val="0090642A"/>
    <w:rsid w:val="00920178"/>
    <w:rsid w:val="009205F5"/>
    <w:rsid w:val="0092124F"/>
    <w:rsid w:val="00924987"/>
    <w:rsid w:val="009277A0"/>
    <w:rsid w:val="00930915"/>
    <w:rsid w:val="00934034"/>
    <w:rsid w:val="00934071"/>
    <w:rsid w:val="0093560F"/>
    <w:rsid w:val="00936427"/>
    <w:rsid w:val="009366E6"/>
    <w:rsid w:val="00940A06"/>
    <w:rsid w:val="00941408"/>
    <w:rsid w:val="00945512"/>
    <w:rsid w:val="00950F94"/>
    <w:rsid w:val="009511D6"/>
    <w:rsid w:val="00952B71"/>
    <w:rsid w:val="00954782"/>
    <w:rsid w:val="00956277"/>
    <w:rsid w:val="009572AC"/>
    <w:rsid w:val="00970AC7"/>
    <w:rsid w:val="00972311"/>
    <w:rsid w:val="00977603"/>
    <w:rsid w:val="0098660B"/>
    <w:rsid w:val="00986FC2"/>
    <w:rsid w:val="009903F4"/>
    <w:rsid w:val="00994A1F"/>
    <w:rsid w:val="0099619D"/>
    <w:rsid w:val="009A1656"/>
    <w:rsid w:val="009A32A3"/>
    <w:rsid w:val="009A4F24"/>
    <w:rsid w:val="009A62E4"/>
    <w:rsid w:val="009B512C"/>
    <w:rsid w:val="009C3A27"/>
    <w:rsid w:val="009C71A5"/>
    <w:rsid w:val="009D1051"/>
    <w:rsid w:val="009D1C35"/>
    <w:rsid w:val="009D317F"/>
    <w:rsid w:val="009D4C42"/>
    <w:rsid w:val="009E2707"/>
    <w:rsid w:val="009E3023"/>
    <w:rsid w:val="009E4479"/>
    <w:rsid w:val="009F03B9"/>
    <w:rsid w:val="009F1C98"/>
    <w:rsid w:val="009F2D4C"/>
    <w:rsid w:val="00A02EA6"/>
    <w:rsid w:val="00A02EBF"/>
    <w:rsid w:val="00A04328"/>
    <w:rsid w:val="00A047C3"/>
    <w:rsid w:val="00A15341"/>
    <w:rsid w:val="00A16B91"/>
    <w:rsid w:val="00A1734B"/>
    <w:rsid w:val="00A17498"/>
    <w:rsid w:val="00A212FE"/>
    <w:rsid w:val="00A22A27"/>
    <w:rsid w:val="00A23C51"/>
    <w:rsid w:val="00A26F92"/>
    <w:rsid w:val="00A27869"/>
    <w:rsid w:val="00A3025C"/>
    <w:rsid w:val="00A3179C"/>
    <w:rsid w:val="00A31A13"/>
    <w:rsid w:val="00A31FE5"/>
    <w:rsid w:val="00A339DF"/>
    <w:rsid w:val="00A35C0E"/>
    <w:rsid w:val="00A372B1"/>
    <w:rsid w:val="00A37A92"/>
    <w:rsid w:val="00A418D5"/>
    <w:rsid w:val="00A449F9"/>
    <w:rsid w:val="00A4501C"/>
    <w:rsid w:val="00A45047"/>
    <w:rsid w:val="00A4596E"/>
    <w:rsid w:val="00A511A1"/>
    <w:rsid w:val="00A5385C"/>
    <w:rsid w:val="00A57C22"/>
    <w:rsid w:val="00A57D92"/>
    <w:rsid w:val="00A6032D"/>
    <w:rsid w:val="00A60928"/>
    <w:rsid w:val="00A617A0"/>
    <w:rsid w:val="00A622FF"/>
    <w:rsid w:val="00A63976"/>
    <w:rsid w:val="00A63989"/>
    <w:rsid w:val="00A65E9A"/>
    <w:rsid w:val="00A65F7F"/>
    <w:rsid w:val="00A66EF3"/>
    <w:rsid w:val="00A74288"/>
    <w:rsid w:val="00A82201"/>
    <w:rsid w:val="00A85C0F"/>
    <w:rsid w:val="00A9447E"/>
    <w:rsid w:val="00A94F2B"/>
    <w:rsid w:val="00AA077E"/>
    <w:rsid w:val="00AA2CE5"/>
    <w:rsid w:val="00AA3D18"/>
    <w:rsid w:val="00AA53BC"/>
    <w:rsid w:val="00AA7F05"/>
    <w:rsid w:val="00AB3A25"/>
    <w:rsid w:val="00AB421A"/>
    <w:rsid w:val="00AB4E14"/>
    <w:rsid w:val="00AB4E70"/>
    <w:rsid w:val="00AC30C4"/>
    <w:rsid w:val="00AC3D97"/>
    <w:rsid w:val="00AC3E8D"/>
    <w:rsid w:val="00AC67A2"/>
    <w:rsid w:val="00AC69B1"/>
    <w:rsid w:val="00AC7E59"/>
    <w:rsid w:val="00AD430F"/>
    <w:rsid w:val="00AE22DE"/>
    <w:rsid w:val="00AE52F9"/>
    <w:rsid w:val="00AF1E63"/>
    <w:rsid w:val="00AF30EE"/>
    <w:rsid w:val="00AF37BA"/>
    <w:rsid w:val="00AF5F78"/>
    <w:rsid w:val="00B01A4F"/>
    <w:rsid w:val="00B048EC"/>
    <w:rsid w:val="00B07525"/>
    <w:rsid w:val="00B14399"/>
    <w:rsid w:val="00B14E5E"/>
    <w:rsid w:val="00B1541F"/>
    <w:rsid w:val="00B176B7"/>
    <w:rsid w:val="00B23030"/>
    <w:rsid w:val="00B258E4"/>
    <w:rsid w:val="00B26978"/>
    <w:rsid w:val="00B2743E"/>
    <w:rsid w:val="00B27DC6"/>
    <w:rsid w:val="00B3112B"/>
    <w:rsid w:val="00B31398"/>
    <w:rsid w:val="00B3323E"/>
    <w:rsid w:val="00B35594"/>
    <w:rsid w:val="00B36A49"/>
    <w:rsid w:val="00B3795F"/>
    <w:rsid w:val="00B424E0"/>
    <w:rsid w:val="00B43C6F"/>
    <w:rsid w:val="00B468C6"/>
    <w:rsid w:val="00B47DB4"/>
    <w:rsid w:val="00B53A4A"/>
    <w:rsid w:val="00B568F4"/>
    <w:rsid w:val="00B5696A"/>
    <w:rsid w:val="00B56AB6"/>
    <w:rsid w:val="00B62206"/>
    <w:rsid w:val="00B7203A"/>
    <w:rsid w:val="00B721CE"/>
    <w:rsid w:val="00B77477"/>
    <w:rsid w:val="00B77BD6"/>
    <w:rsid w:val="00B8162B"/>
    <w:rsid w:val="00B83DF1"/>
    <w:rsid w:val="00B84492"/>
    <w:rsid w:val="00B8537E"/>
    <w:rsid w:val="00B86C8E"/>
    <w:rsid w:val="00B912F1"/>
    <w:rsid w:val="00B956E5"/>
    <w:rsid w:val="00B95EEE"/>
    <w:rsid w:val="00BA3CFF"/>
    <w:rsid w:val="00BA40E1"/>
    <w:rsid w:val="00BA45AF"/>
    <w:rsid w:val="00BB1084"/>
    <w:rsid w:val="00BB147F"/>
    <w:rsid w:val="00BB29EB"/>
    <w:rsid w:val="00BB2DE9"/>
    <w:rsid w:val="00BB40F6"/>
    <w:rsid w:val="00BB545A"/>
    <w:rsid w:val="00BB6E58"/>
    <w:rsid w:val="00BC2887"/>
    <w:rsid w:val="00BC50E7"/>
    <w:rsid w:val="00BC5151"/>
    <w:rsid w:val="00BC53A6"/>
    <w:rsid w:val="00BC7507"/>
    <w:rsid w:val="00BC765E"/>
    <w:rsid w:val="00BD0178"/>
    <w:rsid w:val="00BD747A"/>
    <w:rsid w:val="00BD7574"/>
    <w:rsid w:val="00BD7842"/>
    <w:rsid w:val="00BE279B"/>
    <w:rsid w:val="00BE425E"/>
    <w:rsid w:val="00BF3B6A"/>
    <w:rsid w:val="00BF3D7E"/>
    <w:rsid w:val="00BF4A92"/>
    <w:rsid w:val="00BF4CFA"/>
    <w:rsid w:val="00BF56B6"/>
    <w:rsid w:val="00C038AA"/>
    <w:rsid w:val="00C10CC2"/>
    <w:rsid w:val="00C11AC3"/>
    <w:rsid w:val="00C1651E"/>
    <w:rsid w:val="00C179AE"/>
    <w:rsid w:val="00C20C2B"/>
    <w:rsid w:val="00C21FCC"/>
    <w:rsid w:val="00C2623C"/>
    <w:rsid w:val="00C31653"/>
    <w:rsid w:val="00C31C4A"/>
    <w:rsid w:val="00C342FF"/>
    <w:rsid w:val="00C4685A"/>
    <w:rsid w:val="00C50FDF"/>
    <w:rsid w:val="00C574DE"/>
    <w:rsid w:val="00C608F8"/>
    <w:rsid w:val="00C6095E"/>
    <w:rsid w:val="00C60C2D"/>
    <w:rsid w:val="00C61397"/>
    <w:rsid w:val="00C650E6"/>
    <w:rsid w:val="00C652FE"/>
    <w:rsid w:val="00C654D6"/>
    <w:rsid w:val="00C66165"/>
    <w:rsid w:val="00C74390"/>
    <w:rsid w:val="00C74F36"/>
    <w:rsid w:val="00C75AFC"/>
    <w:rsid w:val="00C770B1"/>
    <w:rsid w:val="00C77E7E"/>
    <w:rsid w:val="00C82842"/>
    <w:rsid w:val="00C863AA"/>
    <w:rsid w:val="00C86EF3"/>
    <w:rsid w:val="00C91B0D"/>
    <w:rsid w:val="00C92ED8"/>
    <w:rsid w:val="00C951C4"/>
    <w:rsid w:val="00C952F7"/>
    <w:rsid w:val="00CA3E0B"/>
    <w:rsid w:val="00CB0380"/>
    <w:rsid w:val="00CB0B93"/>
    <w:rsid w:val="00CB51EF"/>
    <w:rsid w:val="00CB5CCB"/>
    <w:rsid w:val="00CB7828"/>
    <w:rsid w:val="00CC1280"/>
    <w:rsid w:val="00CC155D"/>
    <w:rsid w:val="00CC511C"/>
    <w:rsid w:val="00CC6611"/>
    <w:rsid w:val="00CD3464"/>
    <w:rsid w:val="00CD3EA8"/>
    <w:rsid w:val="00CD4A74"/>
    <w:rsid w:val="00CE49A4"/>
    <w:rsid w:val="00CE73A9"/>
    <w:rsid w:val="00CF2356"/>
    <w:rsid w:val="00CF406B"/>
    <w:rsid w:val="00CF4F03"/>
    <w:rsid w:val="00CF6E52"/>
    <w:rsid w:val="00D0083B"/>
    <w:rsid w:val="00D02BA0"/>
    <w:rsid w:val="00D07AC4"/>
    <w:rsid w:val="00D10C13"/>
    <w:rsid w:val="00D1329F"/>
    <w:rsid w:val="00D207E8"/>
    <w:rsid w:val="00D22016"/>
    <w:rsid w:val="00D24DE5"/>
    <w:rsid w:val="00D24E63"/>
    <w:rsid w:val="00D254B9"/>
    <w:rsid w:val="00D31A98"/>
    <w:rsid w:val="00D32DC5"/>
    <w:rsid w:val="00D41C5E"/>
    <w:rsid w:val="00D47DE4"/>
    <w:rsid w:val="00D63F89"/>
    <w:rsid w:val="00D64865"/>
    <w:rsid w:val="00D7062F"/>
    <w:rsid w:val="00D70BB6"/>
    <w:rsid w:val="00D7431C"/>
    <w:rsid w:val="00D74B43"/>
    <w:rsid w:val="00D75118"/>
    <w:rsid w:val="00D8334C"/>
    <w:rsid w:val="00D87497"/>
    <w:rsid w:val="00D915A2"/>
    <w:rsid w:val="00D97109"/>
    <w:rsid w:val="00DA394A"/>
    <w:rsid w:val="00DB2C1A"/>
    <w:rsid w:val="00DB312A"/>
    <w:rsid w:val="00DB4544"/>
    <w:rsid w:val="00DB6B27"/>
    <w:rsid w:val="00DC0EFF"/>
    <w:rsid w:val="00DC2ADF"/>
    <w:rsid w:val="00DC5E93"/>
    <w:rsid w:val="00DC7617"/>
    <w:rsid w:val="00DC7C36"/>
    <w:rsid w:val="00DD2975"/>
    <w:rsid w:val="00DD4ED0"/>
    <w:rsid w:val="00DD7B3F"/>
    <w:rsid w:val="00DE2EE8"/>
    <w:rsid w:val="00DF4999"/>
    <w:rsid w:val="00DF79F7"/>
    <w:rsid w:val="00E03880"/>
    <w:rsid w:val="00E04E8B"/>
    <w:rsid w:val="00E0634B"/>
    <w:rsid w:val="00E07469"/>
    <w:rsid w:val="00E10557"/>
    <w:rsid w:val="00E11253"/>
    <w:rsid w:val="00E1504F"/>
    <w:rsid w:val="00E15859"/>
    <w:rsid w:val="00E16E06"/>
    <w:rsid w:val="00E208D5"/>
    <w:rsid w:val="00E21818"/>
    <w:rsid w:val="00E21F5E"/>
    <w:rsid w:val="00E22BA1"/>
    <w:rsid w:val="00E2362A"/>
    <w:rsid w:val="00E2416D"/>
    <w:rsid w:val="00E30BDE"/>
    <w:rsid w:val="00E414CE"/>
    <w:rsid w:val="00E416D2"/>
    <w:rsid w:val="00E429B7"/>
    <w:rsid w:val="00E4535F"/>
    <w:rsid w:val="00E458DB"/>
    <w:rsid w:val="00E46953"/>
    <w:rsid w:val="00E52817"/>
    <w:rsid w:val="00E55339"/>
    <w:rsid w:val="00E57E4E"/>
    <w:rsid w:val="00E615F4"/>
    <w:rsid w:val="00E63D8B"/>
    <w:rsid w:val="00E63E72"/>
    <w:rsid w:val="00E65639"/>
    <w:rsid w:val="00E703D4"/>
    <w:rsid w:val="00E704CE"/>
    <w:rsid w:val="00E73485"/>
    <w:rsid w:val="00E74161"/>
    <w:rsid w:val="00E7502E"/>
    <w:rsid w:val="00E77E49"/>
    <w:rsid w:val="00E847F4"/>
    <w:rsid w:val="00E90981"/>
    <w:rsid w:val="00E94B92"/>
    <w:rsid w:val="00E95094"/>
    <w:rsid w:val="00EA021F"/>
    <w:rsid w:val="00EA72AB"/>
    <w:rsid w:val="00EA7934"/>
    <w:rsid w:val="00EB11B4"/>
    <w:rsid w:val="00EB1541"/>
    <w:rsid w:val="00EB1C2B"/>
    <w:rsid w:val="00EB3163"/>
    <w:rsid w:val="00EB4D3E"/>
    <w:rsid w:val="00EB55CA"/>
    <w:rsid w:val="00EB7203"/>
    <w:rsid w:val="00EB7BD3"/>
    <w:rsid w:val="00EC0B1C"/>
    <w:rsid w:val="00EC0D5F"/>
    <w:rsid w:val="00EC2B7F"/>
    <w:rsid w:val="00EC44CC"/>
    <w:rsid w:val="00EC5ED0"/>
    <w:rsid w:val="00EC7AA2"/>
    <w:rsid w:val="00ED2B40"/>
    <w:rsid w:val="00ED4A08"/>
    <w:rsid w:val="00ED5191"/>
    <w:rsid w:val="00ED7487"/>
    <w:rsid w:val="00EE383C"/>
    <w:rsid w:val="00EE5E1C"/>
    <w:rsid w:val="00EE6E84"/>
    <w:rsid w:val="00EE70BD"/>
    <w:rsid w:val="00EE766A"/>
    <w:rsid w:val="00EF3CDF"/>
    <w:rsid w:val="00EF4A7A"/>
    <w:rsid w:val="00EF60D9"/>
    <w:rsid w:val="00EF63C4"/>
    <w:rsid w:val="00EF7FB3"/>
    <w:rsid w:val="00F00F9E"/>
    <w:rsid w:val="00F02889"/>
    <w:rsid w:val="00F0506A"/>
    <w:rsid w:val="00F12177"/>
    <w:rsid w:val="00F131CB"/>
    <w:rsid w:val="00F154A0"/>
    <w:rsid w:val="00F16ACF"/>
    <w:rsid w:val="00F16EBD"/>
    <w:rsid w:val="00F17053"/>
    <w:rsid w:val="00F17B94"/>
    <w:rsid w:val="00F200A4"/>
    <w:rsid w:val="00F2012A"/>
    <w:rsid w:val="00F212F7"/>
    <w:rsid w:val="00F34D46"/>
    <w:rsid w:val="00F361FF"/>
    <w:rsid w:val="00F371E2"/>
    <w:rsid w:val="00F41DB6"/>
    <w:rsid w:val="00F47311"/>
    <w:rsid w:val="00F5240B"/>
    <w:rsid w:val="00F524BD"/>
    <w:rsid w:val="00F54BF8"/>
    <w:rsid w:val="00F5729E"/>
    <w:rsid w:val="00F609DD"/>
    <w:rsid w:val="00F63867"/>
    <w:rsid w:val="00F639DF"/>
    <w:rsid w:val="00F65D32"/>
    <w:rsid w:val="00F70012"/>
    <w:rsid w:val="00F71E43"/>
    <w:rsid w:val="00F85B70"/>
    <w:rsid w:val="00FA0EBF"/>
    <w:rsid w:val="00FA1F99"/>
    <w:rsid w:val="00FA20BA"/>
    <w:rsid w:val="00FA276B"/>
    <w:rsid w:val="00FA2F79"/>
    <w:rsid w:val="00FA4197"/>
    <w:rsid w:val="00FB0E41"/>
    <w:rsid w:val="00FB459C"/>
    <w:rsid w:val="00FB4A80"/>
    <w:rsid w:val="00FB6A83"/>
    <w:rsid w:val="00FB7065"/>
    <w:rsid w:val="00FC0FD8"/>
    <w:rsid w:val="00FC37A0"/>
    <w:rsid w:val="00FC3F49"/>
    <w:rsid w:val="00FC657D"/>
    <w:rsid w:val="00FD35A0"/>
    <w:rsid w:val="00FD5F34"/>
    <w:rsid w:val="00FD6561"/>
    <w:rsid w:val="00FD7A11"/>
    <w:rsid w:val="00FE1787"/>
    <w:rsid w:val="00FF1A48"/>
    <w:rsid w:val="00FF559B"/>
    <w:rsid w:val="00FF64BC"/>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F2CFDEF"/>
  <w15:chartTrackingRefBased/>
  <w15:docId w15:val="{3B75CD64-DC50-4E4E-BA0E-2074A6C8F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F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1F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1F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1F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1F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1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F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1F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1F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1F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1F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1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FD4"/>
    <w:rPr>
      <w:rFonts w:eastAsiaTheme="majorEastAsia" w:cstheme="majorBidi"/>
      <w:color w:val="272727" w:themeColor="text1" w:themeTint="D8"/>
    </w:rPr>
  </w:style>
  <w:style w:type="paragraph" w:styleId="Title">
    <w:name w:val="Title"/>
    <w:basedOn w:val="Normal"/>
    <w:next w:val="Normal"/>
    <w:link w:val="TitleChar"/>
    <w:uiPriority w:val="10"/>
    <w:qFormat/>
    <w:rsid w:val="00701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FD4"/>
    <w:pPr>
      <w:spacing w:before="160"/>
      <w:jc w:val="center"/>
    </w:pPr>
    <w:rPr>
      <w:i/>
      <w:iCs/>
      <w:color w:val="404040" w:themeColor="text1" w:themeTint="BF"/>
    </w:rPr>
  </w:style>
  <w:style w:type="character" w:customStyle="1" w:styleId="QuoteChar">
    <w:name w:val="Quote Char"/>
    <w:basedOn w:val="DefaultParagraphFont"/>
    <w:link w:val="Quote"/>
    <w:uiPriority w:val="29"/>
    <w:rsid w:val="00701FD4"/>
    <w:rPr>
      <w:i/>
      <w:iCs/>
      <w:color w:val="404040" w:themeColor="text1" w:themeTint="BF"/>
    </w:rPr>
  </w:style>
  <w:style w:type="paragraph" w:styleId="ListParagraph">
    <w:name w:val="List Paragraph"/>
    <w:basedOn w:val="Normal"/>
    <w:uiPriority w:val="34"/>
    <w:qFormat/>
    <w:rsid w:val="00701FD4"/>
    <w:pPr>
      <w:ind w:left="720"/>
      <w:contextualSpacing/>
    </w:pPr>
  </w:style>
  <w:style w:type="character" w:styleId="IntenseEmphasis">
    <w:name w:val="Intense Emphasis"/>
    <w:basedOn w:val="DefaultParagraphFont"/>
    <w:uiPriority w:val="21"/>
    <w:qFormat/>
    <w:rsid w:val="00701FD4"/>
    <w:rPr>
      <w:i/>
      <w:iCs/>
      <w:color w:val="2F5496" w:themeColor="accent1" w:themeShade="BF"/>
    </w:rPr>
  </w:style>
  <w:style w:type="paragraph" w:styleId="IntenseQuote">
    <w:name w:val="Intense Quote"/>
    <w:basedOn w:val="Normal"/>
    <w:next w:val="Normal"/>
    <w:link w:val="IntenseQuoteChar"/>
    <w:uiPriority w:val="30"/>
    <w:qFormat/>
    <w:rsid w:val="00701F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1FD4"/>
    <w:rPr>
      <w:i/>
      <w:iCs/>
      <w:color w:val="2F5496" w:themeColor="accent1" w:themeShade="BF"/>
    </w:rPr>
  </w:style>
  <w:style w:type="character" w:styleId="IntenseReference">
    <w:name w:val="Intense Reference"/>
    <w:basedOn w:val="DefaultParagraphFont"/>
    <w:uiPriority w:val="32"/>
    <w:qFormat/>
    <w:rsid w:val="00701FD4"/>
    <w:rPr>
      <w:b/>
      <w:bCs/>
      <w:smallCaps/>
      <w:color w:val="2F5496" w:themeColor="accent1" w:themeShade="BF"/>
      <w:spacing w:val="5"/>
    </w:rPr>
  </w:style>
  <w:style w:type="character" w:styleId="CommentReference">
    <w:name w:val="annotation reference"/>
    <w:basedOn w:val="DefaultParagraphFont"/>
    <w:uiPriority w:val="99"/>
    <w:semiHidden/>
    <w:unhideWhenUsed/>
    <w:rsid w:val="00F639DF"/>
    <w:rPr>
      <w:sz w:val="16"/>
      <w:szCs w:val="16"/>
    </w:rPr>
  </w:style>
  <w:style w:type="paragraph" w:styleId="CommentText">
    <w:name w:val="annotation text"/>
    <w:basedOn w:val="Normal"/>
    <w:link w:val="CommentTextChar"/>
    <w:uiPriority w:val="99"/>
    <w:semiHidden/>
    <w:unhideWhenUsed/>
    <w:rsid w:val="00F639DF"/>
    <w:pPr>
      <w:spacing w:line="240" w:lineRule="auto"/>
    </w:pPr>
    <w:rPr>
      <w:sz w:val="20"/>
      <w:szCs w:val="20"/>
    </w:rPr>
  </w:style>
  <w:style w:type="character" w:customStyle="1" w:styleId="CommentTextChar">
    <w:name w:val="Comment Text Char"/>
    <w:basedOn w:val="DefaultParagraphFont"/>
    <w:link w:val="CommentText"/>
    <w:uiPriority w:val="99"/>
    <w:semiHidden/>
    <w:rsid w:val="00F639DF"/>
    <w:rPr>
      <w:sz w:val="20"/>
      <w:szCs w:val="20"/>
    </w:rPr>
  </w:style>
  <w:style w:type="paragraph" w:styleId="CommentSubject">
    <w:name w:val="annotation subject"/>
    <w:basedOn w:val="CommentText"/>
    <w:next w:val="CommentText"/>
    <w:link w:val="CommentSubjectChar"/>
    <w:uiPriority w:val="99"/>
    <w:semiHidden/>
    <w:unhideWhenUsed/>
    <w:rsid w:val="00F639DF"/>
    <w:rPr>
      <w:b/>
      <w:bCs/>
    </w:rPr>
  </w:style>
  <w:style w:type="character" w:customStyle="1" w:styleId="CommentSubjectChar">
    <w:name w:val="Comment Subject Char"/>
    <w:basedOn w:val="CommentTextChar"/>
    <w:link w:val="CommentSubject"/>
    <w:uiPriority w:val="99"/>
    <w:semiHidden/>
    <w:rsid w:val="00F639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628</Words>
  <Characters>3586</Characters>
  <Application>Microsoft Office Word</Application>
  <DocSecurity>0</DocSecurity>
  <Lines>29</Lines>
  <Paragraphs>8</Paragraphs>
  <ScaleCrop>false</ScaleCrop>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11</cp:revision>
  <dcterms:created xsi:type="dcterms:W3CDTF">2025-09-10T22:39:00Z</dcterms:created>
  <dcterms:modified xsi:type="dcterms:W3CDTF">2025-09-10T22:58:00Z</dcterms:modified>
</cp:coreProperties>
</file>