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1951" w:rsidRDefault="004C1951" w:rsidP="004C1951">
      <w:pPr>
        <w:rPr>
          <w:rFonts w:ascii="Arial" w:hAnsi="Arial" w:cs="Arial"/>
          <w:b/>
          <w:bCs/>
          <w:kern w:val="0"/>
          <w:sz w:val="22"/>
          <w:szCs w:val="22"/>
        </w:rPr>
      </w:pPr>
      <w:r w:rsidRPr="00331A3E">
        <w:rPr>
          <w:rFonts w:ascii="Arial" w:hAnsi="Arial" w:cs="Arial"/>
          <w:b/>
          <w:bCs/>
          <w:kern w:val="0"/>
          <w:sz w:val="22"/>
          <w:szCs w:val="22"/>
        </w:rPr>
        <w:t xml:space="preserve">Table 2: </w:t>
      </w:r>
      <w:r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>
        <w:rPr>
          <w:rFonts w:ascii="Arial" w:hAnsi="Arial" w:cs="Arial"/>
          <w:kern w:val="0"/>
          <w:sz w:val="22"/>
          <w:szCs w:val="22"/>
        </w:rPr>
        <w:t xml:space="preserve"> for a (A) difference-in-differences design, and (B) case-crossover design</w:t>
      </w:r>
      <w:r w:rsidRPr="00331A3E">
        <w:rPr>
          <w:rFonts w:ascii="Arial" w:hAnsi="Arial" w:cs="Arial"/>
          <w:kern w:val="0"/>
          <w:sz w:val="22"/>
          <w:szCs w:val="22"/>
        </w:rPr>
        <w:t xml:space="preserve">. Results correspond to column 3 of </w:t>
      </w:r>
      <w:r w:rsidRPr="00331A3E">
        <w:rPr>
          <w:rFonts w:ascii="Arial" w:hAnsi="Arial" w:cs="Arial"/>
          <w:b/>
          <w:bCs/>
          <w:kern w:val="0"/>
          <w:sz w:val="22"/>
          <w:szCs w:val="22"/>
        </w:rPr>
        <w:t>Figure 4</w:t>
      </w:r>
      <w:r>
        <w:rPr>
          <w:rFonts w:ascii="Arial" w:hAnsi="Arial" w:cs="Arial"/>
          <w:b/>
          <w:bCs/>
          <w:kern w:val="0"/>
          <w:sz w:val="22"/>
          <w:szCs w:val="22"/>
        </w:rPr>
        <w:t>.</w:t>
      </w:r>
    </w:p>
    <w:p w:rsidR="004C1951" w:rsidRPr="00331A3E" w:rsidRDefault="004C1951" w:rsidP="004C1951">
      <w:pPr>
        <w:rPr>
          <w:rFonts w:ascii="Arial" w:hAnsi="Arial" w:cs="Arial"/>
          <w:b/>
          <w:bCs/>
          <w:kern w:val="0"/>
          <w:sz w:val="22"/>
          <w:szCs w:val="22"/>
        </w:rPr>
      </w:pPr>
    </w:p>
    <w:tbl>
      <w:tblPr>
        <w:tblW w:w="10206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2126"/>
        <w:gridCol w:w="2126"/>
        <w:gridCol w:w="2268"/>
      </w:tblGrid>
      <w:tr w:rsidR="004C1951" w:rsidRPr="008B6622" w:rsidTr="00EE34A6">
        <w:trPr>
          <w:trHeight w:val="854"/>
          <w:tblHeader/>
        </w:trPr>
        <w:tc>
          <w:tcPr>
            <w:tcW w:w="10206" w:type="dxa"/>
            <w:gridSpan w:val="5"/>
            <w:shd w:val="clear" w:color="auto" w:fill="FFFFFF"/>
          </w:tcPr>
          <w:p w:rsidR="004C1951" w:rsidRPr="008B6622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8B662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Table 2A: Results from difference-in-differences study design simulations, select cases of missingness. Average percent bias (standard deviation of bias); coverage.</w:t>
            </w:r>
          </w:p>
        </w:tc>
      </w:tr>
      <w:tr w:rsidR="004C1951" w:rsidRPr="008B6622" w:rsidTr="00EE34A6">
        <w:trPr>
          <w:trHeight w:val="854"/>
          <w:tblHeader/>
        </w:trPr>
        <w:tc>
          <w:tcPr>
            <w:tcW w:w="1701" w:type="dxa"/>
            <w:shd w:val="clear" w:color="auto" w:fill="FFFFFF"/>
          </w:tcPr>
          <w:p w:rsidR="004C1951" w:rsidRPr="008B6622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E</w:t>
            </w:r>
            <w:r w:rsidRPr="008B6622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ffect size of power outage on hospitalization</w:t>
            </w:r>
          </w:p>
        </w:tc>
        <w:tc>
          <w:tcPr>
            <w:tcW w:w="198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0% of counties missing 0% of data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20% of counties missing 80% of data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50% of counties missing 80% of data</w:t>
            </w:r>
          </w:p>
        </w:tc>
        <w:tc>
          <w:tcPr>
            <w:tcW w:w="226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80% of counties missing 80% of data</w:t>
            </w:r>
          </w:p>
        </w:tc>
      </w:tr>
      <w:tr w:rsidR="004C1951" w:rsidRPr="008B6622" w:rsidTr="00EE34A6">
        <w:trPr>
          <w:trHeight w:val="564"/>
        </w:trPr>
        <w:tc>
          <w:tcPr>
            <w:tcW w:w="1701" w:type="dxa"/>
            <w:shd w:val="clear" w:color="auto" w:fill="D9E2F3" w:themeFill="accent1" w:themeFillTint="33"/>
          </w:tcPr>
          <w:p w:rsidR="004C1951" w:rsidRPr="00861438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 xml:space="preserve">  </w:t>
            </w:r>
            <w:r>
              <w:rPr>
                <w:rFonts w:ascii="Helvetica Neue" w:hAnsi="Helvetica Neue"/>
                <w:color w:val="333333"/>
                <w:sz w:val="22"/>
                <w:szCs w:val="22"/>
              </w:rPr>
              <w:t>0</w:t>
            </w: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>.5%</w:t>
            </w:r>
          </w:p>
        </w:tc>
        <w:tc>
          <w:tcPr>
            <w:tcW w:w="198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-8.9% (83.6); 94.9%</w:t>
            </w:r>
          </w:p>
        </w:tc>
        <w:tc>
          <w:tcPr>
            <w:tcW w:w="212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-17.5% (74.6); 94.9%</w:t>
            </w:r>
          </w:p>
        </w:tc>
        <w:tc>
          <w:tcPr>
            <w:tcW w:w="212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-29.5% (85.4); 90.9%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-54.2% (81.1); 89.9%</w:t>
            </w:r>
          </w:p>
        </w:tc>
      </w:tr>
      <w:tr w:rsidR="004C1951" w:rsidRPr="008B6622" w:rsidTr="00EE34A6">
        <w:trPr>
          <w:trHeight w:val="580"/>
        </w:trPr>
        <w:tc>
          <w:tcPr>
            <w:tcW w:w="1701" w:type="dxa"/>
            <w:shd w:val="clear" w:color="auto" w:fill="FFFFFF"/>
          </w:tcPr>
          <w:p w:rsidR="004C1951" w:rsidRPr="00861438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 xml:space="preserve">  1%</w:t>
            </w:r>
          </w:p>
        </w:tc>
        <w:tc>
          <w:tcPr>
            <w:tcW w:w="198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0.4% (36.5); 93.9%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-13.3% (37.2); 96%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-33</w:t>
            </w:r>
            <w:r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.0</w:t>
            </w: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% (45.2); 81.8%</w:t>
            </w:r>
          </w:p>
        </w:tc>
        <w:tc>
          <w:tcPr>
            <w:tcW w:w="226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-54.4% (39.8); 63.6%</w:t>
            </w:r>
          </w:p>
        </w:tc>
      </w:tr>
      <w:tr w:rsidR="004C1951" w:rsidRPr="008B6622" w:rsidTr="00EE34A6">
        <w:trPr>
          <w:trHeight w:val="580"/>
        </w:trPr>
        <w:tc>
          <w:tcPr>
            <w:tcW w:w="1701" w:type="dxa"/>
            <w:shd w:val="clear" w:color="auto" w:fill="D9E2F3" w:themeFill="accent1" w:themeFillTint="33"/>
          </w:tcPr>
          <w:p w:rsidR="004C1951" w:rsidRPr="00861438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 xml:space="preserve">  5%</w:t>
            </w:r>
          </w:p>
        </w:tc>
        <w:tc>
          <w:tcPr>
            <w:tcW w:w="198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-1.3% (8.7); 88.9%</w:t>
            </w:r>
          </w:p>
        </w:tc>
        <w:tc>
          <w:tcPr>
            <w:tcW w:w="212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-18% (14.1); 40.4%</w:t>
            </w:r>
          </w:p>
        </w:tc>
        <w:tc>
          <w:tcPr>
            <w:tcW w:w="212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-35.5% (19.5); 19.2%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7247BB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7247BB">
              <w:rPr>
                <w:rFonts w:ascii="Helvetica Neue" w:eastAsia="Times New Roman" w:hAnsi="Helvetica Neue" w:cs="Times New Roman"/>
                <w:color w:val="333333"/>
                <w:kern w:val="0"/>
                <w:sz w:val="20"/>
                <w:szCs w:val="20"/>
                <w14:ligatures w14:val="none"/>
              </w:rPr>
              <w:t>-50.5% (26.7); 18.2%</w:t>
            </w:r>
          </w:p>
        </w:tc>
      </w:tr>
    </w:tbl>
    <w:p w:rsidR="004C1951" w:rsidRDefault="004C1951" w:rsidP="004C1951"/>
    <w:p w:rsidR="004C1951" w:rsidRDefault="004C1951" w:rsidP="004C1951"/>
    <w:tbl>
      <w:tblPr>
        <w:tblW w:w="10206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036"/>
        <w:gridCol w:w="2155"/>
        <w:gridCol w:w="2188"/>
        <w:gridCol w:w="2126"/>
      </w:tblGrid>
      <w:tr w:rsidR="004C1951" w:rsidRPr="00EE39B3" w:rsidTr="00EE34A6">
        <w:trPr>
          <w:trHeight w:val="859"/>
          <w:tblHeader/>
        </w:trPr>
        <w:tc>
          <w:tcPr>
            <w:tcW w:w="10206" w:type="dxa"/>
            <w:gridSpan w:val="5"/>
            <w:shd w:val="clear" w:color="auto" w:fill="FFFFFF"/>
          </w:tcPr>
          <w:p w:rsidR="004C1951" w:rsidRPr="00EE39B3" w:rsidRDefault="004C1951" w:rsidP="00EE34A6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</w:pPr>
            <w:r w:rsidRPr="00EE39B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Table 2</w:t>
            </w:r>
            <w:r w:rsidRPr="00EE39B3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B</w:t>
            </w:r>
            <w:r w:rsidRPr="00EE39B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 xml:space="preserve">: Results from </w:t>
            </w:r>
            <w:r w:rsidRPr="00EE39B3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case-crossover</w:t>
            </w:r>
            <w:r w:rsidRPr="00EE39B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 xml:space="preserve"> study design simulations, select cases of missingness. Average percent bias (standard deviation of bias); coverage.</w:t>
            </w:r>
          </w:p>
        </w:tc>
      </w:tr>
      <w:tr w:rsidR="004C1951" w:rsidRPr="00EE39B3" w:rsidTr="00EE34A6">
        <w:trPr>
          <w:trHeight w:val="859"/>
          <w:tblHeader/>
        </w:trPr>
        <w:tc>
          <w:tcPr>
            <w:tcW w:w="1701" w:type="dxa"/>
            <w:shd w:val="clear" w:color="auto" w:fill="FFFFFF"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Effect size of power outage on hospitalization</w:t>
            </w:r>
          </w:p>
        </w:tc>
        <w:tc>
          <w:tcPr>
            <w:tcW w:w="203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0% of counties missing 0% of data</w:t>
            </w:r>
          </w:p>
        </w:tc>
        <w:tc>
          <w:tcPr>
            <w:tcW w:w="21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20% of counties missing 80% of data</w:t>
            </w:r>
          </w:p>
        </w:tc>
        <w:tc>
          <w:tcPr>
            <w:tcW w:w="218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50% of counties missing 80% of data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b/>
                <w:bCs/>
                <w:color w:val="333333"/>
                <w:sz w:val="20"/>
                <w:szCs w:val="20"/>
              </w:rPr>
              <w:t>80% of counties missing 80% of data</w:t>
            </w:r>
          </w:p>
        </w:tc>
      </w:tr>
      <w:tr w:rsidR="004C1951" w:rsidRPr="00EE39B3" w:rsidTr="00EE34A6">
        <w:trPr>
          <w:trHeight w:val="567"/>
        </w:trPr>
        <w:tc>
          <w:tcPr>
            <w:tcW w:w="1701" w:type="dxa"/>
            <w:shd w:val="clear" w:color="auto" w:fill="D9E2F3" w:themeFill="accent1" w:themeFillTint="33"/>
          </w:tcPr>
          <w:p w:rsidR="004C1951" w:rsidRPr="00861438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 xml:space="preserve">  </w:t>
            </w:r>
            <w:r>
              <w:rPr>
                <w:rFonts w:ascii="Helvetica Neue" w:hAnsi="Helvetica Neue"/>
                <w:color w:val="333333"/>
                <w:sz w:val="22"/>
                <w:szCs w:val="22"/>
              </w:rPr>
              <w:t>0</w:t>
            </w: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>.5%</w:t>
            </w:r>
          </w:p>
        </w:tc>
        <w:tc>
          <w:tcPr>
            <w:tcW w:w="203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-9.2% (59.3); 95.8%</w:t>
            </w:r>
          </w:p>
        </w:tc>
        <w:tc>
          <w:tcPr>
            <w:tcW w:w="215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-22.1% (54.2); 92.7%</w:t>
            </w:r>
          </w:p>
        </w:tc>
        <w:tc>
          <w:tcPr>
            <w:tcW w:w="2188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-34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.0</w:t>
            </w: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% (61.2); 87.8%</w:t>
            </w:r>
          </w:p>
        </w:tc>
        <w:tc>
          <w:tcPr>
            <w:tcW w:w="212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-57.6% (57.8); 80.9%</w:t>
            </w:r>
          </w:p>
        </w:tc>
      </w:tr>
      <w:tr w:rsidR="004C1951" w:rsidRPr="00EE39B3" w:rsidTr="00EE34A6">
        <w:trPr>
          <w:trHeight w:val="584"/>
        </w:trPr>
        <w:tc>
          <w:tcPr>
            <w:tcW w:w="1701" w:type="dxa"/>
            <w:shd w:val="clear" w:color="auto" w:fill="FFFFFF"/>
          </w:tcPr>
          <w:p w:rsidR="004C1951" w:rsidRPr="00861438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 xml:space="preserve">  1%</w:t>
            </w:r>
          </w:p>
        </w:tc>
        <w:tc>
          <w:tcPr>
            <w:tcW w:w="203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0.3% (29.3); 95.7%</w:t>
            </w:r>
          </w:p>
        </w:tc>
        <w:tc>
          <w:tcPr>
            <w:tcW w:w="21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-16.4% (31.1); 90.5%</w:t>
            </w:r>
          </w:p>
        </w:tc>
        <w:tc>
          <w:tcPr>
            <w:tcW w:w="218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-31.7% (34.9); 73%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-51.8% (35.7); 49%</w:t>
            </w:r>
          </w:p>
        </w:tc>
      </w:tr>
      <w:tr w:rsidR="004C1951" w:rsidRPr="00EE39B3" w:rsidTr="00EE34A6">
        <w:trPr>
          <w:trHeight w:val="584"/>
        </w:trPr>
        <w:tc>
          <w:tcPr>
            <w:tcW w:w="1701" w:type="dxa"/>
            <w:shd w:val="clear" w:color="auto" w:fill="D9E2F3" w:themeFill="accent1" w:themeFillTint="33"/>
          </w:tcPr>
          <w:p w:rsidR="004C1951" w:rsidRPr="00861438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2"/>
                <w:szCs w:val="22"/>
              </w:rPr>
            </w:pPr>
            <w:r w:rsidRPr="00861438">
              <w:rPr>
                <w:rFonts w:ascii="Helvetica Neue" w:hAnsi="Helvetica Neue"/>
                <w:color w:val="333333"/>
                <w:sz w:val="22"/>
                <w:szCs w:val="22"/>
              </w:rPr>
              <w:t xml:space="preserve">  5%</w:t>
            </w:r>
          </w:p>
        </w:tc>
        <w:tc>
          <w:tcPr>
            <w:tcW w:w="203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-1.9% (5.7); 95.7%</w:t>
            </w:r>
          </w:p>
        </w:tc>
        <w:tc>
          <w:tcPr>
            <w:tcW w:w="215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-17.8% (13.1); 23.5%</w:t>
            </w:r>
          </w:p>
        </w:tc>
        <w:tc>
          <w:tcPr>
            <w:tcW w:w="2188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-33.7% (18.7); 19%</w:t>
            </w:r>
          </w:p>
        </w:tc>
        <w:tc>
          <w:tcPr>
            <w:tcW w:w="2126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1951" w:rsidRPr="00EE39B3" w:rsidRDefault="004C1951" w:rsidP="00EE34A6">
            <w:pPr>
              <w:spacing w:after="30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E39B3">
              <w:rPr>
                <w:rFonts w:ascii="Helvetica Neue" w:hAnsi="Helvetica Neue"/>
                <w:color w:val="333333"/>
                <w:sz w:val="20"/>
                <w:szCs w:val="20"/>
              </w:rPr>
              <w:t>-48.8% (25.6); 19.1%</w:t>
            </w:r>
          </w:p>
        </w:tc>
      </w:tr>
    </w:tbl>
    <w:p w:rsidR="004C1951" w:rsidRPr="00331A3E" w:rsidRDefault="004C1951" w:rsidP="004C1951">
      <w:pPr>
        <w:rPr>
          <w:rFonts w:ascii="Arial" w:hAnsi="Arial" w:cs="Arial"/>
          <w:b/>
          <w:bCs/>
          <w:kern w:val="0"/>
          <w:sz w:val="22"/>
          <w:szCs w:val="22"/>
        </w:rPr>
      </w:pPr>
    </w:p>
    <w:p w:rsidR="00425DD8" w:rsidRDefault="00425DD8"/>
    <w:sectPr w:rsidR="00425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51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C1951"/>
    <w:rsid w:val="004D0383"/>
    <w:rsid w:val="004D5DD3"/>
    <w:rsid w:val="004E0C92"/>
    <w:rsid w:val="00533115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9E9922-0702-0448-A607-BBA7A93F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51"/>
  </w:style>
  <w:style w:type="paragraph" w:styleId="Heading1">
    <w:name w:val="heading 1"/>
    <w:basedOn w:val="Normal"/>
    <w:next w:val="Normal"/>
    <w:link w:val="Heading1Char"/>
    <w:uiPriority w:val="9"/>
    <w:qFormat/>
    <w:rsid w:val="004C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2024-12-13T22:13:00Z</dcterms:created>
  <dcterms:modified xsi:type="dcterms:W3CDTF">2024-12-13T22:13:00Z</dcterms:modified>
</cp:coreProperties>
</file>