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C110" w14:textId="41028FBF" w:rsidR="00422C7B" w:rsidRPr="005E119D" w:rsidRDefault="00773350" w:rsidP="00422C7B">
      <w:pPr>
        <w:pStyle w:val="Head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422C7B" w:rsidRPr="005E119D">
        <w:rPr>
          <w:rFonts w:cstheme="minorHAnsi"/>
          <w:sz w:val="22"/>
          <w:szCs w:val="22"/>
        </w:rPr>
        <w:t>able 1</w:t>
      </w:r>
      <w:r w:rsidR="00CD1608">
        <w:rPr>
          <w:rFonts w:cstheme="minorHAnsi"/>
          <w:sz w:val="22"/>
          <w:szCs w:val="22"/>
        </w:rPr>
        <w:t>a</w:t>
      </w:r>
      <w:r w:rsidR="00422C7B" w:rsidRPr="005E119D">
        <w:rPr>
          <w:rFonts w:cstheme="minorHAnsi"/>
          <w:sz w:val="22"/>
          <w:szCs w:val="22"/>
        </w:rPr>
        <w:t>: Results from daily wildfire PM</w:t>
      </w:r>
      <w:r w:rsidR="00422C7B" w:rsidRPr="005E119D">
        <w:rPr>
          <w:rFonts w:cstheme="minorHAnsi"/>
          <w:sz w:val="22"/>
          <w:szCs w:val="22"/>
          <w:vertAlign w:val="subscript"/>
        </w:rPr>
        <w:t xml:space="preserve">2.5 </w:t>
      </w:r>
      <w:r w:rsidR="00422C7B" w:rsidRPr="005E119D">
        <w:rPr>
          <w:rFonts w:cstheme="minorHAnsi"/>
          <w:sz w:val="22"/>
          <w:szCs w:val="22"/>
        </w:rPr>
        <w:t>analyses.</w:t>
      </w:r>
      <w:r w:rsidR="00F847D3" w:rsidRPr="005E119D">
        <w:rPr>
          <w:rFonts w:cstheme="minorHAnsi"/>
          <w:sz w:val="22"/>
          <w:szCs w:val="22"/>
        </w:rPr>
        <w:t xml:space="preserve"> We</w:t>
      </w:r>
      <w:r w:rsidR="00422C7B" w:rsidRPr="005E119D">
        <w:rPr>
          <w:rFonts w:cstheme="minorHAnsi"/>
          <w:sz w:val="22"/>
          <w:szCs w:val="22"/>
        </w:rPr>
        <w:t xml:space="preserve"> </w:t>
      </w:r>
      <w:r w:rsidR="00F847D3" w:rsidRPr="005E119D">
        <w:rPr>
          <w:rFonts w:cstheme="minorHAnsi"/>
          <w:sz w:val="22"/>
          <w:szCs w:val="22"/>
        </w:rPr>
        <w:t>included fixed effects for wildfire PM</w:t>
      </w:r>
      <w:r w:rsidR="00F847D3" w:rsidRPr="005E119D">
        <w:rPr>
          <w:rFonts w:cstheme="minorHAnsi"/>
          <w:sz w:val="22"/>
          <w:szCs w:val="22"/>
          <w:vertAlign w:val="subscript"/>
        </w:rPr>
        <w:t>2.5</w:t>
      </w:r>
      <w:r w:rsidR="00F847D3" w:rsidRPr="005E119D">
        <w:rPr>
          <w:rFonts w:cstheme="minorHAnsi"/>
          <w:sz w:val="22"/>
          <w:szCs w:val="22"/>
        </w:rPr>
        <w:t xml:space="preserve"> lags 0-7 days</w:t>
      </w:r>
      <w:r w:rsidR="00F847D3" w:rsidRPr="005E119D">
        <w:rPr>
          <w:rFonts w:cstheme="minorHAnsi"/>
          <w:sz w:val="22"/>
          <w:szCs w:val="22"/>
        </w:rPr>
        <w:t>, controlled for temperature, non-wildfire PM</w:t>
      </w:r>
      <w:r w:rsidR="00F847D3" w:rsidRPr="005E119D">
        <w:rPr>
          <w:rFonts w:cstheme="minorHAnsi"/>
          <w:sz w:val="22"/>
          <w:szCs w:val="22"/>
          <w:vertAlign w:val="subscript"/>
        </w:rPr>
        <w:t>2.5</w:t>
      </w:r>
      <w:r w:rsidR="00F847D3" w:rsidRPr="005E119D">
        <w:rPr>
          <w:rFonts w:cstheme="minorHAnsi"/>
          <w:sz w:val="22"/>
          <w:szCs w:val="22"/>
        </w:rPr>
        <w:t xml:space="preserve">, and time effects. We added a fixed effect to account for fewer visits on weekend days, and an offset to account for exposed population. </w:t>
      </w:r>
      <w:r w:rsidR="003F0052" w:rsidRPr="005E119D">
        <w:rPr>
          <w:rFonts w:cstheme="minorHAnsi"/>
          <w:sz w:val="22"/>
          <w:szCs w:val="22"/>
        </w:rPr>
        <w:t>We also included</w:t>
      </w:r>
      <w:r w:rsidR="003F0052" w:rsidRPr="005E119D">
        <w:rPr>
          <w:rFonts w:cstheme="minorHAnsi"/>
          <w:sz w:val="22"/>
          <w:szCs w:val="22"/>
        </w:rPr>
        <w:t xml:space="preserve"> fixed effects for a comprehensive set of socioeconomic variables to account for correlation between ZCTA groupings</w:t>
      </w:r>
      <w:r w:rsidR="007F7DC2" w:rsidRPr="005E119D">
        <w:rPr>
          <w:rFonts w:cstheme="minorHAnsi"/>
          <w:sz w:val="22"/>
          <w:szCs w:val="22"/>
        </w:rPr>
        <w:t xml:space="preserve">, including </w:t>
      </w:r>
      <w:r w:rsidR="007F7DC2" w:rsidRPr="005E119D">
        <w:rPr>
          <w:rFonts w:cstheme="minorHAnsi"/>
          <w:sz w:val="22"/>
          <w:szCs w:val="22"/>
        </w:rPr>
        <w:t>median household income, home ownership (% homes occupied by owner), poverty (percent households below threshold income), age structure (percent of population under 5, 5-19, 20-64, and 65+ years), and racial/ethnic composition (percent Hispanic, percent non-Hispanic white, percent non-Hispanic Black).</w:t>
      </w:r>
    </w:p>
    <w:p w14:paraId="3BF341A2" w14:textId="6B2B1A18" w:rsidR="004C1AD9" w:rsidRPr="006A642B" w:rsidRDefault="004C1AD9">
      <w:pPr>
        <w:rPr>
          <w:rFonts w:ascii="Arial" w:hAnsi="Arial" w:cs="Arial"/>
        </w:rPr>
      </w:pPr>
    </w:p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703"/>
        <w:gridCol w:w="1559"/>
        <w:gridCol w:w="1560"/>
        <w:gridCol w:w="1559"/>
        <w:gridCol w:w="1701"/>
        <w:gridCol w:w="1701"/>
        <w:gridCol w:w="1701"/>
      </w:tblGrid>
      <w:tr w:rsidR="005E529F" w:rsidRPr="005E529F" w14:paraId="53E0ECF6" w14:textId="77777777" w:rsidTr="005E529F">
        <w:trPr>
          <w:trHeight w:val="754"/>
          <w:tblHeader/>
          <w:tblCellSpacing w:w="15" w:type="dxa"/>
        </w:trPr>
        <w:tc>
          <w:tcPr>
            <w:tcW w:w="2358" w:type="dxa"/>
            <w:vAlign w:val="center"/>
            <w:hideMark/>
          </w:tcPr>
          <w:p w14:paraId="62F23C43" w14:textId="1257223D" w:rsidR="0086400D" w:rsidRPr="0086400D" w:rsidRDefault="008414DE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5E529F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5E529F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673" w:type="dxa"/>
            <w:vAlign w:val="center"/>
            <w:hideMark/>
          </w:tcPr>
          <w:p w14:paraId="01FEB128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0 days</w:t>
            </w:r>
          </w:p>
        </w:tc>
        <w:tc>
          <w:tcPr>
            <w:tcW w:w="1529" w:type="dxa"/>
            <w:vAlign w:val="center"/>
            <w:hideMark/>
          </w:tcPr>
          <w:p w14:paraId="22DF04B4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1 day</w:t>
            </w:r>
          </w:p>
        </w:tc>
        <w:tc>
          <w:tcPr>
            <w:tcW w:w="1530" w:type="dxa"/>
            <w:vAlign w:val="center"/>
            <w:hideMark/>
          </w:tcPr>
          <w:p w14:paraId="60C43792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2 days</w:t>
            </w:r>
          </w:p>
        </w:tc>
        <w:tc>
          <w:tcPr>
            <w:tcW w:w="1529" w:type="dxa"/>
            <w:vAlign w:val="center"/>
            <w:hideMark/>
          </w:tcPr>
          <w:p w14:paraId="6294C623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3 days</w:t>
            </w:r>
          </w:p>
        </w:tc>
        <w:tc>
          <w:tcPr>
            <w:tcW w:w="1671" w:type="dxa"/>
            <w:vAlign w:val="center"/>
            <w:hideMark/>
          </w:tcPr>
          <w:p w14:paraId="00820E5A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4 days</w:t>
            </w:r>
          </w:p>
        </w:tc>
        <w:tc>
          <w:tcPr>
            <w:tcW w:w="1671" w:type="dxa"/>
            <w:vAlign w:val="center"/>
            <w:hideMark/>
          </w:tcPr>
          <w:p w14:paraId="186D39D0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5 days</w:t>
            </w:r>
          </w:p>
        </w:tc>
        <w:tc>
          <w:tcPr>
            <w:tcW w:w="1656" w:type="dxa"/>
            <w:vAlign w:val="center"/>
            <w:hideMark/>
          </w:tcPr>
          <w:p w14:paraId="314F8CFF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6 days</w:t>
            </w:r>
          </w:p>
        </w:tc>
      </w:tr>
      <w:tr w:rsidR="005E529F" w:rsidRPr="005E529F" w14:paraId="6CB4C3CC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76EF8526" w14:textId="213B51E1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 xml:space="preserve">All-cause outpatient </w:t>
            </w:r>
          </w:p>
        </w:tc>
        <w:tc>
          <w:tcPr>
            <w:tcW w:w="1673" w:type="dxa"/>
            <w:vAlign w:val="center"/>
            <w:hideMark/>
          </w:tcPr>
          <w:p w14:paraId="5DD3FAF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[0.96, 1.01]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  <w:hideMark/>
          </w:tcPr>
          <w:p w14:paraId="2850A33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[0.94, 0.99]</w:t>
            </w:r>
          </w:p>
        </w:tc>
        <w:tc>
          <w:tcPr>
            <w:tcW w:w="1530" w:type="dxa"/>
            <w:shd w:val="clear" w:color="auto" w:fill="FFF2CC" w:themeFill="accent4" w:themeFillTint="33"/>
            <w:vAlign w:val="center"/>
            <w:hideMark/>
          </w:tcPr>
          <w:p w14:paraId="38932125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[1, 1.06]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  <w:hideMark/>
          </w:tcPr>
          <w:p w14:paraId="7F6B54F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1.08 [1.05, 1.11]</w:t>
            </w:r>
          </w:p>
        </w:tc>
        <w:tc>
          <w:tcPr>
            <w:tcW w:w="1671" w:type="dxa"/>
            <w:vAlign w:val="center"/>
            <w:hideMark/>
          </w:tcPr>
          <w:p w14:paraId="53A68CD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[0.95, 1.02]</w:t>
            </w:r>
          </w:p>
        </w:tc>
        <w:tc>
          <w:tcPr>
            <w:tcW w:w="1671" w:type="dxa"/>
            <w:shd w:val="clear" w:color="auto" w:fill="FFF2CC" w:themeFill="accent4" w:themeFillTint="33"/>
            <w:vAlign w:val="center"/>
            <w:hideMark/>
          </w:tcPr>
          <w:p w14:paraId="37763EDE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1.07 [1.04, 1.1]</w:t>
            </w:r>
          </w:p>
        </w:tc>
        <w:tc>
          <w:tcPr>
            <w:tcW w:w="1656" w:type="dxa"/>
            <w:shd w:val="clear" w:color="auto" w:fill="FFF2CC" w:themeFill="accent4" w:themeFillTint="33"/>
            <w:vAlign w:val="center"/>
            <w:hideMark/>
          </w:tcPr>
          <w:p w14:paraId="4E56A2E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1.12 [1.09, 1.16]</w:t>
            </w:r>
          </w:p>
        </w:tc>
      </w:tr>
      <w:tr w:rsidR="005E529F" w:rsidRPr="005E529F" w14:paraId="12A78ADF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6DC84C50" w14:textId="6A933E2D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673" w:type="dxa"/>
            <w:vAlign w:val="center"/>
            <w:hideMark/>
          </w:tcPr>
          <w:p w14:paraId="382485C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0.94 [0.84, 1.04]</w:t>
            </w:r>
          </w:p>
        </w:tc>
        <w:tc>
          <w:tcPr>
            <w:tcW w:w="1529" w:type="dxa"/>
            <w:vAlign w:val="center"/>
            <w:hideMark/>
          </w:tcPr>
          <w:p w14:paraId="6C2D3912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1.01 [0.93, 1.1]</w:t>
            </w:r>
          </w:p>
        </w:tc>
        <w:tc>
          <w:tcPr>
            <w:tcW w:w="1530" w:type="dxa"/>
            <w:vAlign w:val="center"/>
            <w:hideMark/>
          </w:tcPr>
          <w:p w14:paraId="1DF36B9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0.95 [0.84, 1.08]</w:t>
            </w:r>
          </w:p>
        </w:tc>
        <w:tc>
          <w:tcPr>
            <w:tcW w:w="1529" w:type="dxa"/>
            <w:vAlign w:val="center"/>
            <w:hideMark/>
          </w:tcPr>
          <w:p w14:paraId="1E724F4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0.87 [0.76, 1]</w:t>
            </w:r>
          </w:p>
        </w:tc>
        <w:tc>
          <w:tcPr>
            <w:tcW w:w="1671" w:type="dxa"/>
            <w:vAlign w:val="center"/>
            <w:hideMark/>
          </w:tcPr>
          <w:p w14:paraId="22571F3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[0.87, 1.12]</w:t>
            </w:r>
          </w:p>
        </w:tc>
        <w:tc>
          <w:tcPr>
            <w:tcW w:w="1671" w:type="dxa"/>
            <w:vAlign w:val="center"/>
            <w:hideMark/>
          </w:tcPr>
          <w:p w14:paraId="0355807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0.93 [0.81, 1.06]</w:t>
            </w:r>
          </w:p>
        </w:tc>
        <w:tc>
          <w:tcPr>
            <w:tcW w:w="1656" w:type="dxa"/>
            <w:vAlign w:val="center"/>
            <w:hideMark/>
          </w:tcPr>
          <w:p w14:paraId="022CFB0B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1.02 [0.89, 1.16]</w:t>
            </w:r>
          </w:p>
        </w:tc>
      </w:tr>
      <w:tr w:rsidR="005E529F" w:rsidRPr="005E529F" w14:paraId="6E790E90" w14:textId="77777777" w:rsidTr="005E529F">
        <w:trPr>
          <w:trHeight w:val="628"/>
          <w:tblCellSpacing w:w="15" w:type="dxa"/>
        </w:trPr>
        <w:tc>
          <w:tcPr>
            <w:tcW w:w="2358" w:type="dxa"/>
            <w:vAlign w:val="center"/>
            <w:hideMark/>
          </w:tcPr>
          <w:p w14:paraId="4087577E" w14:textId="6CF4708F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673" w:type="dxa"/>
            <w:vAlign w:val="center"/>
            <w:hideMark/>
          </w:tcPr>
          <w:p w14:paraId="23345C62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0.97 [0.91, 1.04]</w:t>
            </w:r>
          </w:p>
        </w:tc>
        <w:tc>
          <w:tcPr>
            <w:tcW w:w="1529" w:type="dxa"/>
            <w:vAlign w:val="center"/>
            <w:hideMark/>
          </w:tcPr>
          <w:p w14:paraId="2AC8ECC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1.02 [0.96, 1.08]</w:t>
            </w:r>
          </w:p>
        </w:tc>
        <w:tc>
          <w:tcPr>
            <w:tcW w:w="1530" w:type="dxa"/>
            <w:vAlign w:val="center"/>
            <w:hideMark/>
          </w:tcPr>
          <w:p w14:paraId="792F50B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[0.89, 1.07]</w:t>
            </w:r>
          </w:p>
        </w:tc>
        <w:tc>
          <w:tcPr>
            <w:tcW w:w="1529" w:type="dxa"/>
            <w:vAlign w:val="center"/>
            <w:hideMark/>
          </w:tcPr>
          <w:p w14:paraId="2738B448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[0.88, 1.06]</w:t>
            </w:r>
          </w:p>
        </w:tc>
        <w:tc>
          <w:tcPr>
            <w:tcW w:w="1671" w:type="dxa"/>
            <w:vAlign w:val="center"/>
            <w:hideMark/>
          </w:tcPr>
          <w:p w14:paraId="4568F75C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0.95 [0.86, 1.04]</w:t>
            </w:r>
          </w:p>
        </w:tc>
        <w:tc>
          <w:tcPr>
            <w:tcW w:w="1671" w:type="dxa"/>
            <w:vAlign w:val="center"/>
            <w:hideMark/>
          </w:tcPr>
          <w:p w14:paraId="66E67004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[0.93, 1.13]</w:t>
            </w:r>
          </w:p>
        </w:tc>
        <w:tc>
          <w:tcPr>
            <w:tcW w:w="1656" w:type="dxa"/>
            <w:vAlign w:val="center"/>
            <w:hideMark/>
          </w:tcPr>
          <w:p w14:paraId="3164435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0.92 [0.82, 1.02]</w:t>
            </w:r>
          </w:p>
        </w:tc>
      </w:tr>
      <w:tr w:rsidR="005E529F" w:rsidRPr="005E529F" w14:paraId="12A67127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3530AAF7" w14:textId="289F4362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673" w:type="dxa"/>
            <w:vAlign w:val="center"/>
            <w:hideMark/>
          </w:tcPr>
          <w:p w14:paraId="271B9AE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[0.81, 1.02]</w:t>
            </w:r>
          </w:p>
        </w:tc>
        <w:tc>
          <w:tcPr>
            <w:tcW w:w="1529" w:type="dxa"/>
            <w:vAlign w:val="center"/>
            <w:hideMark/>
          </w:tcPr>
          <w:p w14:paraId="69133DB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[0.95, 1.12]</w:t>
            </w:r>
          </w:p>
        </w:tc>
        <w:tc>
          <w:tcPr>
            <w:tcW w:w="1530" w:type="dxa"/>
            <w:vAlign w:val="center"/>
            <w:hideMark/>
          </w:tcPr>
          <w:p w14:paraId="2233FB4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0.93 [0.82, 1.07]</w:t>
            </w:r>
          </w:p>
        </w:tc>
        <w:tc>
          <w:tcPr>
            <w:tcW w:w="1529" w:type="dxa"/>
            <w:vAlign w:val="center"/>
            <w:hideMark/>
          </w:tcPr>
          <w:p w14:paraId="3F3BFCE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71" w:type="dxa"/>
            <w:vAlign w:val="center"/>
            <w:hideMark/>
          </w:tcPr>
          <w:p w14:paraId="7B612A03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0.97 [0.85, 1.1]</w:t>
            </w:r>
          </w:p>
        </w:tc>
        <w:tc>
          <w:tcPr>
            <w:tcW w:w="1671" w:type="dxa"/>
            <w:vAlign w:val="center"/>
            <w:hideMark/>
          </w:tcPr>
          <w:p w14:paraId="5995B2F8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56" w:type="dxa"/>
            <w:vAlign w:val="center"/>
            <w:hideMark/>
          </w:tcPr>
          <w:p w14:paraId="5EFFB3E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[0.86, 1.14]</w:t>
            </w:r>
          </w:p>
        </w:tc>
      </w:tr>
      <w:tr w:rsidR="005E529F" w:rsidRPr="005E529F" w14:paraId="648F4F81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164FA7C8" w14:textId="075F595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673" w:type="dxa"/>
            <w:vAlign w:val="center"/>
            <w:hideMark/>
          </w:tcPr>
          <w:p w14:paraId="08E4697E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[0.92, 1.07]</w:t>
            </w:r>
          </w:p>
        </w:tc>
        <w:tc>
          <w:tcPr>
            <w:tcW w:w="1529" w:type="dxa"/>
            <w:vAlign w:val="center"/>
            <w:hideMark/>
          </w:tcPr>
          <w:p w14:paraId="3DAFC557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[0.91, 1.08]</w:t>
            </w:r>
          </w:p>
        </w:tc>
        <w:tc>
          <w:tcPr>
            <w:tcW w:w="1530" w:type="dxa"/>
            <w:vAlign w:val="center"/>
            <w:hideMark/>
          </w:tcPr>
          <w:p w14:paraId="1B3267C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[0.87, 1.07]</w:t>
            </w:r>
          </w:p>
        </w:tc>
        <w:tc>
          <w:tcPr>
            <w:tcW w:w="1529" w:type="dxa"/>
            <w:vAlign w:val="center"/>
            <w:hideMark/>
          </w:tcPr>
          <w:p w14:paraId="77C440F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[0.89, 1.1]</w:t>
            </w:r>
          </w:p>
        </w:tc>
        <w:tc>
          <w:tcPr>
            <w:tcW w:w="1671" w:type="dxa"/>
            <w:vAlign w:val="center"/>
            <w:hideMark/>
          </w:tcPr>
          <w:p w14:paraId="3EFC3CDC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0.92 [0.83, 1.03]</w:t>
            </w:r>
          </w:p>
        </w:tc>
        <w:tc>
          <w:tcPr>
            <w:tcW w:w="1671" w:type="dxa"/>
            <w:vAlign w:val="center"/>
            <w:hideMark/>
          </w:tcPr>
          <w:p w14:paraId="6DB79F8F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1.01 [0.91, 1.13]</w:t>
            </w:r>
          </w:p>
        </w:tc>
        <w:tc>
          <w:tcPr>
            <w:tcW w:w="1656" w:type="dxa"/>
            <w:vAlign w:val="center"/>
            <w:hideMark/>
          </w:tcPr>
          <w:p w14:paraId="3871106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0.89 [0.79, 1.01]</w:t>
            </w:r>
          </w:p>
        </w:tc>
      </w:tr>
    </w:tbl>
    <w:p w14:paraId="7AA88C69" w14:textId="77777777" w:rsidR="00CD1608" w:rsidRDefault="00CD1608" w:rsidP="00CD1608">
      <w:pPr>
        <w:pStyle w:val="Header"/>
        <w:rPr>
          <w:rFonts w:cstheme="minorHAnsi"/>
          <w:sz w:val="22"/>
          <w:szCs w:val="22"/>
        </w:rPr>
      </w:pPr>
    </w:p>
    <w:p w14:paraId="672FC60C" w14:textId="68303694" w:rsidR="00CD1608" w:rsidRPr="00214E99" w:rsidRDefault="00CD1608" w:rsidP="00CD1608">
      <w:pPr>
        <w:pStyle w:val="Header"/>
        <w:rPr>
          <w:rFonts w:cstheme="minorHAnsi"/>
          <w:sz w:val="22"/>
          <w:szCs w:val="22"/>
        </w:rPr>
      </w:pPr>
      <w:r w:rsidRPr="00214E99">
        <w:rPr>
          <w:rFonts w:cstheme="minorHAnsi"/>
          <w:sz w:val="22"/>
          <w:szCs w:val="22"/>
        </w:rPr>
        <w:t>Table 1</w:t>
      </w:r>
      <w:r>
        <w:rPr>
          <w:rFonts w:cstheme="minorHAnsi"/>
          <w:sz w:val="22"/>
          <w:szCs w:val="22"/>
        </w:rPr>
        <w:t>b</w:t>
      </w:r>
      <w:r w:rsidRPr="00214E99">
        <w:rPr>
          <w:rFonts w:cstheme="minorHAnsi"/>
          <w:sz w:val="22"/>
          <w:szCs w:val="22"/>
        </w:rPr>
        <w:t>: Results from weekly wildfire PM</w:t>
      </w:r>
      <w:r w:rsidRPr="00214E99">
        <w:rPr>
          <w:rFonts w:cstheme="minorHAnsi"/>
          <w:sz w:val="22"/>
          <w:szCs w:val="22"/>
          <w:vertAlign w:val="subscript"/>
        </w:rPr>
        <w:t xml:space="preserve">2.5 </w:t>
      </w:r>
      <w:r w:rsidRPr="00214E99">
        <w:rPr>
          <w:rFonts w:cstheme="minorHAnsi"/>
          <w:sz w:val="22"/>
          <w:szCs w:val="22"/>
        </w:rPr>
        <w:t>analyses. We included fixed effects for weekly mean wildfire PM</w:t>
      </w:r>
      <w:r w:rsidRPr="00214E99">
        <w:rPr>
          <w:rFonts w:cstheme="minorHAnsi"/>
          <w:sz w:val="22"/>
          <w:szCs w:val="22"/>
          <w:vertAlign w:val="subscript"/>
        </w:rPr>
        <w:t>2.5</w:t>
      </w:r>
      <w:r w:rsidRPr="00214E99">
        <w:rPr>
          <w:rFonts w:cstheme="minorHAnsi"/>
          <w:sz w:val="22"/>
          <w:szCs w:val="22"/>
        </w:rPr>
        <w:t xml:space="preserve"> lags 0-2 week</w:t>
      </w:r>
      <w:r>
        <w:rPr>
          <w:rFonts w:cstheme="minorHAnsi"/>
          <w:sz w:val="22"/>
          <w:szCs w:val="22"/>
        </w:rPr>
        <w:t xml:space="preserve">, </w:t>
      </w:r>
      <w:r w:rsidRPr="00214E99">
        <w:rPr>
          <w:rFonts w:cstheme="minorHAnsi"/>
          <w:sz w:val="22"/>
          <w:szCs w:val="22"/>
        </w:rPr>
        <w:t>controlled for temperature, non-wildfire PM</w:t>
      </w:r>
      <w:r w:rsidRPr="00214E99">
        <w:rPr>
          <w:rFonts w:cstheme="minorHAnsi"/>
          <w:sz w:val="22"/>
          <w:szCs w:val="22"/>
          <w:vertAlign w:val="subscript"/>
        </w:rPr>
        <w:t>2.5</w:t>
      </w:r>
      <w:r w:rsidRPr="00214E99">
        <w:rPr>
          <w:rFonts w:cstheme="minorHAnsi"/>
          <w:sz w:val="22"/>
          <w:szCs w:val="22"/>
        </w:rPr>
        <w:t>, and time effects, and added an offset to account for exposed population. We also included fixed effects for a comprehensive set of socioeconomic variables to account for correlation between ZCTA groupings, including median household income, home ownership (% homes occupied by owner), poverty (percent households below threshold income), age structure (percent of population under 5, 5-19, 20-64, and 65+ years), and racial/ethnic composition (percent Hispanic, percent non-Hispanic white, percent non-Hispanic Black).</w:t>
      </w:r>
    </w:p>
    <w:p w14:paraId="2ECDB34C" w14:textId="77777777" w:rsidR="00CD1608" w:rsidRPr="006A642B" w:rsidRDefault="00CD1608" w:rsidP="00CD1608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984"/>
        <w:gridCol w:w="2127"/>
        <w:gridCol w:w="1984"/>
      </w:tblGrid>
      <w:tr w:rsidR="00CD1608" w:rsidRPr="004773FE" w14:paraId="35F41265" w14:textId="77777777" w:rsidTr="00CF1E48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24642488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4773FE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4773FE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954" w:type="dxa"/>
            <w:vAlign w:val="center"/>
            <w:hideMark/>
          </w:tcPr>
          <w:p w14:paraId="30DA388B" w14:textId="77777777" w:rsidR="00CD1608" w:rsidRPr="00A77433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0 weeks</w:t>
            </w:r>
          </w:p>
        </w:tc>
        <w:tc>
          <w:tcPr>
            <w:tcW w:w="2097" w:type="dxa"/>
            <w:vAlign w:val="center"/>
            <w:hideMark/>
          </w:tcPr>
          <w:p w14:paraId="3EB7FCBF" w14:textId="77777777" w:rsidR="00CD1608" w:rsidRPr="00A77433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1 week</w:t>
            </w:r>
          </w:p>
        </w:tc>
        <w:tc>
          <w:tcPr>
            <w:tcW w:w="1939" w:type="dxa"/>
            <w:vAlign w:val="center"/>
            <w:hideMark/>
          </w:tcPr>
          <w:p w14:paraId="3367F378" w14:textId="77777777" w:rsidR="00CD1608" w:rsidRPr="00A77433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2 weeks</w:t>
            </w:r>
          </w:p>
        </w:tc>
      </w:tr>
      <w:tr w:rsidR="00CD1608" w:rsidRPr="004773FE" w14:paraId="206D3032" w14:textId="77777777" w:rsidTr="00CF1E48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F727153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outpatient</w:t>
            </w:r>
          </w:p>
        </w:tc>
        <w:tc>
          <w:tcPr>
            <w:tcW w:w="1954" w:type="dxa"/>
            <w:shd w:val="clear" w:color="auto" w:fill="FFF2CC" w:themeFill="accent4" w:themeFillTint="33"/>
            <w:vAlign w:val="center"/>
            <w:hideMark/>
          </w:tcPr>
          <w:p w14:paraId="147265AE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1.10 [1.04, 1.17]</w:t>
            </w:r>
          </w:p>
        </w:tc>
        <w:tc>
          <w:tcPr>
            <w:tcW w:w="2097" w:type="dxa"/>
            <w:shd w:val="clear" w:color="auto" w:fill="FFF2CC" w:themeFill="accent4" w:themeFillTint="33"/>
            <w:vAlign w:val="center"/>
            <w:hideMark/>
          </w:tcPr>
          <w:p w14:paraId="03B386AD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1.04 [1.00, 1.09]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  <w:hideMark/>
          </w:tcPr>
          <w:p w14:paraId="194252BF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1.05 [1.02, 1.09]</w:t>
            </w:r>
          </w:p>
        </w:tc>
      </w:tr>
      <w:tr w:rsidR="00CD1608" w:rsidRPr="004773FE" w14:paraId="35D76777" w14:textId="77777777" w:rsidTr="00CF1E48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17DEBA98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954" w:type="dxa"/>
            <w:vAlign w:val="center"/>
            <w:hideMark/>
          </w:tcPr>
          <w:p w14:paraId="56A9172F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1.01 [0.84, 1.20]</w:t>
            </w:r>
          </w:p>
        </w:tc>
        <w:tc>
          <w:tcPr>
            <w:tcW w:w="2097" w:type="dxa"/>
            <w:vAlign w:val="center"/>
            <w:hideMark/>
          </w:tcPr>
          <w:p w14:paraId="2FEB483B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1.08 [0.94, 1.23]</w:t>
            </w:r>
          </w:p>
        </w:tc>
        <w:tc>
          <w:tcPr>
            <w:tcW w:w="1939" w:type="dxa"/>
            <w:vAlign w:val="center"/>
            <w:hideMark/>
          </w:tcPr>
          <w:p w14:paraId="703ED752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0.99 [0.85, 1.15]</w:t>
            </w:r>
          </w:p>
        </w:tc>
      </w:tr>
      <w:tr w:rsidR="00CD1608" w:rsidRPr="004773FE" w14:paraId="5BC19C10" w14:textId="77777777" w:rsidTr="00CF1E48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23A911AE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954" w:type="dxa"/>
            <w:vAlign w:val="center"/>
            <w:hideMark/>
          </w:tcPr>
          <w:p w14:paraId="281804B2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1.03 [0.90, 1.19]</w:t>
            </w:r>
          </w:p>
        </w:tc>
        <w:tc>
          <w:tcPr>
            <w:tcW w:w="2097" w:type="dxa"/>
            <w:vAlign w:val="center"/>
            <w:hideMark/>
          </w:tcPr>
          <w:p w14:paraId="3C78FB41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0.99 [0.88, 1.11]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084BB73F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1.02 [0.92, 1.14]</w:t>
            </w:r>
          </w:p>
        </w:tc>
      </w:tr>
      <w:tr w:rsidR="00CD1608" w:rsidRPr="004773FE" w14:paraId="7D474A37" w14:textId="77777777" w:rsidTr="00CF1E48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2D8D0A26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954" w:type="dxa"/>
            <w:vAlign w:val="center"/>
            <w:hideMark/>
          </w:tcPr>
          <w:p w14:paraId="16CB22B5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0.94 [0.78, 1.12]</w:t>
            </w:r>
          </w:p>
        </w:tc>
        <w:tc>
          <w:tcPr>
            <w:tcW w:w="2097" w:type="dxa"/>
            <w:vAlign w:val="center"/>
            <w:hideMark/>
          </w:tcPr>
          <w:p w14:paraId="09FF3780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1.10 [0.96, 1.27]</w:t>
            </w:r>
          </w:p>
        </w:tc>
        <w:tc>
          <w:tcPr>
            <w:tcW w:w="1939" w:type="dxa"/>
            <w:vAlign w:val="center"/>
            <w:hideMark/>
          </w:tcPr>
          <w:p w14:paraId="1F00D064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0.98 [0.85, 1.15]</w:t>
            </w:r>
          </w:p>
        </w:tc>
      </w:tr>
      <w:tr w:rsidR="00CD1608" w:rsidRPr="004773FE" w14:paraId="2A03F2FD" w14:textId="77777777" w:rsidTr="00CF1E48">
        <w:trPr>
          <w:tblCellSpacing w:w="15" w:type="dxa"/>
        </w:trPr>
        <w:tc>
          <w:tcPr>
            <w:tcW w:w="3636" w:type="dxa"/>
            <w:tcBorders>
              <w:bottom w:val="single" w:sz="4" w:space="0" w:color="auto"/>
            </w:tcBorders>
            <w:vAlign w:val="center"/>
            <w:hideMark/>
          </w:tcPr>
          <w:p w14:paraId="32F72188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center"/>
            <w:hideMark/>
          </w:tcPr>
          <w:p w14:paraId="4DCE3A7E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1.07 [0.92, 1.26]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vAlign w:val="center"/>
            <w:hideMark/>
          </w:tcPr>
          <w:p w14:paraId="7BA6D6AD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0.96 [0.84, 1.10]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4A86A20F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1.02 [0.91, 1.15]</w:t>
            </w:r>
          </w:p>
        </w:tc>
      </w:tr>
    </w:tbl>
    <w:p w14:paraId="46C3F8E2" w14:textId="77777777" w:rsidR="00CD1608" w:rsidRDefault="00CD1608" w:rsidP="0093779F">
      <w:pPr>
        <w:pStyle w:val="Header"/>
        <w:rPr>
          <w:rFonts w:cstheme="minorHAnsi"/>
          <w:sz w:val="22"/>
          <w:szCs w:val="22"/>
        </w:rPr>
      </w:pPr>
    </w:p>
    <w:p w14:paraId="46FDFD58" w14:textId="1CF38F0F" w:rsidR="008414DE" w:rsidRPr="005E119D" w:rsidRDefault="0093779F" w:rsidP="0093779F">
      <w:pPr>
        <w:pStyle w:val="Header"/>
        <w:rPr>
          <w:rFonts w:cstheme="minorHAnsi"/>
          <w:sz w:val="22"/>
          <w:szCs w:val="22"/>
        </w:rPr>
      </w:pPr>
      <w:r w:rsidRPr="005E119D">
        <w:rPr>
          <w:rFonts w:cstheme="minorHAnsi"/>
          <w:sz w:val="22"/>
          <w:szCs w:val="22"/>
        </w:rPr>
        <w:lastRenderedPageBreak/>
        <w:t>Table 2a:</w:t>
      </w:r>
      <w:r w:rsidR="00AB7A99" w:rsidRPr="005E119D">
        <w:rPr>
          <w:rFonts w:cstheme="minorHAnsi"/>
          <w:sz w:val="22"/>
          <w:szCs w:val="22"/>
        </w:rPr>
        <w:t xml:space="preserve"> Difference-in-differences estimates of associations between Woolsey Fire proximity and evacuation exposure and healthcare visits among KPSC DME users.</w:t>
      </w:r>
      <w:r w:rsidR="00E13D3E" w:rsidRPr="005E119D">
        <w:rPr>
          <w:rFonts w:cstheme="minorHAnsi"/>
          <w:sz w:val="22"/>
          <w:szCs w:val="22"/>
        </w:rPr>
        <w:t xml:space="preserve"> </w:t>
      </w:r>
      <w:r w:rsidR="00904C56" w:rsidRPr="005E119D">
        <w:rPr>
          <w:rFonts w:cstheme="minorHAnsi"/>
          <w:sz w:val="22"/>
          <w:szCs w:val="22"/>
        </w:rPr>
        <w:t>We used negative binomial regression to evaluate the effect of wildfire evacuation or proximity during an active fire</w:t>
      </w:r>
      <w:r w:rsidR="00E13D3E" w:rsidRPr="005E119D">
        <w:rPr>
          <w:rFonts w:cstheme="minorHAnsi"/>
          <w:sz w:val="22"/>
          <w:szCs w:val="22"/>
        </w:rPr>
        <w:t xml:space="preserve">. </w:t>
      </w:r>
      <w:r w:rsidR="00E13D3E" w:rsidRPr="005E119D">
        <w:rPr>
          <w:rFonts w:cstheme="minorHAnsi"/>
          <w:sz w:val="22"/>
          <w:szCs w:val="22"/>
        </w:rPr>
        <w:t xml:space="preserve">The DID estimators subtracted the change in visit frequency during a fire among ZCTAs far from the fire or evacuation zone (difference 1) from the change in visit frequency during a fire among ZCTAs exposed to the fire or evacuation zone (difference 2). </w:t>
      </w:r>
      <w:r w:rsidR="00E13D3E" w:rsidRPr="005E119D">
        <w:rPr>
          <w:rFonts w:cstheme="minorHAnsi"/>
          <w:sz w:val="22"/>
          <w:szCs w:val="22"/>
        </w:rPr>
        <w:t>We controlled for</w:t>
      </w:r>
      <w:r w:rsidR="00904C56" w:rsidRPr="005E119D">
        <w:rPr>
          <w:rFonts w:cstheme="minorHAnsi"/>
          <w:sz w:val="22"/>
          <w:szCs w:val="22"/>
        </w:rPr>
        <w:t xml:space="preserve"> time effect</w:t>
      </w:r>
      <w:r w:rsidR="00E13D3E" w:rsidRPr="005E119D">
        <w:rPr>
          <w:rFonts w:cstheme="minorHAnsi"/>
          <w:sz w:val="22"/>
          <w:szCs w:val="22"/>
        </w:rPr>
        <w:t>s,</w:t>
      </w:r>
      <w:r w:rsidR="00904C56" w:rsidRPr="005E119D">
        <w:rPr>
          <w:rFonts w:cstheme="minorHAnsi"/>
          <w:sz w:val="22"/>
          <w:szCs w:val="22"/>
        </w:rPr>
        <w:t xml:space="preserve"> temperature,</w:t>
      </w:r>
      <w:r w:rsidR="00E13D3E" w:rsidRPr="005E119D">
        <w:rPr>
          <w:rFonts w:cstheme="minorHAnsi"/>
          <w:sz w:val="22"/>
          <w:szCs w:val="22"/>
        </w:rPr>
        <w:t xml:space="preserve"> and non-wildfire PM</w:t>
      </w:r>
      <w:r w:rsidR="00E13D3E" w:rsidRPr="005E119D">
        <w:rPr>
          <w:rFonts w:cstheme="minorHAnsi"/>
          <w:sz w:val="22"/>
          <w:szCs w:val="22"/>
          <w:vertAlign w:val="subscript"/>
        </w:rPr>
        <w:t>2.5</w:t>
      </w:r>
      <w:r w:rsidR="00E13D3E" w:rsidRPr="005E119D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21666788" w14:textId="77777777" w:rsidR="0093779F" w:rsidRPr="006A642B" w:rsidRDefault="0093779F">
      <w:pPr>
        <w:rPr>
          <w:rFonts w:ascii="Arial" w:hAnsi="Arial" w:cs="Arial"/>
        </w:rPr>
      </w:pPr>
    </w:p>
    <w:tbl>
      <w:tblPr>
        <w:tblW w:w="128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678"/>
        <w:gridCol w:w="4820"/>
      </w:tblGrid>
      <w:tr w:rsidR="00401B4D" w:rsidRPr="006A642B" w14:paraId="64D3E803" w14:textId="5B4F9AEA" w:rsidTr="00DF1F7C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61A2BB6" w14:textId="64CCAD3F" w:rsidR="00401B4D" w:rsidRPr="006A642B" w:rsidRDefault="00291383" w:rsidP="00401B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Woolsey Fire</w:t>
            </w:r>
          </w:p>
        </w:tc>
        <w:tc>
          <w:tcPr>
            <w:tcW w:w="4648" w:type="dxa"/>
            <w:vAlign w:val="bottom"/>
          </w:tcPr>
          <w:p w14:paraId="1D215353" w14:textId="77777777" w:rsidR="00DF1F7C" w:rsidRDefault="00401B4D" w:rsidP="00401B4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proximity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exposure during fire</w:t>
            </w:r>
            <w:r w:rsidR="00DF1F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F1C8980" w14:textId="7A8360B1" w:rsidR="00401B4D" w:rsidRPr="006A642B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(DID estimator), [95% confidence interval]</w:t>
            </w:r>
          </w:p>
        </w:tc>
        <w:tc>
          <w:tcPr>
            <w:tcW w:w="4775" w:type="dxa"/>
            <w:vAlign w:val="bottom"/>
          </w:tcPr>
          <w:p w14:paraId="25395815" w14:textId="77777777" w:rsidR="00DF1F7C" w:rsidRDefault="00401B4D" w:rsidP="00401B4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</w:t>
            </w:r>
            <w:r w:rsidR="00DF1F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exposure </w:t>
            </w:r>
            <w:r w:rsidRPr="006A642B" w:rsidDel="00AB7A9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to evacuation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during fire</w:t>
            </w:r>
            <w:r w:rsidR="00DF1F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17F6F221" w14:textId="450D2B0C" w:rsidR="00401B4D" w:rsidRPr="006A642B" w:rsidRDefault="00401B4D" w:rsidP="00401B4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DID estimator, [95% confidence interval]</w:t>
            </w:r>
          </w:p>
        </w:tc>
      </w:tr>
      <w:tr w:rsidR="00401B4D" w:rsidRPr="006A642B" w14:paraId="25475112" w14:textId="77B39DC6" w:rsidTr="00DF1F7C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7FB26CE8" w14:textId="208C2C30" w:rsidR="00401B4D" w:rsidRPr="006A642B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outpatient</w:t>
            </w:r>
          </w:p>
        </w:tc>
        <w:tc>
          <w:tcPr>
            <w:tcW w:w="4648" w:type="dxa"/>
            <w:shd w:val="clear" w:color="auto" w:fill="FFF2CC" w:themeFill="accent4" w:themeFillTint="33"/>
            <w:vAlign w:val="center"/>
          </w:tcPr>
          <w:p w14:paraId="08CE8C76" w14:textId="354B5B9E" w:rsidR="00401B4D" w:rsidRPr="006A642B" w:rsidRDefault="00401B4D" w:rsidP="00401B4D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0.88 [0.78, 0.98]</w:t>
            </w:r>
          </w:p>
        </w:tc>
        <w:tc>
          <w:tcPr>
            <w:tcW w:w="4775" w:type="dxa"/>
            <w:shd w:val="clear" w:color="auto" w:fill="FFF2CC" w:themeFill="accent4" w:themeFillTint="33"/>
            <w:vAlign w:val="center"/>
          </w:tcPr>
          <w:p w14:paraId="40B8A134" w14:textId="75E195A1" w:rsidR="00401B4D" w:rsidRPr="008414DE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0.86 [0.72, 1.02]</w:t>
            </w:r>
          </w:p>
        </w:tc>
      </w:tr>
      <w:tr w:rsidR="00401B4D" w:rsidRPr="006A642B" w14:paraId="6A7FA804" w14:textId="060D0D81" w:rsidTr="00DF1F7C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3BFDD7D0" w14:textId="5F6CFB49" w:rsidR="00401B4D" w:rsidRPr="006A642B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inpatient</w:t>
            </w:r>
          </w:p>
        </w:tc>
        <w:tc>
          <w:tcPr>
            <w:tcW w:w="4648" w:type="dxa"/>
            <w:vAlign w:val="center"/>
          </w:tcPr>
          <w:p w14:paraId="50BF2417" w14:textId="7100B32D" w:rsidR="00401B4D" w:rsidRPr="006A642B" w:rsidRDefault="00401B4D" w:rsidP="00401B4D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1.36 [0.95, 1.94]</w:t>
            </w:r>
          </w:p>
        </w:tc>
        <w:tc>
          <w:tcPr>
            <w:tcW w:w="4775" w:type="dxa"/>
            <w:vAlign w:val="center"/>
          </w:tcPr>
          <w:p w14:paraId="3DCBB786" w14:textId="6A362D4F" w:rsidR="00401B4D" w:rsidRPr="008414DE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1.50 [0.89, 2.54]</w:t>
            </w:r>
          </w:p>
        </w:tc>
      </w:tr>
      <w:tr w:rsidR="00401B4D" w:rsidRPr="006A642B" w14:paraId="5897F9B8" w14:textId="4B4C6938" w:rsidTr="00DF1F7C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3E5D87A8" w14:textId="5409231A" w:rsidR="00401B4D" w:rsidRPr="006A642B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ED</w:t>
            </w:r>
          </w:p>
        </w:tc>
        <w:tc>
          <w:tcPr>
            <w:tcW w:w="4648" w:type="dxa"/>
            <w:vAlign w:val="center"/>
          </w:tcPr>
          <w:p w14:paraId="3E870674" w14:textId="42E6BA29" w:rsidR="00401B4D" w:rsidRPr="006A642B" w:rsidRDefault="00401B4D" w:rsidP="00401B4D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1.18 [0.89, 1.55]</w:t>
            </w:r>
          </w:p>
        </w:tc>
        <w:tc>
          <w:tcPr>
            <w:tcW w:w="4775" w:type="dxa"/>
            <w:vAlign w:val="center"/>
          </w:tcPr>
          <w:p w14:paraId="4D6D6581" w14:textId="3B75183A" w:rsidR="00401B4D" w:rsidRPr="008414DE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1.22 [0.81, 1.84]</w:t>
            </w:r>
          </w:p>
        </w:tc>
      </w:tr>
      <w:tr w:rsidR="00401B4D" w:rsidRPr="006A642B" w14:paraId="42554D00" w14:textId="78DBEFBC" w:rsidTr="00DF1F7C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5953ED85" w14:textId="5073BEC7" w:rsidR="00401B4D" w:rsidRPr="006A642B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Inpatient: cardiorespiratory concerns</w:t>
            </w:r>
          </w:p>
        </w:tc>
        <w:tc>
          <w:tcPr>
            <w:tcW w:w="4648" w:type="dxa"/>
            <w:shd w:val="clear" w:color="auto" w:fill="FFF2CC" w:themeFill="accent4" w:themeFillTint="33"/>
            <w:vAlign w:val="center"/>
          </w:tcPr>
          <w:p w14:paraId="31286D77" w14:textId="288097A1" w:rsidR="00401B4D" w:rsidRPr="006A642B" w:rsidRDefault="00401B4D" w:rsidP="00401B4D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1.46 [1.01, 2.11]</w:t>
            </w:r>
          </w:p>
        </w:tc>
        <w:tc>
          <w:tcPr>
            <w:tcW w:w="4775" w:type="dxa"/>
            <w:shd w:val="clear" w:color="auto" w:fill="FFF2CC" w:themeFill="accent4" w:themeFillTint="33"/>
            <w:vAlign w:val="center"/>
          </w:tcPr>
          <w:p w14:paraId="2888F263" w14:textId="162F2B76" w:rsidR="00401B4D" w:rsidRPr="008414DE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1.68 [0.99, 2.87]</w:t>
            </w:r>
          </w:p>
        </w:tc>
      </w:tr>
      <w:tr w:rsidR="00401B4D" w:rsidRPr="006A642B" w14:paraId="2CCFB33C" w14:textId="28C799CE" w:rsidTr="00DF1F7C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D77DC0E" w14:textId="7B1065FE" w:rsidR="00401B4D" w:rsidRPr="006A642B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ED: cardiorespiratory concerns</w:t>
            </w:r>
          </w:p>
        </w:tc>
        <w:tc>
          <w:tcPr>
            <w:tcW w:w="4648" w:type="dxa"/>
            <w:vAlign w:val="center"/>
          </w:tcPr>
          <w:p w14:paraId="43215D5B" w14:textId="6845C212" w:rsidR="00401B4D" w:rsidRPr="006A642B" w:rsidRDefault="00401B4D" w:rsidP="00401B4D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1.13 [0.84, 1.53]</w:t>
            </w:r>
          </w:p>
        </w:tc>
        <w:tc>
          <w:tcPr>
            <w:tcW w:w="4775" w:type="dxa"/>
            <w:vAlign w:val="center"/>
          </w:tcPr>
          <w:p w14:paraId="0C644583" w14:textId="2AA2FECC" w:rsidR="00401B4D" w:rsidRPr="008414DE" w:rsidRDefault="00401B4D" w:rsidP="00401B4D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1.18 [0.76, 1.85]</w:t>
            </w:r>
          </w:p>
        </w:tc>
      </w:tr>
    </w:tbl>
    <w:p w14:paraId="57FD4069" w14:textId="31CA78AB" w:rsidR="008414DE" w:rsidRPr="00DF1F7C" w:rsidRDefault="008414DE">
      <w:pPr>
        <w:rPr>
          <w:rFonts w:asciiTheme="minorHAnsi" w:hAnsiTheme="minorHAnsi" w:cstheme="minorHAnsi"/>
          <w:sz w:val="22"/>
          <w:szCs w:val="22"/>
        </w:rPr>
      </w:pPr>
    </w:p>
    <w:p w14:paraId="113CEF89" w14:textId="58E0F246" w:rsidR="00AB7A99" w:rsidRPr="00DF1F7C" w:rsidRDefault="005D31AE" w:rsidP="005D31AE">
      <w:pPr>
        <w:pStyle w:val="Header"/>
        <w:rPr>
          <w:rFonts w:cstheme="minorHAnsi"/>
          <w:sz w:val="22"/>
          <w:szCs w:val="22"/>
        </w:rPr>
      </w:pPr>
      <w:r w:rsidRPr="00DF1F7C">
        <w:rPr>
          <w:rFonts w:cstheme="minorHAnsi"/>
          <w:sz w:val="22"/>
          <w:szCs w:val="22"/>
        </w:rPr>
        <w:t xml:space="preserve">Table 2b: </w:t>
      </w:r>
      <w:r w:rsidR="00AB7A99" w:rsidRPr="00DF1F7C">
        <w:rPr>
          <w:rFonts w:cstheme="minorHAnsi"/>
          <w:sz w:val="22"/>
          <w:szCs w:val="22"/>
        </w:rPr>
        <w:t>Difference-in-differences estimates of associations between Getty Fire proximity and evacuation exposure and healthcare visits among KPSC DME users.</w:t>
      </w:r>
      <w:r w:rsidR="0042018F" w:rsidRPr="00DF1F7C">
        <w:rPr>
          <w:rFonts w:cstheme="minorHAnsi"/>
          <w:sz w:val="22"/>
          <w:szCs w:val="22"/>
        </w:rPr>
        <w:t xml:space="preserve"> </w:t>
      </w:r>
      <w:r w:rsidR="0042018F" w:rsidRPr="00DF1F7C">
        <w:rPr>
          <w:rFonts w:cstheme="minorHAnsi"/>
          <w:sz w:val="22"/>
          <w:szCs w:val="22"/>
        </w:rPr>
        <w:t>We used negative binomial regression to evaluate the effect of wildfire evacuation or proximity during an active fire. The DID estimators subtracted the change in visit frequency during a fire among ZCTAs far from the fire or evacuation zone (difference 1) from the change in visit frequency during a fire among ZCTAs exposed to the fire or evacuation zone (difference 2). We controlled for time effects, temperature, and non-wildfire PM</w:t>
      </w:r>
      <w:r w:rsidR="0042018F" w:rsidRPr="00DF1F7C">
        <w:rPr>
          <w:rFonts w:cstheme="minorHAnsi"/>
          <w:sz w:val="22"/>
          <w:szCs w:val="22"/>
          <w:vertAlign w:val="subscript"/>
        </w:rPr>
        <w:t>2.5</w:t>
      </w:r>
      <w:r w:rsidR="0042018F" w:rsidRPr="00DF1F7C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333CCB4E" w14:textId="5CC06B78" w:rsidR="004D5860" w:rsidRPr="006A642B" w:rsidRDefault="004D5860" w:rsidP="00AB7A99">
      <w:pPr>
        <w:pStyle w:val="Header"/>
        <w:rPr>
          <w:rFonts w:ascii="Arial" w:hAnsi="Arial" w:cs="Arial"/>
        </w:rPr>
      </w:pPr>
    </w:p>
    <w:tbl>
      <w:tblPr>
        <w:tblW w:w="136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536"/>
        <w:gridCol w:w="5670"/>
      </w:tblGrid>
      <w:tr w:rsidR="005C687B" w:rsidRPr="006A642B" w14:paraId="05DF782A" w14:textId="3F8B78F5" w:rsidTr="00460ABB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31B344D" w14:textId="1FE97EE8" w:rsidR="005C687B" w:rsidRPr="006A642B" w:rsidRDefault="00291383" w:rsidP="005C6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Getty Fire </w:t>
            </w:r>
          </w:p>
        </w:tc>
        <w:tc>
          <w:tcPr>
            <w:tcW w:w="4506" w:type="dxa"/>
            <w:vAlign w:val="bottom"/>
          </w:tcPr>
          <w:p w14:paraId="256DF1BC" w14:textId="6E18F1E3" w:rsidR="005C687B" w:rsidRPr="006A642B" w:rsidRDefault="005C687B" w:rsidP="005C687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fire during fire</w:t>
            </w:r>
            <w:r w:rsidR="00460AB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DID estimator, [95% confidence interval]</w:t>
            </w:r>
          </w:p>
        </w:tc>
        <w:tc>
          <w:tcPr>
            <w:tcW w:w="5625" w:type="dxa"/>
            <w:vAlign w:val="bottom"/>
          </w:tcPr>
          <w:p w14:paraId="0D2D2871" w14:textId="77777777" w:rsidR="00B829A9" w:rsidRDefault="005C687B" w:rsidP="005C687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evacuation during fire</w:t>
            </w:r>
            <w:r w:rsidR="00B829A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4AC1B0E" w14:textId="187528CE" w:rsidR="005C687B" w:rsidRPr="006A642B" w:rsidRDefault="005C687B" w:rsidP="005C687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DID estimator, [95% confidence interval]</w:t>
            </w:r>
          </w:p>
        </w:tc>
      </w:tr>
      <w:tr w:rsidR="005C687B" w:rsidRPr="006A642B" w14:paraId="4BBFA66F" w14:textId="3996E6F1" w:rsidTr="00460ABB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6911A5F1" w14:textId="77777777" w:rsidR="005C687B" w:rsidRPr="006A642B" w:rsidRDefault="005C687B" w:rsidP="005C687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outpatient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6506AA49" w14:textId="3DA29348" w:rsidR="005C687B" w:rsidRPr="006A642B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0.97 [0.88, 1.07]</w:t>
            </w:r>
          </w:p>
        </w:tc>
        <w:tc>
          <w:tcPr>
            <w:tcW w:w="5625" w:type="dxa"/>
            <w:vAlign w:val="center"/>
          </w:tcPr>
          <w:p w14:paraId="6D2672E1" w14:textId="14543686" w:rsidR="005C687B" w:rsidRPr="004D5860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0.85 [0.67, 1.08]</w:t>
            </w:r>
          </w:p>
        </w:tc>
      </w:tr>
      <w:tr w:rsidR="005C687B" w:rsidRPr="006A642B" w14:paraId="6553AE37" w14:textId="77121EF1" w:rsidTr="00460ABB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1260CA17" w14:textId="77777777" w:rsidR="005C687B" w:rsidRPr="006A642B" w:rsidRDefault="005C687B" w:rsidP="005C687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inpatient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7223DFF5" w14:textId="4F382DEC" w:rsidR="005C687B" w:rsidRPr="006A642B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0.77 [0.51, 1.17]</w:t>
            </w:r>
          </w:p>
        </w:tc>
        <w:tc>
          <w:tcPr>
            <w:tcW w:w="5625" w:type="dxa"/>
            <w:vAlign w:val="center"/>
          </w:tcPr>
          <w:p w14:paraId="0D39F179" w14:textId="7DBC706B" w:rsidR="005C687B" w:rsidRPr="004D5860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0.17 [0.02, 1.36]</w:t>
            </w:r>
          </w:p>
        </w:tc>
      </w:tr>
      <w:tr w:rsidR="005C687B" w:rsidRPr="006A642B" w14:paraId="41805C22" w14:textId="02F1746B" w:rsidTr="00460ABB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64F69B1" w14:textId="77777777" w:rsidR="005C687B" w:rsidRPr="006A642B" w:rsidRDefault="005C687B" w:rsidP="005C687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ED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0E8C9016" w14:textId="61679D1E" w:rsidR="005C687B" w:rsidRPr="006A642B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0.90 [0.69, 1.17]</w:t>
            </w:r>
          </w:p>
        </w:tc>
        <w:tc>
          <w:tcPr>
            <w:tcW w:w="5625" w:type="dxa"/>
            <w:vAlign w:val="center"/>
          </w:tcPr>
          <w:p w14:paraId="040BEEF6" w14:textId="4131AC7C" w:rsidR="005C687B" w:rsidRPr="004D5860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0.61 [0.29, 1.32]</w:t>
            </w:r>
          </w:p>
        </w:tc>
      </w:tr>
      <w:tr w:rsidR="005C687B" w:rsidRPr="006A642B" w14:paraId="054264D9" w14:textId="58DB0EC9" w:rsidTr="00460ABB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745B4A68" w14:textId="77777777" w:rsidR="005C687B" w:rsidRPr="006A642B" w:rsidRDefault="005C687B" w:rsidP="005C687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Inpatient: cardiorespiratory concerns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290D7B5D" w14:textId="2375570B" w:rsidR="005C687B" w:rsidRPr="006A642B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0.81 [0.53, 1.24]</w:t>
            </w:r>
          </w:p>
        </w:tc>
        <w:tc>
          <w:tcPr>
            <w:tcW w:w="5625" w:type="dxa"/>
            <w:vAlign w:val="center"/>
          </w:tcPr>
          <w:p w14:paraId="66D3276C" w14:textId="29B2F561" w:rsidR="005C687B" w:rsidRPr="004D5860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0.18 [0.02, 1.50]</w:t>
            </w:r>
          </w:p>
        </w:tc>
      </w:tr>
      <w:tr w:rsidR="005C687B" w:rsidRPr="006A642B" w14:paraId="38430FE9" w14:textId="4D9C592A" w:rsidTr="00460ABB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F2385F0" w14:textId="77777777" w:rsidR="005C687B" w:rsidRPr="006A642B" w:rsidRDefault="005C687B" w:rsidP="005C687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ED: cardiorespiratory concerns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63E3E131" w14:textId="76DB3E98" w:rsidR="005C687B" w:rsidRPr="006A642B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0.85 [0.63, 1.14]</w:t>
            </w:r>
          </w:p>
        </w:tc>
        <w:tc>
          <w:tcPr>
            <w:tcW w:w="5625" w:type="dxa"/>
            <w:vAlign w:val="center"/>
          </w:tcPr>
          <w:p w14:paraId="02156E90" w14:textId="517C4608" w:rsidR="005C687B" w:rsidRPr="004D5860" w:rsidRDefault="005C687B" w:rsidP="005C687B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0.60 [0.25, 1.44]</w:t>
            </w:r>
          </w:p>
        </w:tc>
      </w:tr>
    </w:tbl>
    <w:p w14:paraId="5CE7C91D" w14:textId="175EBE7F" w:rsidR="004D5860" w:rsidRDefault="004D5860"/>
    <w:p w14:paraId="28BEBE9E" w14:textId="38A37AE1" w:rsidR="00D342D8" w:rsidRDefault="00D342D8"/>
    <w:p w14:paraId="16C09819" w14:textId="77777777" w:rsidR="00A169F6" w:rsidRDefault="00A169F6"/>
    <w:p w14:paraId="0EE8FBF0" w14:textId="77777777" w:rsidR="00601956" w:rsidRDefault="00601956" w:rsidP="004773FE">
      <w:pPr>
        <w:rPr>
          <w:rFonts w:ascii="Arial" w:hAnsi="Arial" w:cs="Arial"/>
          <w:i/>
          <w:iCs/>
        </w:rPr>
      </w:pPr>
    </w:p>
    <w:p w14:paraId="124C008E" w14:textId="271FED8D" w:rsidR="004773FE" w:rsidRPr="0073229A" w:rsidRDefault="004773FE" w:rsidP="004773FE">
      <w:pPr>
        <w:rPr>
          <w:rFonts w:ascii="Arial" w:hAnsi="Arial" w:cs="Arial"/>
          <w:i/>
          <w:iCs/>
          <w:sz w:val="21"/>
          <w:szCs w:val="21"/>
        </w:rPr>
      </w:pPr>
      <w:r w:rsidRPr="0073229A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D54E10" wp14:editId="7020AF20">
            <wp:simplePos x="0" y="0"/>
            <wp:positionH relativeFrom="column">
              <wp:posOffset>-503082</wp:posOffset>
            </wp:positionH>
            <wp:positionV relativeFrom="paragraph">
              <wp:posOffset>-130175</wp:posOffset>
            </wp:positionV>
            <wp:extent cx="10341855" cy="522514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6"/>
                    <a:stretch/>
                  </pic:blipFill>
                  <pic:spPr bwMode="auto">
                    <a:xfrm>
                      <a:off x="0" y="0"/>
                      <a:ext cx="10341855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29A">
        <w:rPr>
          <w:rFonts w:ascii="Arial" w:hAnsi="Arial" w:cs="Arial"/>
          <w:i/>
          <w:iCs/>
        </w:rPr>
        <w:t>Figure 1</w:t>
      </w:r>
    </w:p>
    <w:p w14:paraId="08BE07F4" w14:textId="77777777" w:rsidR="004773FE" w:rsidRDefault="004773FE" w:rsidP="004773FE"/>
    <w:p w14:paraId="7D43D03D" w14:textId="77777777" w:rsidR="004773FE" w:rsidRDefault="004773FE" w:rsidP="004773FE"/>
    <w:p w14:paraId="2D98A1A2" w14:textId="77777777" w:rsidR="004773FE" w:rsidRDefault="004773FE" w:rsidP="004773FE"/>
    <w:p w14:paraId="537D85DD" w14:textId="77777777" w:rsidR="004773FE" w:rsidRDefault="004773FE" w:rsidP="004773FE"/>
    <w:p w14:paraId="11854A1A" w14:textId="77777777" w:rsidR="004773FE" w:rsidRDefault="004773FE" w:rsidP="004773FE"/>
    <w:p w14:paraId="4178809E" w14:textId="77777777" w:rsidR="004773FE" w:rsidRDefault="004773FE" w:rsidP="004773FE"/>
    <w:p w14:paraId="46EAF794" w14:textId="77777777" w:rsidR="004773FE" w:rsidRDefault="004773FE" w:rsidP="004773FE"/>
    <w:p w14:paraId="3F28BBDD" w14:textId="77777777" w:rsidR="004773FE" w:rsidRDefault="004773FE" w:rsidP="004773FE"/>
    <w:p w14:paraId="18BBD19F" w14:textId="77777777" w:rsidR="004773FE" w:rsidRDefault="004773FE" w:rsidP="004773FE"/>
    <w:p w14:paraId="78658D69" w14:textId="77777777" w:rsidR="004773FE" w:rsidRDefault="004773FE" w:rsidP="004773FE"/>
    <w:p w14:paraId="6AEEEE60" w14:textId="77777777" w:rsidR="004773FE" w:rsidRDefault="004773FE" w:rsidP="004773FE"/>
    <w:p w14:paraId="6B3BD52E" w14:textId="77777777" w:rsidR="004773FE" w:rsidRDefault="004773FE" w:rsidP="004773FE"/>
    <w:p w14:paraId="716E2CBC" w14:textId="77777777" w:rsidR="004773FE" w:rsidRDefault="004773FE" w:rsidP="004773FE"/>
    <w:p w14:paraId="2AB71F36" w14:textId="77777777" w:rsidR="004773FE" w:rsidRDefault="004773FE" w:rsidP="004773FE"/>
    <w:p w14:paraId="4E351848" w14:textId="77777777" w:rsidR="004773FE" w:rsidRDefault="004773FE" w:rsidP="004773FE"/>
    <w:p w14:paraId="65F16ECD" w14:textId="77777777" w:rsidR="004773FE" w:rsidRDefault="004773FE" w:rsidP="004773FE"/>
    <w:p w14:paraId="7A3496D8" w14:textId="77777777" w:rsidR="004773FE" w:rsidRDefault="004773FE" w:rsidP="004773FE"/>
    <w:p w14:paraId="4E8BDDA5" w14:textId="77777777" w:rsidR="004773FE" w:rsidRDefault="004773FE" w:rsidP="004773FE"/>
    <w:p w14:paraId="66C2E279" w14:textId="77777777" w:rsidR="004773FE" w:rsidRDefault="004773FE" w:rsidP="004773FE"/>
    <w:p w14:paraId="5D772C7F" w14:textId="77777777" w:rsidR="004773FE" w:rsidRDefault="004773FE" w:rsidP="004773FE"/>
    <w:p w14:paraId="3FF2FD99" w14:textId="77777777" w:rsidR="004773FE" w:rsidRDefault="004773FE" w:rsidP="004773FE"/>
    <w:p w14:paraId="67F79AEA" w14:textId="77777777" w:rsidR="004773FE" w:rsidRDefault="004773FE" w:rsidP="004773FE"/>
    <w:p w14:paraId="20FEF606" w14:textId="77777777" w:rsidR="004773FE" w:rsidRDefault="004773FE" w:rsidP="004773FE"/>
    <w:p w14:paraId="7031170C" w14:textId="77777777" w:rsidR="004773FE" w:rsidRDefault="004773FE" w:rsidP="004773FE"/>
    <w:p w14:paraId="264E2384" w14:textId="77777777" w:rsidR="004773FE" w:rsidRDefault="004773FE" w:rsidP="004773FE"/>
    <w:p w14:paraId="1EB5580C" w14:textId="77777777" w:rsidR="004773FE" w:rsidRDefault="004773FE" w:rsidP="004773FE"/>
    <w:p w14:paraId="2DFF76B6" w14:textId="77777777" w:rsidR="004773FE" w:rsidRDefault="004773FE" w:rsidP="004773FE"/>
    <w:p w14:paraId="3C7A005B" w14:textId="77777777" w:rsidR="004773FE" w:rsidRDefault="004773FE" w:rsidP="004773FE"/>
    <w:p w14:paraId="2F6C6D8A" w14:textId="77777777" w:rsidR="004773FE" w:rsidRDefault="004773FE" w:rsidP="004773FE"/>
    <w:p w14:paraId="6DB30FBC" w14:textId="77777777" w:rsidR="004773FE" w:rsidRDefault="004773FE" w:rsidP="004773FE"/>
    <w:p w14:paraId="096F9FE1" w14:textId="77777777" w:rsidR="004773FE" w:rsidRDefault="004773FE" w:rsidP="004773FE"/>
    <w:p w14:paraId="1A552287" w14:textId="77777777" w:rsidR="004773FE" w:rsidRDefault="004773FE" w:rsidP="004773FE"/>
    <w:p w14:paraId="4F1A59D4" w14:textId="77777777" w:rsidR="004773FE" w:rsidRDefault="004773FE" w:rsidP="004773FE"/>
    <w:p w14:paraId="40F4EA1D" w14:textId="77777777" w:rsidR="004773FE" w:rsidRDefault="004773FE" w:rsidP="004773FE"/>
    <w:p w14:paraId="0EC63B0C" w14:textId="77777777" w:rsidR="004773FE" w:rsidRDefault="004773FE" w:rsidP="004773FE"/>
    <w:p w14:paraId="47F17F7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153D49B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4C7E1B59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5D3ED09" w14:textId="68101838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>
        <w:rPr>
          <w:rFonts w:ascii="Arial" w:hAnsi="Arial" w:cs="Arial"/>
          <w:i/>
          <w:iCs/>
        </w:rPr>
        <w:t>a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non-wildfire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0E395C85" w14:textId="77777777" w:rsidR="004773FE" w:rsidRDefault="004773FE" w:rsidP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daily limit. Coloured time </w:t>
      </w:r>
    </w:p>
    <w:p w14:paraId="499F2385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>
        <w:rPr>
          <w:rFonts w:ascii="Arial" w:eastAsiaTheme="minorEastAsia" w:hAnsi="Arial" w:cs="Arial"/>
          <w:i/>
          <w:iCs/>
        </w:rPr>
        <w:t>periods represent measurements made while a wildfire was burning.</w:t>
      </w:r>
    </w:p>
    <w:p w14:paraId="792290E9" w14:textId="77777777" w:rsidR="004773FE" w:rsidRDefault="004773FE" w:rsidP="004773FE">
      <w:r>
        <w:rPr>
          <w:noProof/>
        </w:rPr>
        <w:drawing>
          <wp:inline distT="0" distB="0" distL="0" distR="0" wp14:anchorId="30EB4D72" wp14:editId="4E06DAC4">
            <wp:extent cx="9144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48E" w14:textId="77777777" w:rsidR="004773FE" w:rsidRDefault="004773FE" w:rsidP="004773FE"/>
    <w:p w14:paraId="62D2174E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>
        <w:rPr>
          <w:rFonts w:ascii="Arial" w:hAnsi="Arial" w:cs="Arial"/>
          <w:i/>
          <w:iCs/>
        </w:rPr>
        <w:t>b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55B38A6A" w14:textId="5315A319" w:rsidR="00A169F6" w:rsidRPr="001C4C4D" w:rsidRDefault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>daily limit. Coloured time periods represent measurements made while a wildfire was burning.</w:t>
      </w:r>
      <w:r w:rsidR="001C4C4D">
        <w:rPr>
          <w:noProof/>
        </w:rPr>
        <w:drawing>
          <wp:inline distT="0" distB="0" distL="0" distR="0" wp14:anchorId="14082AB4" wp14:editId="0350F00C">
            <wp:extent cx="914400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5A" w14:textId="77777777" w:rsidR="00A169F6" w:rsidRDefault="00A169F6"/>
    <w:p w14:paraId="3F6E00A6" w14:textId="32065E5B" w:rsidR="00A169F6" w:rsidRPr="007A2ADF" w:rsidRDefault="00D342D8">
      <w:pPr>
        <w:rPr>
          <w:rFonts w:asciiTheme="minorHAnsi" w:hAnsiTheme="minorHAnsi" w:cstheme="minorHAnsi"/>
          <w:sz w:val="22"/>
          <w:szCs w:val="22"/>
        </w:rPr>
      </w:pPr>
      <w:r w:rsidRPr="007A2ADF">
        <w:rPr>
          <w:rFonts w:asciiTheme="minorHAnsi" w:hAnsiTheme="minorHAnsi" w:cstheme="minorHAnsi"/>
          <w:sz w:val="22"/>
          <w:szCs w:val="22"/>
        </w:rPr>
        <w:lastRenderedPageBreak/>
        <w:t xml:space="preserve">Figure </w:t>
      </w:r>
      <w:r w:rsidR="00346A9C" w:rsidRPr="007A2ADF">
        <w:rPr>
          <w:rFonts w:asciiTheme="minorHAnsi" w:hAnsiTheme="minorHAnsi" w:cstheme="minorHAnsi"/>
          <w:sz w:val="22"/>
          <w:szCs w:val="22"/>
        </w:rPr>
        <w:t>3</w:t>
      </w:r>
      <w:r w:rsidR="00A169F6" w:rsidRPr="007A2ADF">
        <w:rPr>
          <w:rFonts w:asciiTheme="minorHAnsi" w:hAnsiTheme="minorHAnsi" w:cstheme="minorHAnsi"/>
          <w:sz w:val="22"/>
          <w:szCs w:val="22"/>
        </w:rPr>
        <w:t xml:space="preserve">: </w:t>
      </w:r>
      <w:r w:rsidR="00D24CA2" w:rsidRPr="007A2ADF">
        <w:rPr>
          <w:rFonts w:asciiTheme="minorHAnsi" w:hAnsiTheme="minorHAnsi" w:cstheme="minorHAnsi"/>
          <w:sz w:val="22"/>
          <w:szCs w:val="22"/>
        </w:rPr>
        <w:t xml:space="preserve">Results from Getty Fire </w:t>
      </w:r>
      <w:r w:rsidR="00EF6023" w:rsidRPr="007A2ADF">
        <w:rPr>
          <w:rFonts w:asciiTheme="minorHAnsi" w:hAnsiTheme="minorHAnsi" w:cstheme="minorHAnsi"/>
          <w:sz w:val="22"/>
          <w:szCs w:val="22"/>
        </w:rPr>
        <w:t xml:space="preserve">and Woolsey Fire </w:t>
      </w:r>
      <w:r w:rsidR="00D24CA2" w:rsidRPr="007A2ADF">
        <w:rPr>
          <w:rFonts w:asciiTheme="minorHAnsi" w:hAnsiTheme="minorHAnsi" w:cstheme="minorHAnsi"/>
          <w:sz w:val="22"/>
          <w:szCs w:val="22"/>
        </w:rPr>
        <w:t>wildfi</w:t>
      </w:r>
      <w:r w:rsidR="00EF6023" w:rsidRPr="007A2ADF">
        <w:rPr>
          <w:rFonts w:asciiTheme="minorHAnsi" w:hAnsiTheme="minorHAnsi" w:cstheme="minorHAnsi"/>
          <w:sz w:val="22"/>
          <w:szCs w:val="22"/>
        </w:rPr>
        <w:t>re proximity</w:t>
      </w:r>
      <w:r w:rsidR="0090516E" w:rsidRPr="007A2ADF">
        <w:rPr>
          <w:rFonts w:asciiTheme="minorHAnsi" w:hAnsiTheme="minorHAnsi" w:cstheme="minorHAnsi"/>
          <w:sz w:val="22"/>
          <w:szCs w:val="22"/>
        </w:rPr>
        <w:t xml:space="preserve"> and</w:t>
      </w:r>
      <w:r w:rsidR="00D24CA2" w:rsidRPr="007A2ADF">
        <w:rPr>
          <w:rFonts w:asciiTheme="minorHAnsi" w:hAnsiTheme="minorHAnsi" w:cstheme="minorHAnsi"/>
          <w:sz w:val="22"/>
          <w:szCs w:val="22"/>
        </w:rPr>
        <w:t xml:space="preserve"> evacuation difference in differences analyses.</w:t>
      </w:r>
      <w:r w:rsidR="001C1778" w:rsidRPr="007A2A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2EBCA1" w14:textId="03D1B696" w:rsidR="001C1778" w:rsidRPr="007A2ADF" w:rsidRDefault="007A2ADF" w:rsidP="001C1778">
      <w:pPr>
        <w:pStyle w:val="Header"/>
        <w:rPr>
          <w:rFonts w:cstheme="minorHAnsi"/>
          <w:sz w:val="22"/>
          <w:szCs w:val="22"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BDAD8" wp14:editId="4A181883">
                <wp:simplePos x="0" y="0"/>
                <wp:positionH relativeFrom="column">
                  <wp:posOffset>5743575</wp:posOffset>
                </wp:positionH>
                <wp:positionV relativeFrom="paragraph">
                  <wp:posOffset>664210</wp:posOffset>
                </wp:positionV>
                <wp:extent cx="2112010" cy="5568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10D91" w14:textId="22A6DC89" w:rsidR="007A2ADF" w:rsidRPr="007A2ADF" w:rsidRDefault="007A2ADF" w:rsidP="007A2AD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t>Getty Fire</w:t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BDAD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52.25pt;margin-top:52.3pt;width:166.3pt;height:43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" filled="f" stroked="f" strokeweight=".5pt">
                <v:textbox>
                  <w:txbxContent>
                    <w:p w14:paraId="7BA10D91" w14:textId="22A6DC89" w:rsidR="007A2ADF" w:rsidRPr="007A2ADF" w:rsidRDefault="007A2ADF" w:rsidP="007A2ADF">
                      <w:pPr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t>Getty Fire</w:t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3EE32" wp14:editId="13AF3323">
                <wp:simplePos x="0" y="0"/>
                <wp:positionH relativeFrom="column">
                  <wp:posOffset>1413510</wp:posOffset>
                </wp:positionH>
                <wp:positionV relativeFrom="paragraph">
                  <wp:posOffset>664298</wp:posOffset>
                </wp:positionV>
                <wp:extent cx="2322787" cy="6621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787" cy="662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95B0E" w14:textId="25E6CF5A" w:rsidR="007A2ADF" w:rsidRPr="007A2ADF" w:rsidRDefault="007A2AD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t xml:space="preserve">Woolsey Fire </w:t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EE32" id="Text Box 11" o:spid="_x0000_s1027" type="#_x0000_t202" style="position:absolute;margin-left:111.3pt;margin-top:52.3pt;width:182.9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" filled="f" stroked="f" strokeweight=".5pt">
                <v:textbox>
                  <w:txbxContent>
                    <w:p w14:paraId="61195B0E" w14:textId="25E6CF5A" w:rsidR="007A2ADF" w:rsidRPr="007A2ADF" w:rsidRDefault="007A2ADF">
                      <w:pPr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t xml:space="preserve">Woolsey Fire </w:t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1C1778" w:rsidRPr="007A2ADF">
        <w:rPr>
          <w:rFonts w:cstheme="minorHAnsi"/>
          <w:sz w:val="22"/>
          <w:szCs w:val="22"/>
        </w:rPr>
        <w:t>We used negative binomial regression to evaluate the effect of wildfire evacuation or proximity during an active fire. The DID estimators subtracted the change in visit frequency during a fire among ZCTAs far from the fire or evacuation zone (difference 1) from the change in visit frequency during a fire among ZCTAs exposed to the fire or evacuation zone (difference 2). We controlled for time effects, temperature, and non-wildfire PM</w:t>
      </w:r>
      <w:r w:rsidR="001C1778" w:rsidRPr="007A2ADF">
        <w:rPr>
          <w:rFonts w:cstheme="minorHAnsi"/>
          <w:sz w:val="22"/>
          <w:szCs w:val="22"/>
          <w:vertAlign w:val="subscript"/>
        </w:rPr>
        <w:t>2.5</w:t>
      </w:r>
      <w:r w:rsidR="001C1778" w:rsidRPr="007A2ADF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395EA6B8" w14:textId="352266E2" w:rsidR="001C1778" w:rsidRPr="00DC2704" w:rsidRDefault="001C1778">
      <w:pPr>
        <w:rPr>
          <w:rFonts w:ascii="Arial" w:hAnsi="Arial" w:cs="Arial"/>
          <w:i/>
          <w:iCs/>
        </w:rPr>
      </w:pPr>
    </w:p>
    <w:p w14:paraId="72ADEE84" w14:textId="11C326D9" w:rsidR="00D342D8" w:rsidRDefault="00D342D8"/>
    <w:p w14:paraId="16E285AB" w14:textId="15437196" w:rsidR="00D24CA2" w:rsidRDefault="0055078D">
      <w:r>
        <w:rPr>
          <w:noProof/>
        </w:rPr>
        <w:drawing>
          <wp:inline distT="0" distB="0" distL="0" distR="0" wp14:anchorId="5757E4EA" wp14:editId="787DCF4A">
            <wp:extent cx="4109545" cy="4109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01" cy="41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3F4EF" wp14:editId="02B0CAC9">
            <wp:extent cx="4130566" cy="41305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97" cy="41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B04" w14:textId="07C52CDB" w:rsidR="00D24CA2" w:rsidRDefault="007C3A8A">
      <w:r>
        <w:rPr>
          <w:noProof/>
        </w:rPr>
        <w:drawing>
          <wp:anchor distT="0" distB="0" distL="114300" distR="114300" simplePos="0" relativeHeight="251660288" behindDoc="0" locked="0" layoutInCell="1" allowOverlap="1" wp14:anchorId="3FBD61EB" wp14:editId="4BDEF219">
            <wp:simplePos x="0" y="0"/>
            <wp:positionH relativeFrom="column">
              <wp:posOffset>2929255</wp:posOffset>
            </wp:positionH>
            <wp:positionV relativeFrom="paragraph">
              <wp:posOffset>106395</wp:posOffset>
            </wp:positionV>
            <wp:extent cx="2773680" cy="840740"/>
            <wp:effectExtent l="0" t="0" r="0" b="0"/>
            <wp:wrapThrough wrapText="bothSides">
              <wp:wrapPolygon edited="0">
                <wp:start x="791" y="0"/>
                <wp:lineTo x="791" y="21208"/>
                <wp:lineTo x="21462" y="21208"/>
                <wp:lineTo x="21462" y="0"/>
                <wp:lineTo x="79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5" t="56116" r="16539" b="27319"/>
                    <a:stretch/>
                  </pic:blipFill>
                  <pic:spPr bwMode="auto">
                    <a:xfrm>
                      <a:off x="0" y="0"/>
                      <a:ext cx="277368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8E75" w14:textId="01E567D5" w:rsidR="0055078D" w:rsidRDefault="007C3A8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F14323" wp14:editId="4C4DB040">
            <wp:simplePos x="0" y="0"/>
            <wp:positionH relativeFrom="column">
              <wp:posOffset>404648</wp:posOffset>
            </wp:positionH>
            <wp:positionV relativeFrom="paragraph">
              <wp:posOffset>-118177</wp:posOffset>
            </wp:positionV>
            <wp:extent cx="2795752" cy="1459753"/>
            <wp:effectExtent l="0" t="0" r="0" b="1270"/>
            <wp:wrapThrough wrapText="bothSides">
              <wp:wrapPolygon edited="0">
                <wp:start x="785" y="1504"/>
                <wp:lineTo x="785" y="21431"/>
                <wp:lineTo x="21492" y="21431"/>
                <wp:lineTo x="21492" y="1504"/>
                <wp:lineTo x="785" y="1504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5" t="24672" r="16539" b="46809"/>
                    <a:stretch/>
                  </pic:blipFill>
                  <pic:spPr bwMode="auto">
                    <a:xfrm>
                      <a:off x="0" y="0"/>
                      <a:ext cx="2823692" cy="147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9268A" w14:textId="58CD0535" w:rsidR="0055078D" w:rsidRDefault="007C3A8A">
      <w:r>
        <w:rPr>
          <w:noProof/>
        </w:rPr>
        <w:drawing>
          <wp:anchor distT="0" distB="0" distL="114300" distR="114300" simplePos="0" relativeHeight="251663360" behindDoc="0" locked="0" layoutInCell="1" allowOverlap="1" wp14:anchorId="5EAEE5E4" wp14:editId="6125620C">
            <wp:simplePos x="0" y="0"/>
            <wp:positionH relativeFrom="column">
              <wp:posOffset>582930</wp:posOffset>
            </wp:positionH>
            <wp:positionV relativeFrom="paragraph">
              <wp:posOffset>74580</wp:posOffset>
            </wp:positionV>
            <wp:extent cx="335915" cy="1005658"/>
            <wp:effectExtent l="0" t="0" r="0" b="0"/>
            <wp:wrapNone/>
            <wp:docPr id="10" name="Picture 10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smetic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88"/>
                    <a:stretch/>
                  </pic:blipFill>
                  <pic:spPr bwMode="auto">
                    <a:xfrm>
                      <a:off x="0" y="0"/>
                      <a:ext cx="335915" cy="10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E3C55" w14:textId="72ABB1FF" w:rsidR="0055078D" w:rsidRDefault="0055078D"/>
    <w:p w14:paraId="18EE8A79" w14:textId="2BD520CD" w:rsidR="0055078D" w:rsidRDefault="0055078D"/>
    <w:p w14:paraId="300F587F" w14:textId="222123CE" w:rsidR="0055078D" w:rsidRDefault="0055078D"/>
    <w:p w14:paraId="65264C0C" w14:textId="03AB9EF6" w:rsidR="0055078D" w:rsidRDefault="0055078D"/>
    <w:p w14:paraId="0504047E" w14:textId="08A23C54" w:rsidR="0055078D" w:rsidRPr="00D342D8" w:rsidRDefault="0055078D"/>
    <w:sectPr w:rsidR="0055078D" w:rsidRPr="00D342D8" w:rsidSect="005E52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979"/>
    <w:multiLevelType w:val="multilevel"/>
    <w:tmpl w:val="4BE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3"/>
    <w:rsid w:val="000122FE"/>
    <w:rsid w:val="00034A91"/>
    <w:rsid w:val="00145AD6"/>
    <w:rsid w:val="00154402"/>
    <w:rsid w:val="00173278"/>
    <w:rsid w:val="00182E87"/>
    <w:rsid w:val="001A6EBC"/>
    <w:rsid w:val="001B7B38"/>
    <w:rsid w:val="001C1778"/>
    <w:rsid w:val="001C4C4D"/>
    <w:rsid w:val="00214E99"/>
    <w:rsid w:val="00291383"/>
    <w:rsid w:val="002E3018"/>
    <w:rsid w:val="002F1E06"/>
    <w:rsid w:val="00346A9C"/>
    <w:rsid w:val="00387489"/>
    <w:rsid w:val="003B77F5"/>
    <w:rsid w:val="003F0052"/>
    <w:rsid w:val="00401B4D"/>
    <w:rsid w:val="0042018F"/>
    <w:rsid w:val="00422C7B"/>
    <w:rsid w:val="00460ABB"/>
    <w:rsid w:val="004773FE"/>
    <w:rsid w:val="004C1AD9"/>
    <w:rsid w:val="004D5860"/>
    <w:rsid w:val="00511DA9"/>
    <w:rsid w:val="005350D1"/>
    <w:rsid w:val="0055078D"/>
    <w:rsid w:val="005638F9"/>
    <w:rsid w:val="005C687B"/>
    <w:rsid w:val="005D31AE"/>
    <w:rsid w:val="005E119D"/>
    <w:rsid w:val="005E529F"/>
    <w:rsid w:val="00601956"/>
    <w:rsid w:val="00671DB5"/>
    <w:rsid w:val="00676BD4"/>
    <w:rsid w:val="006A642B"/>
    <w:rsid w:val="00711415"/>
    <w:rsid w:val="0073598C"/>
    <w:rsid w:val="007476AD"/>
    <w:rsid w:val="00770413"/>
    <w:rsid w:val="00773350"/>
    <w:rsid w:val="007A2ADF"/>
    <w:rsid w:val="007C3A8A"/>
    <w:rsid w:val="007F7DC2"/>
    <w:rsid w:val="008370CD"/>
    <w:rsid w:val="008414DE"/>
    <w:rsid w:val="0086400D"/>
    <w:rsid w:val="008A4C42"/>
    <w:rsid w:val="008F66BC"/>
    <w:rsid w:val="00904C56"/>
    <w:rsid w:val="0090516E"/>
    <w:rsid w:val="0093779F"/>
    <w:rsid w:val="009B6538"/>
    <w:rsid w:val="00A169F6"/>
    <w:rsid w:val="00A77433"/>
    <w:rsid w:val="00AB7A99"/>
    <w:rsid w:val="00B11EA0"/>
    <w:rsid w:val="00B70B8C"/>
    <w:rsid w:val="00B829A9"/>
    <w:rsid w:val="00C84696"/>
    <w:rsid w:val="00CA2F0D"/>
    <w:rsid w:val="00CB2EFF"/>
    <w:rsid w:val="00CD1608"/>
    <w:rsid w:val="00D24CA2"/>
    <w:rsid w:val="00D342D8"/>
    <w:rsid w:val="00DB22BE"/>
    <w:rsid w:val="00DC2704"/>
    <w:rsid w:val="00DF1F7C"/>
    <w:rsid w:val="00E13D3E"/>
    <w:rsid w:val="00EF6023"/>
    <w:rsid w:val="00F847D3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61D"/>
  <w15:chartTrackingRefBased/>
  <w15:docId w15:val="{31FCE9A3-E28A-B844-9E7C-2251478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4696"/>
  </w:style>
  <w:style w:type="character" w:styleId="CommentReference">
    <w:name w:val="annotation reference"/>
    <w:basedOn w:val="DefaultParagraphFont"/>
    <w:semiHidden/>
    <w:unhideWhenUsed/>
    <w:rsid w:val="00535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0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0D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0D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7A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10</cp:revision>
  <dcterms:created xsi:type="dcterms:W3CDTF">2022-04-21T17:30:00Z</dcterms:created>
  <dcterms:modified xsi:type="dcterms:W3CDTF">2022-04-21T20:19:00Z</dcterms:modified>
</cp:coreProperties>
</file>