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C678" w14:textId="5FB7D45B" w:rsidR="00C43BE6" w:rsidRDefault="005F4FB6" w:rsidP="005F4FB6">
      <w:pPr>
        <w:pStyle w:val="Heading1"/>
      </w:pPr>
      <w:r>
        <w:t>Part I: Research Question</w:t>
      </w:r>
    </w:p>
    <w:p w14:paraId="6CC50C96" w14:textId="4C36A202" w:rsidR="005F4FB6" w:rsidRDefault="005F4FB6" w:rsidP="005F4FB6">
      <w:pPr>
        <w:pStyle w:val="Heading2"/>
      </w:pPr>
      <w:r>
        <w:t xml:space="preserve">A1: </w:t>
      </w:r>
      <w:r w:rsidR="00A77D82">
        <w:t>Proposal of Question</w:t>
      </w:r>
    </w:p>
    <w:p w14:paraId="5071B8D4" w14:textId="735836AB" w:rsidR="00D533B5" w:rsidRPr="005C1274" w:rsidRDefault="00CD6D3A" w:rsidP="00D533B5">
      <w:pPr>
        <w:rPr>
          <w:shd w:val="clear" w:color="auto" w:fill="FFFFFF"/>
        </w:rPr>
      </w:pPr>
      <w:r>
        <w:t xml:space="preserve">This analysis aims to answer the question: </w:t>
      </w:r>
      <w:r w:rsidR="00C34BBF">
        <w:t xml:space="preserve">What are the common prescribing trends occurring </w:t>
      </w:r>
      <w:r w:rsidR="005C1274">
        <w:t>across</w:t>
      </w:r>
      <w:r w:rsidR="00C34BBF">
        <w:t xml:space="preserve"> the hospital </w:t>
      </w:r>
      <w:r w:rsidR="005C1274">
        <w:t>chain</w:t>
      </w:r>
      <w:r w:rsidR="00C34BBF">
        <w:t xml:space="preserve">? </w:t>
      </w:r>
      <w:r w:rsidR="005C1274">
        <w:rPr>
          <w:shd w:val="clear" w:color="auto" w:fill="FFFFFF"/>
        </w:rPr>
        <w:t>By gaining a better understanding of prescribing trends, the occurrence of drug interactions can be prevented. According to a peer-reviewed study published in 2015, this information is crucial to determining whether drug interactions are a system-wide problem</w:t>
      </w:r>
      <w:sdt>
        <w:sdtPr>
          <w:rPr>
            <w:shd w:val="clear" w:color="auto" w:fill="FFFFFF"/>
          </w:rPr>
          <w:id w:val="-1309004201"/>
          <w:citation/>
        </w:sdtPr>
        <w:sdtEndPr/>
        <w:sdtContent>
          <w:r w:rsidR="005C1274">
            <w:rPr>
              <w:shd w:val="clear" w:color="auto" w:fill="FFFFFF"/>
            </w:rPr>
            <w:fldChar w:fldCharType="begin"/>
          </w:r>
          <w:r w:rsidR="005C1274">
            <w:rPr>
              <w:shd w:val="clear" w:color="auto" w:fill="FFFFFF"/>
            </w:rPr>
            <w:instrText xml:space="preserve">CITATION Sut15 \y  \l 1033 </w:instrText>
          </w:r>
          <w:r w:rsidR="005C1274">
            <w:rPr>
              <w:shd w:val="clear" w:color="auto" w:fill="FFFFFF"/>
            </w:rPr>
            <w:fldChar w:fldCharType="separate"/>
          </w:r>
          <w:r w:rsidR="00D71DC9">
            <w:rPr>
              <w:noProof/>
              <w:shd w:val="clear" w:color="auto" w:fill="FFFFFF"/>
            </w:rPr>
            <w:t xml:space="preserve"> </w:t>
          </w:r>
          <w:r w:rsidR="00D71DC9" w:rsidRPr="00D71DC9">
            <w:rPr>
              <w:noProof/>
              <w:shd w:val="clear" w:color="auto" w:fill="FFFFFF"/>
            </w:rPr>
            <w:t>(Sutherland, et al.)</w:t>
          </w:r>
          <w:r w:rsidR="005C1274">
            <w:rPr>
              <w:shd w:val="clear" w:color="auto" w:fill="FFFFFF"/>
            </w:rPr>
            <w:fldChar w:fldCharType="end"/>
          </w:r>
        </w:sdtContent>
      </w:sdt>
      <w:r w:rsidR="005C1274">
        <w:rPr>
          <w:shd w:val="clear" w:color="auto" w:fill="FFFFFF"/>
        </w:rPr>
        <w:t>. Preventing these types of drug interactions can help to reduce system readmission rates. According to a 2013 study on the impact of drug interactions on readmissions, “patients with potential drug interactions in a prior admission were more likely to be readmitted.”</w:t>
      </w:r>
      <w:sdt>
        <w:sdtPr>
          <w:rPr>
            <w:shd w:val="clear" w:color="auto" w:fill="FFFFFF"/>
          </w:rPr>
          <w:id w:val="-950403601"/>
          <w:citation/>
        </w:sdtPr>
        <w:sdtEndPr/>
        <w:sdtContent>
          <w:r w:rsidR="005C1274">
            <w:rPr>
              <w:shd w:val="clear" w:color="auto" w:fill="FFFFFF"/>
            </w:rPr>
            <w:fldChar w:fldCharType="begin"/>
          </w:r>
          <w:r w:rsidR="005C1274">
            <w:rPr>
              <w:shd w:val="clear" w:color="auto" w:fill="FFFFFF"/>
            </w:rPr>
            <w:instrText xml:space="preserve">CITATION Mou13 \y  \l 1033 </w:instrText>
          </w:r>
          <w:r w:rsidR="005C1274">
            <w:rPr>
              <w:shd w:val="clear" w:color="auto" w:fill="FFFFFF"/>
            </w:rPr>
            <w:fldChar w:fldCharType="separate"/>
          </w:r>
          <w:r w:rsidR="00D71DC9">
            <w:rPr>
              <w:noProof/>
              <w:shd w:val="clear" w:color="auto" w:fill="FFFFFF"/>
            </w:rPr>
            <w:t xml:space="preserve"> </w:t>
          </w:r>
          <w:r w:rsidR="00D71DC9" w:rsidRPr="00D71DC9">
            <w:rPr>
              <w:noProof/>
              <w:shd w:val="clear" w:color="auto" w:fill="FFFFFF"/>
            </w:rPr>
            <w:t>(Moura, Tavares, &amp; Acurcio)</w:t>
          </w:r>
          <w:r w:rsidR="005C1274">
            <w:rPr>
              <w:shd w:val="clear" w:color="auto" w:fill="FFFFFF"/>
            </w:rPr>
            <w:fldChar w:fldCharType="end"/>
          </w:r>
        </w:sdtContent>
      </w:sdt>
    </w:p>
    <w:p w14:paraId="5617B2B5" w14:textId="00B86D4A" w:rsidR="005F4FB6" w:rsidRDefault="005F4FB6" w:rsidP="005F4FB6">
      <w:pPr>
        <w:pStyle w:val="Heading2"/>
      </w:pPr>
      <w:r>
        <w:t xml:space="preserve">A2: </w:t>
      </w:r>
      <w:r w:rsidR="00A77D82">
        <w:t>Defined Goal</w:t>
      </w:r>
    </w:p>
    <w:p w14:paraId="037C4252" w14:textId="16ABD4B2" w:rsidR="00F85BC6" w:rsidRDefault="00F85BC6" w:rsidP="00F85BC6">
      <w:pPr>
        <w:rPr>
          <w:shd w:val="clear" w:color="auto" w:fill="FFFFFF"/>
        </w:rPr>
      </w:pPr>
      <w:r>
        <w:rPr>
          <w:shd w:val="clear" w:color="auto" w:fill="FFFFFF"/>
        </w:rPr>
        <w:t xml:space="preserve">The primary goal of this analysis </w:t>
      </w:r>
      <w:r w:rsidR="005C127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to </w:t>
      </w:r>
      <w:r w:rsidR="005C1274">
        <w:rPr>
          <w:shd w:val="clear" w:color="auto" w:fill="FFFFFF"/>
        </w:rPr>
        <w:t>identify the most common prescribing trends across the hospital chain</w:t>
      </w:r>
      <w:r w:rsidR="00BD0E94">
        <w:rPr>
          <w:shd w:val="clear" w:color="auto" w:fill="FFFFFF"/>
        </w:rPr>
        <w:t>. This information will help inform the hospital chain’s administrat</w:t>
      </w:r>
      <w:r w:rsidR="00954B4F">
        <w:rPr>
          <w:shd w:val="clear" w:color="auto" w:fill="FFFFFF"/>
        </w:rPr>
        <w:t>ors as they work to improve system-wide outcomes like drug interactions and readmission rates.</w:t>
      </w:r>
      <w:r w:rsidR="00282295">
        <w:rPr>
          <w:shd w:val="clear" w:color="auto" w:fill="FFFFFF"/>
        </w:rPr>
        <w:t xml:space="preserve"> It will also serve as the answer to the proposed research question. To achieve this goal, </w:t>
      </w:r>
      <w:r w:rsidR="00074D60">
        <w:rPr>
          <w:shd w:val="clear" w:color="auto" w:fill="FFFFFF"/>
        </w:rPr>
        <w:t>a Market</w:t>
      </w:r>
      <w:r w:rsidR="00282295">
        <w:rPr>
          <w:shd w:val="clear" w:color="auto" w:fill="FFFFFF"/>
        </w:rPr>
        <w:t xml:space="preserve"> Basket Analysis will be performed.</w:t>
      </w:r>
    </w:p>
    <w:p w14:paraId="1E448FDC" w14:textId="69121A0A" w:rsidR="00AD3AC3" w:rsidRDefault="00AD3AC3" w:rsidP="00AD3AC3">
      <w:pPr>
        <w:pStyle w:val="Heading1"/>
      </w:pPr>
      <w:r>
        <w:t>Part II: Market Basket Justification</w:t>
      </w:r>
    </w:p>
    <w:p w14:paraId="5366AD74" w14:textId="4176C13B" w:rsidR="00AD3AC3" w:rsidRDefault="00AD3AC3" w:rsidP="00AD3AC3">
      <w:pPr>
        <w:pStyle w:val="Heading2"/>
      </w:pPr>
      <w:r>
        <w:t xml:space="preserve">B1: </w:t>
      </w:r>
      <w:r w:rsidR="00E64101">
        <w:t>Explanation of Market Basket</w:t>
      </w:r>
    </w:p>
    <w:p w14:paraId="7C7A93C4" w14:textId="3AFDBF7C" w:rsidR="001A41F7" w:rsidRPr="002E5A4B" w:rsidRDefault="003E05CC" w:rsidP="00BF0CE5">
      <w:r>
        <w:t xml:space="preserve">Market Basket Analysis </w:t>
      </w:r>
      <w:r w:rsidR="00CC6B17">
        <w:t xml:space="preserve">is used to mine data </w:t>
      </w:r>
      <w:r w:rsidR="00763905">
        <w:t>to identify</w:t>
      </w:r>
      <w:r w:rsidR="006143F9">
        <w:t xml:space="preserve"> its</w:t>
      </w:r>
      <w:r w:rsidR="00763905">
        <w:t xml:space="preserve"> underlying patterns</w:t>
      </w:r>
      <w:sdt>
        <w:sdtPr>
          <w:id w:val="-2093145393"/>
          <w:citation/>
        </w:sdtPr>
        <w:sdtEndPr/>
        <w:sdtContent>
          <w:r w:rsidR="00763905">
            <w:fldChar w:fldCharType="begin"/>
          </w:r>
          <w:r w:rsidR="00763905">
            <w:instrText xml:space="preserve"> CITATION Sma22 \l 1033 </w:instrText>
          </w:r>
          <w:r w:rsidR="00763905">
            <w:fldChar w:fldCharType="separate"/>
          </w:r>
          <w:r w:rsidR="00D71DC9">
            <w:rPr>
              <w:noProof/>
            </w:rPr>
            <w:t xml:space="preserve"> (Smartbridge, 2022)</w:t>
          </w:r>
          <w:r w:rsidR="00763905">
            <w:fldChar w:fldCharType="end"/>
          </w:r>
        </w:sdtContent>
      </w:sdt>
      <w:r w:rsidR="00763905">
        <w:t>.</w:t>
      </w:r>
      <w:r w:rsidR="003230E8">
        <w:t xml:space="preserve"> </w:t>
      </w:r>
      <w:r w:rsidR="007A641A">
        <w:t>Traditionally, it is used to analyze retail transactions</w:t>
      </w:r>
      <w:r w:rsidR="00BE5B11">
        <w:t xml:space="preserve"> to better understand customers and predict their purchasing behaviors. This is done by </w:t>
      </w:r>
      <w:r w:rsidR="0010523C">
        <w:t>first identifying the most frequently purchased items</w:t>
      </w:r>
      <w:r w:rsidR="002E482C">
        <w:t xml:space="preserve"> across the transactions. Association rules are then formed between the frequently purchased items which define </w:t>
      </w:r>
      <w:r w:rsidR="00CB72D4">
        <w:t xml:space="preserve">purchasing behavior. </w:t>
      </w:r>
      <w:r w:rsidR="00F80173">
        <w:t xml:space="preserve">These rules are structured as IF-THEN </w:t>
      </w:r>
      <w:r w:rsidR="004F4F96">
        <w:t xml:space="preserve">statements where the items from the IF portion are known as the antecedent and </w:t>
      </w:r>
      <w:r w:rsidR="001B43FD">
        <w:t xml:space="preserve">items from the THEN portion are known as the consequent. </w:t>
      </w:r>
      <w:r w:rsidR="00743BC4">
        <w:t>To identify the relevant association rules, the Aprio</w:t>
      </w:r>
      <w:r w:rsidR="00C33DC3">
        <w:t xml:space="preserve">ri algorithm is used in combination with metrics like support, lift, </w:t>
      </w:r>
      <w:r w:rsidR="001A41F7">
        <w:t xml:space="preserve">and confidence. </w:t>
      </w:r>
      <w:r w:rsidR="005323D9">
        <w:t>In</w:t>
      </w:r>
      <w:r w:rsidR="004268DD">
        <w:t xml:space="preserve"> this analysis, retail transactions are </w:t>
      </w:r>
      <w:r w:rsidR="005323D9">
        <w:t xml:space="preserve">being replaced with patient prescriptions. </w:t>
      </w:r>
      <w:r w:rsidR="00147002">
        <w:t>The outcome</w:t>
      </w:r>
      <w:r w:rsidR="00456327">
        <w:t xml:space="preserve">s will still be association rules. However, the associations will be between sets of prescriptions and will identify </w:t>
      </w:r>
      <w:r w:rsidR="00925FE1">
        <w:t>the common prescribing trends across the hospital chain.</w:t>
      </w:r>
    </w:p>
    <w:p w14:paraId="1383F47C" w14:textId="0DDB927A" w:rsidR="00AD3AC3" w:rsidRDefault="00AD3AC3" w:rsidP="00AD3AC3">
      <w:pPr>
        <w:pStyle w:val="Heading2"/>
      </w:pPr>
      <w:r>
        <w:t xml:space="preserve">B2: </w:t>
      </w:r>
      <w:r w:rsidR="00E64101">
        <w:t>Transaction Example</w:t>
      </w:r>
    </w:p>
    <w:p w14:paraId="2EA2A5E9" w14:textId="435ACD8F" w:rsidR="00B75584" w:rsidRDefault="00F254C1" w:rsidP="00B75584">
      <w:r>
        <w:t xml:space="preserve">In the provided dataset, a transaction is </w:t>
      </w:r>
      <w:r w:rsidR="006654E7">
        <w:t>a patient</w:t>
      </w:r>
      <w:r w:rsidR="00B318D8">
        <w:t xml:space="preserve"> of the hospital chain</w:t>
      </w:r>
      <w:r w:rsidR="006654E7">
        <w:t xml:space="preserve"> represented by a row of the dataset</w:t>
      </w:r>
      <w:r w:rsidR="00A904B4">
        <w:t>.</w:t>
      </w:r>
      <w:r w:rsidR="00F70567">
        <w:t xml:space="preserve"> For this analysis, </w:t>
      </w:r>
      <w:r w:rsidR="008E5408">
        <w:t xml:space="preserve">the </w:t>
      </w:r>
      <w:r w:rsidR="00A02BC4">
        <w:t>medications</w:t>
      </w:r>
      <w:r w:rsidR="008E5408">
        <w:t xml:space="preserve"> have been aggregated by the drug class groups to reduce the </w:t>
      </w:r>
      <w:r w:rsidR="00B318D8">
        <w:t xml:space="preserve">number of items to be analyzed. </w:t>
      </w:r>
      <w:r w:rsidR="00E55713">
        <w:t xml:space="preserve">The screenshot below displays a single transaction after applying the aggregation. </w:t>
      </w:r>
    </w:p>
    <w:p w14:paraId="68FE3762" w14:textId="74FDB8BE" w:rsidR="00E55713" w:rsidRPr="002E5A4B" w:rsidRDefault="00E55713" w:rsidP="005F5B07">
      <w:r w:rsidRPr="00E55713">
        <w:rPr>
          <w:noProof/>
        </w:rPr>
        <w:drawing>
          <wp:inline distT="0" distB="0" distL="0" distR="0" wp14:anchorId="44A53E45" wp14:editId="2E3C57EE">
            <wp:extent cx="2734057" cy="219106"/>
            <wp:effectExtent l="76200" t="76200" r="12382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9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97B95" w14:textId="2A1BAFC9" w:rsidR="00AD3AC3" w:rsidRDefault="00AD3AC3" w:rsidP="00AD3AC3">
      <w:pPr>
        <w:pStyle w:val="Heading2"/>
      </w:pPr>
      <w:r>
        <w:t xml:space="preserve">B3: </w:t>
      </w:r>
      <w:r w:rsidR="00980AD3">
        <w:t>Market Basket Assumption</w:t>
      </w:r>
    </w:p>
    <w:p w14:paraId="6BB3E93C" w14:textId="7B579CC0" w:rsidR="00E645FF" w:rsidRDefault="00C47FC6" w:rsidP="00E645FF">
      <w:pPr>
        <w:rPr>
          <w:shd w:val="clear" w:color="auto" w:fill="FFFFFF"/>
        </w:rPr>
      </w:pPr>
      <w:r>
        <w:rPr>
          <w:shd w:val="clear" w:color="auto" w:fill="FFFFFF"/>
        </w:rPr>
        <w:t>The primary assumption in Market Basket Analysis is that</w:t>
      </w:r>
      <w:r w:rsidR="00627F0D">
        <w:rPr>
          <w:shd w:val="clear" w:color="auto" w:fill="FFFFFF"/>
        </w:rPr>
        <w:t xml:space="preserve"> </w:t>
      </w:r>
      <w:r w:rsidR="00F97848">
        <w:rPr>
          <w:shd w:val="clear" w:color="auto" w:fill="FFFFFF"/>
        </w:rPr>
        <w:t xml:space="preserve">frequently </w:t>
      </w:r>
      <w:r w:rsidR="00627F0D">
        <w:rPr>
          <w:shd w:val="clear" w:color="auto" w:fill="FFFFFF"/>
        </w:rPr>
        <w:t>observing two item sets</w:t>
      </w:r>
      <w:r w:rsidR="006D1B47">
        <w:rPr>
          <w:shd w:val="clear" w:color="auto" w:fill="FFFFFF"/>
        </w:rPr>
        <w:t xml:space="preserve"> in </w:t>
      </w:r>
      <w:r w:rsidR="00F97848">
        <w:rPr>
          <w:shd w:val="clear" w:color="auto" w:fill="FFFFFF"/>
        </w:rPr>
        <w:t>transactions</w:t>
      </w:r>
      <w:r w:rsidR="006D1B47">
        <w:rPr>
          <w:shd w:val="clear" w:color="auto" w:fill="FFFFFF"/>
        </w:rPr>
        <w:t xml:space="preserve"> i</w:t>
      </w:r>
      <w:r w:rsidR="00386C4C">
        <w:rPr>
          <w:shd w:val="clear" w:color="auto" w:fill="FFFFFF"/>
        </w:rPr>
        <w:t>mplies they</w:t>
      </w:r>
      <w:r w:rsidR="00D17E05">
        <w:rPr>
          <w:shd w:val="clear" w:color="auto" w:fill="FFFFFF"/>
        </w:rPr>
        <w:t xml:space="preserve"> </w:t>
      </w:r>
      <w:r w:rsidR="002D6C9D">
        <w:rPr>
          <w:shd w:val="clear" w:color="auto" w:fill="FFFFFF"/>
        </w:rPr>
        <w:t xml:space="preserve">complement one another and that purchasing one item set will lead to </w:t>
      </w:r>
      <w:r w:rsidR="002D6C9D">
        <w:rPr>
          <w:shd w:val="clear" w:color="auto" w:fill="FFFFFF"/>
        </w:rPr>
        <w:lastRenderedPageBreak/>
        <w:t>the purchase of the other</w:t>
      </w:r>
      <w:sdt>
        <w:sdtPr>
          <w:rPr>
            <w:shd w:val="clear" w:color="auto" w:fill="FFFFFF"/>
          </w:rPr>
          <w:id w:val="-529269663"/>
          <w:citation/>
        </w:sdtPr>
        <w:sdtEndPr/>
        <w:sdtContent>
          <w:r w:rsidR="00526F06">
            <w:rPr>
              <w:shd w:val="clear" w:color="auto" w:fill="FFFFFF"/>
            </w:rPr>
            <w:fldChar w:fldCharType="begin"/>
          </w:r>
          <w:r w:rsidR="00526F06">
            <w:rPr>
              <w:shd w:val="clear" w:color="auto" w:fill="FFFFFF"/>
            </w:rPr>
            <w:instrText xml:space="preserve"> CITATION Wag12 \l 1033 </w:instrText>
          </w:r>
          <w:r w:rsidR="00526F06">
            <w:rPr>
              <w:shd w:val="clear" w:color="auto" w:fill="FFFFFF"/>
            </w:rPr>
            <w:fldChar w:fldCharType="separate"/>
          </w:r>
          <w:r w:rsidR="00D71DC9">
            <w:rPr>
              <w:noProof/>
              <w:shd w:val="clear" w:color="auto" w:fill="FFFFFF"/>
            </w:rPr>
            <w:t xml:space="preserve"> </w:t>
          </w:r>
          <w:r w:rsidR="00D71DC9" w:rsidRPr="00D71DC9">
            <w:rPr>
              <w:noProof/>
              <w:shd w:val="clear" w:color="auto" w:fill="FFFFFF"/>
            </w:rPr>
            <w:t>(Kamakura, 2012)</w:t>
          </w:r>
          <w:r w:rsidR="00526F06">
            <w:rPr>
              <w:shd w:val="clear" w:color="auto" w:fill="FFFFFF"/>
            </w:rPr>
            <w:fldChar w:fldCharType="end"/>
          </w:r>
        </w:sdtContent>
      </w:sdt>
      <w:r w:rsidR="00D17E05">
        <w:rPr>
          <w:shd w:val="clear" w:color="auto" w:fill="FFFFFF"/>
        </w:rPr>
        <w:t xml:space="preserve">. In this analysis this means that </w:t>
      </w:r>
      <w:r w:rsidR="00D34E77">
        <w:rPr>
          <w:shd w:val="clear" w:color="auto" w:fill="FFFFFF"/>
        </w:rPr>
        <w:t xml:space="preserve">if two </w:t>
      </w:r>
      <w:r w:rsidR="00162FF6">
        <w:rPr>
          <w:shd w:val="clear" w:color="auto" w:fill="FFFFFF"/>
        </w:rPr>
        <w:t>sets of</w:t>
      </w:r>
      <w:r w:rsidR="00D34E77">
        <w:rPr>
          <w:shd w:val="clear" w:color="auto" w:fill="FFFFFF"/>
        </w:rPr>
        <w:t xml:space="preserve"> medications are </w:t>
      </w:r>
      <w:r w:rsidR="004B7B43">
        <w:rPr>
          <w:shd w:val="clear" w:color="auto" w:fill="FFFFFF"/>
        </w:rPr>
        <w:t xml:space="preserve">often </w:t>
      </w:r>
      <w:r w:rsidR="00D34E77">
        <w:rPr>
          <w:shd w:val="clear" w:color="auto" w:fill="FFFFFF"/>
        </w:rPr>
        <w:t xml:space="preserve">prescribed to the same patient, </w:t>
      </w:r>
      <w:r w:rsidR="004024F6">
        <w:rPr>
          <w:shd w:val="clear" w:color="auto" w:fill="FFFFFF"/>
        </w:rPr>
        <w:t>being prescribed one medication means you are likely to be prescribed the other.</w:t>
      </w:r>
    </w:p>
    <w:p w14:paraId="47EB52E8" w14:textId="4148580C" w:rsidR="003528D7" w:rsidRDefault="003528D7" w:rsidP="003528D7">
      <w:pPr>
        <w:pStyle w:val="Heading1"/>
      </w:pPr>
      <w:r>
        <w:t>Part III: Data Preparation and Analysis</w:t>
      </w:r>
    </w:p>
    <w:p w14:paraId="6D294F35" w14:textId="2BFF0E33" w:rsidR="003528D7" w:rsidRDefault="003528D7" w:rsidP="003528D7">
      <w:pPr>
        <w:pStyle w:val="Heading2"/>
      </w:pPr>
      <w:r>
        <w:t xml:space="preserve">C1: </w:t>
      </w:r>
      <w:r w:rsidR="00980AD3">
        <w:t>Transforming the Dataset</w:t>
      </w:r>
    </w:p>
    <w:p w14:paraId="5715813F" w14:textId="5C4E8A84" w:rsidR="00914F0E" w:rsidRDefault="00C420A3" w:rsidP="00C420A3">
      <w:r>
        <w:t xml:space="preserve">Several steps were taken to transform the medical_clean dataset </w:t>
      </w:r>
      <w:r w:rsidR="003D6768">
        <w:t xml:space="preserve">to make it suitable </w:t>
      </w:r>
      <w:r>
        <w:t xml:space="preserve">for </w:t>
      </w:r>
      <w:r w:rsidR="00DF5E90">
        <w:t>m</w:t>
      </w:r>
      <w:r w:rsidR="00151A1F">
        <w:t xml:space="preserve">arket </w:t>
      </w:r>
      <w:r w:rsidR="00DF5E90">
        <w:t>b</w:t>
      </w:r>
      <w:r w:rsidR="00151A1F">
        <w:t xml:space="preserve">asket </w:t>
      </w:r>
      <w:r w:rsidR="00DF5E90">
        <w:t>a</w:t>
      </w:r>
      <w:r>
        <w:t>nalysis</w:t>
      </w:r>
      <w:r w:rsidR="00076BC9">
        <w:t xml:space="preserve">. All associated code can be found in </w:t>
      </w:r>
      <w:r w:rsidR="0035479E">
        <w:t>“task3.py” included with this submission.</w:t>
      </w:r>
      <w:r w:rsidR="00151A1F">
        <w:t xml:space="preserve"> </w:t>
      </w:r>
      <w:r w:rsidR="008F1AAB">
        <w:t>The following steps were taken:</w:t>
      </w:r>
    </w:p>
    <w:p w14:paraId="02DB09E5" w14:textId="77B34630" w:rsidR="00EB56A9" w:rsidRDefault="00EB56A9" w:rsidP="00C420A3">
      <w:pPr>
        <w:pStyle w:val="ListParagraph"/>
        <w:numPr>
          <w:ilvl w:val="0"/>
          <w:numId w:val="1"/>
        </w:numPr>
      </w:pPr>
      <w:r>
        <w:t xml:space="preserve">The data was imported into a </w:t>
      </w:r>
      <w:proofErr w:type="gramStart"/>
      <w:r>
        <w:t>pandas DataFrame</w:t>
      </w:r>
      <w:proofErr w:type="gramEnd"/>
      <w:r>
        <w:t xml:space="preserve"> </w:t>
      </w:r>
      <w:r w:rsidR="002C0755">
        <w:t xml:space="preserve">and </w:t>
      </w:r>
      <w:r w:rsidR="005D3FD3">
        <w:t>the first five rows were printed to the console</w:t>
      </w:r>
      <w:r w:rsidR="002C0755">
        <w:t>.</w:t>
      </w:r>
    </w:p>
    <w:p w14:paraId="236190DF" w14:textId="5C86B4FA" w:rsidR="00C22AEB" w:rsidRDefault="00C22AEB" w:rsidP="00C420A3">
      <w:pPr>
        <w:pStyle w:val="ListParagraph"/>
        <w:numPr>
          <w:ilvl w:val="0"/>
          <w:numId w:val="1"/>
        </w:numPr>
      </w:pPr>
      <w:r>
        <w:t>Empty rows were identified and removed</w:t>
      </w:r>
      <w:r w:rsidR="00751A89">
        <w:t>. The remaining row count was printed to the console.</w:t>
      </w:r>
    </w:p>
    <w:p w14:paraId="6EC91E9D" w14:textId="53942AF9" w:rsidR="00C420A3" w:rsidRDefault="00CE0DE0" w:rsidP="00C420A3">
      <w:pPr>
        <w:pStyle w:val="ListParagraph"/>
        <w:numPr>
          <w:ilvl w:val="0"/>
          <w:numId w:val="1"/>
        </w:numPr>
      </w:pPr>
      <w:r>
        <w:t>The</w:t>
      </w:r>
      <w:r w:rsidR="00C21FF0">
        <w:t xml:space="preserve"> numpy not a number (</w:t>
      </w:r>
      <w:r w:rsidR="002C0755">
        <w:t>NaN</w:t>
      </w:r>
      <w:r w:rsidR="00C21FF0">
        <w:t>) values were replaced with empty strings</w:t>
      </w:r>
      <w:r>
        <w:t>.</w:t>
      </w:r>
    </w:p>
    <w:p w14:paraId="09EC7677" w14:textId="58401132" w:rsidR="00CE0DE0" w:rsidRDefault="00C54EFC" w:rsidP="00C420A3">
      <w:pPr>
        <w:pStyle w:val="ListParagraph"/>
        <w:numPr>
          <w:ilvl w:val="0"/>
          <w:numId w:val="1"/>
        </w:numPr>
      </w:pPr>
      <w:r>
        <w:t xml:space="preserve">The DataFrame was converted to a list of </w:t>
      </w:r>
      <w:r w:rsidR="00A30E4B">
        <w:t>item</w:t>
      </w:r>
      <w:r>
        <w:t xml:space="preserve"> sets</w:t>
      </w:r>
      <w:r w:rsidR="00973D4D">
        <w:t xml:space="preserve"> and the first five were</w:t>
      </w:r>
      <w:r w:rsidR="005D3FD3">
        <w:t xml:space="preserve"> </w:t>
      </w:r>
      <w:r w:rsidR="004A2EDC">
        <w:t>printed to the console</w:t>
      </w:r>
      <w:r>
        <w:t>.</w:t>
      </w:r>
    </w:p>
    <w:p w14:paraId="667F493D" w14:textId="7B7A4AC7" w:rsidR="00E61901" w:rsidRDefault="00E61901" w:rsidP="00C420A3">
      <w:pPr>
        <w:pStyle w:val="ListParagraph"/>
        <w:numPr>
          <w:ilvl w:val="0"/>
          <w:numId w:val="1"/>
        </w:numPr>
      </w:pPr>
      <w:r>
        <w:t xml:space="preserve">A set of </w:t>
      </w:r>
      <w:r w:rsidR="005C43F9">
        <w:t>unique</w:t>
      </w:r>
      <w:r>
        <w:t xml:space="preserve"> prescriptions was</w:t>
      </w:r>
      <w:r w:rsidR="00AF6FE0">
        <w:t xml:space="preserve"> created, the </w:t>
      </w:r>
      <w:r w:rsidR="008C71D7">
        <w:t>number of unique prescriptions</w:t>
      </w:r>
      <w:r w:rsidR="00AF6FE0">
        <w:t xml:space="preserve"> was printed to the console, and</w:t>
      </w:r>
      <w:r w:rsidR="008C71D7">
        <w:t xml:space="preserve"> the set was</w:t>
      </w:r>
      <w:r>
        <w:t xml:space="preserve"> exported to a comma separated values (CSV) file</w:t>
      </w:r>
      <w:r w:rsidR="0061708F">
        <w:t>.</w:t>
      </w:r>
    </w:p>
    <w:p w14:paraId="4EB4E8F8" w14:textId="5FFD8AAF" w:rsidR="0061708F" w:rsidRDefault="0061708F" w:rsidP="00C420A3">
      <w:pPr>
        <w:pStyle w:val="ListParagraph"/>
        <w:numPr>
          <w:ilvl w:val="0"/>
          <w:numId w:val="1"/>
        </w:numPr>
      </w:pPr>
      <w:r>
        <w:t xml:space="preserve">Each </w:t>
      </w:r>
      <w:r w:rsidR="00575932">
        <w:t>prescription</w:t>
      </w:r>
      <w:r>
        <w:t xml:space="preserve"> in the file was looked up on Drugs.com</w:t>
      </w:r>
      <w:sdt>
        <w:sdtPr>
          <w:id w:val="1995987956"/>
          <w:citation/>
        </w:sdtPr>
        <w:sdtEndPr/>
        <w:sdtContent>
          <w:r w:rsidR="00D4498D">
            <w:fldChar w:fldCharType="begin"/>
          </w:r>
          <w:r w:rsidR="00DC13C0">
            <w:instrText xml:space="preserve">CITATION Dru22 \n  \l 1033 </w:instrText>
          </w:r>
          <w:r w:rsidR="00D4498D">
            <w:fldChar w:fldCharType="separate"/>
          </w:r>
          <w:r w:rsidR="00D71DC9">
            <w:rPr>
              <w:noProof/>
            </w:rPr>
            <w:t xml:space="preserve"> (Drug Index A to Z, 2022)</w:t>
          </w:r>
          <w:r w:rsidR="00D4498D">
            <w:fldChar w:fldCharType="end"/>
          </w:r>
        </w:sdtContent>
      </w:sdt>
      <w:r w:rsidR="00802E17">
        <w:t xml:space="preserve"> and assigned a group based on </w:t>
      </w:r>
      <w:r w:rsidR="00BA1D61">
        <w:t>its</w:t>
      </w:r>
      <w:r w:rsidR="00802E17">
        <w:t xml:space="preserve"> drug class</w:t>
      </w:r>
      <w:r w:rsidR="00D4498D">
        <w:t xml:space="preserve">. </w:t>
      </w:r>
      <w:r w:rsidR="00194977">
        <w:t>The specific page referenced for each of the medications can be found in the reference column of the “prescription_map.csv” spreadsheet included with this submission.</w:t>
      </w:r>
    </w:p>
    <w:p w14:paraId="11C36A79" w14:textId="5DCCE938" w:rsidR="00194977" w:rsidRDefault="00EF07BD" w:rsidP="00846137">
      <w:pPr>
        <w:pStyle w:val="ListParagraph"/>
        <w:numPr>
          <w:ilvl w:val="0"/>
          <w:numId w:val="1"/>
        </w:numPr>
      </w:pPr>
      <w:r>
        <w:t xml:space="preserve">The spreadsheet was read back </w:t>
      </w:r>
      <w:r w:rsidR="006F18B3">
        <w:t>into</w:t>
      </w:r>
      <w:r>
        <w:t xml:space="preserve"> a </w:t>
      </w:r>
      <w:proofErr w:type="gramStart"/>
      <w:r>
        <w:t>pandas DataFrame</w:t>
      </w:r>
      <w:proofErr w:type="gramEnd"/>
      <w:r w:rsidR="001F5784">
        <w:t xml:space="preserve"> and t</w:t>
      </w:r>
      <w:r>
        <w:t>he prescriptions and group columns were zipped into a dictionar</w:t>
      </w:r>
      <w:r w:rsidR="006F18B3">
        <w:t>y.</w:t>
      </w:r>
    </w:p>
    <w:p w14:paraId="0738A2CE" w14:textId="44385BE6" w:rsidR="002B4BB8" w:rsidRDefault="00924B89" w:rsidP="00846137">
      <w:pPr>
        <w:pStyle w:val="ListParagraph"/>
        <w:numPr>
          <w:ilvl w:val="0"/>
          <w:numId w:val="1"/>
        </w:numPr>
      </w:pPr>
      <w:r>
        <w:t xml:space="preserve">The </w:t>
      </w:r>
      <w:r w:rsidR="00D66D27">
        <w:t>list of item sets created in step three was mapped to the drug class groups using the dictionary</w:t>
      </w:r>
      <w:r w:rsidR="0035097F">
        <w:t xml:space="preserve">. During this process, empty strings </w:t>
      </w:r>
      <w:r w:rsidR="00575D76">
        <w:t>and groups</w:t>
      </w:r>
      <w:r w:rsidR="00C16584">
        <w:t xml:space="preserve"> duplicated within a patient</w:t>
      </w:r>
      <w:r w:rsidR="00575D76">
        <w:t xml:space="preserve"> were dropped. </w:t>
      </w:r>
      <w:r w:rsidR="009D05AF">
        <w:t>The first five records were printed to the console.</w:t>
      </w:r>
    </w:p>
    <w:p w14:paraId="5538CB6A" w14:textId="698E4BEA" w:rsidR="008B2828" w:rsidRDefault="008B2828" w:rsidP="00846137">
      <w:pPr>
        <w:pStyle w:val="ListParagraph"/>
        <w:numPr>
          <w:ilvl w:val="0"/>
          <w:numId w:val="1"/>
        </w:numPr>
      </w:pPr>
      <w:r>
        <w:t xml:space="preserve">The </w:t>
      </w:r>
      <w:r w:rsidR="00332ACE">
        <w:t xml:space="preserve">mapped list of item sets was encoded using the </w:t>
      </w:r>
      <w:r w:rsidR="00C116B9">
        <w:t xml:space="preserve">TransactionEncoder from mlxtend’s preprocessing module and stored in a </w:t>
      </w:r>
      <w:proofErr w:type="gramStart"/>
      <w:r w:rsidR="00C116B9">
        <w:t>pandas DataFrame</w:t>
      </w:r>
      <w:proofErr w:type="gramEnd"/>
      <w:r w:rsidR="00E4698C">
        <w:t>. The first five rows were printed to the console.</w:t>
      </w:r>
    </w:p>
    <w:p w14:paraId="7DBF209A" w14:textId="4CC17EB9" w:rsidR="00E4698C" w:rsidRDefault="00A8753F" w:rsidP="00846137">
      <w:pPr>
        <w:pStyle w:val="ListParagraph"/>
        <w:numPr>
          <w:ilvl w:val="0"/>
          <w:numId w:val="1"/>
        </w:numPr>
      </w:pPr>
      <w:r>
        <w:t>The encoded data was saved to a CSV titled “cleaned_data.csv”.</w:t>
      </w:r>
    </w:p>
    <w:p w14:paraId="210B3674" w14:textId="14BF2EF0" w:rsidR="00A8753F" w:rsidRPr="005B5686" w:rsidRDefault="00BE54C4" w:rsidP="00A8753F">
      <w:r>
        <w:t>“cleaned_data.csv” has been included with this submission.</w:t>
      </w:r>
    </w:p>
    <w:p w14:paraId="4D8BF227" w14:textId="4CC1A8EE" w:rsidR="003528D7" w:rsidRDefault="003528D7" w:rsidP="003528D7">
      <w:pPr>
        <w:pStyle w:val="Heading2"/>
      </w:pPr>
      <w:r>
        <w:t xml:space="preserve">C2: </w:t>
      </w:r>
      <w:r w:rsidR="004E6AA6">
        <w:t>Code Execution</w:t>
      </w:r>
    </w:p>
    <w:p w14:paraId="4CA07525" w14:textId="5EE08D60" w:rsidR="009A62B9" w:rsidRDefault="009F4AD2" w:rsidP="009A62B9">
      <w:r>
        <w:t>The Apriori algorithm was implemented with a minimum support threshold of 0.0</w:t>
      </w:r>
      <w:r w:rsidR="00751A89">
        <w:t>1</w:t>
      </w:r>
      <w:r w:rsidR="00D00D0B">
        <w:t>. The number of item sets and the</w:t>
      </w:r>
      <w:r w:rsidR="0045630A">
        <w:t xml:space="preserve"> top 10</w:t>
      </w:r>
      <w:r w:rsidR="00D00D0B">
        <w:t xml:space="preserve"> </w:t>
      </w:r>
      <w:r w:rsidR="00752077">
        <w:t xml:space="preserve">item </w:t>
      </w:r>
      <w:r w:rsidR="00D00D0B">
        <w:t xml:space="preserve">sets </w:t>
      </w:r>
      <w:r w:rsidR="00752077">
        <w:t>with the hi</w:t>
      </w:r>
      <w:r w:rsidR="0045630A">
        <w:t xml:space="preserve">ghest support </w:t>
      </w:r>
      <w:r w:rsidR="00D00D0B">
        <w:t>were printed to the console as shown in the following screenshot.</w:t>
      </w:r>
    </w:p>
    <w:p w14:paraId="182A5F0C" w14:textId="2D8367AD" w:rsidR="008D3874" w:rsidRDefault="00691BEA" w:rsidP="005F5B07">
      <w:r w:rsidRPr="00691BEA">
        <w:lastRenderedPageBreak/>
        <w:drawing>
          <wp:inline distT="0" distB="0" distL="0" distR="0" wp14:anchorId="252D2B8B" wp14:editId="3D8EC69D">
            <wp:extent cx="2600688" cy="2848373"/>
            <wp:effectExtent l="76200" t="76200" r="142875" b="142875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848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BE903" w14:textId="2ACC238C" w:rsidR="001B7C1C" w:rsidRDefault="007C7134" w:rsidP="009A62B9">
      <w:r>
        <w:t>The item sets were used to generate association rules</w:t>
      </w:r>
      <w:r w:rsidR="004946E5">
        <w:t xml:space="preserve"> with a minimum support threshold of 0.0</w:t>
      </w:r>
      <w:r w:rsidR="00BB1B4D">
        <w:t>1</w:t>
      </w:r>
      <w:r w:rsidR="004946E5">
        <w:t xml:space="preserve">. </w:t>
      </w:r>
      <w:r w:rsidR="00BB1B4D">
        <w:t>T</w:t>
      </w:r>
      <w:r w:rsidR="004946E5">
        <w:t xml:space="preserve">he number of association rules </w:t>
      </w:r>
      <w:r w:rsidR="001A2080">
        <w:t>generated,</w:t>
      </w:r>
      <w:r w:rsidR="004946E5">
        <w:t xml:space="preserve"> and the first five association rules were printed to the console as shown in the following screenshot.</w:t>
      </w:r>
    </w:p>
    <w:p w14:paraId="5DFCF7C5" w14:textId="44547139" w:rsidR="00880983" w:rsidRDefault="006609D3" w:rsidP="005F5B07">
      <w:r w:rsidRPr="006609D3">
        <w:drawing>
          <wp:inline distT="0" distB="0" distL="0" distR="0" wp14:anchorId="768870A5" wp14:editId="4B5E6714">
            <wp:extent cx="2943636" cy="1705213"/>
            <wp:effectExtent l="76200" t="76200" r="142875" b="1428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05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96833A" w14:textId="0F14EC50" w:rsidR="005340F3" w:rsidRDefault="00906594" w:rsidP="005F5B07">
      <w:r>
        <w:t xml:space="preserve">A scatterplot was generated </w:t>
      </w:r>
      <w:r w:rsidR="00603891">
        <w:t>with antecedent support on the x-axis</w:t>
      </w:r>
      <w:r w:rsidR="00CE4F64">
        <w:t xml:space="preserve"> and</w:t>
      </w:r>
      <w:r w:rsidR="00603891">
        <w:t xml:space="preserve"> consequent support on the y-axis</w:t>
      </w:r>
      <w:r w:rsidR="00CE4F64">
        <w:t xml:space="preserve">. The lift metric </w:t>
      </w:r>
      <w:r w:rsidR="00F836E6">
        <w:t>was</w:t>
      </w:r>
      <w:r w:rsidR="00CE4F64">
        <w:t xml:space="preserve"> encoded in the size of each point and confiden</w:t>
      </w:r>
      <w:r w:rsidR="003B008A">
        <w:t>ce</w:t>
      </w:r>
      <w:r w:rsidR="00CE4F64">
        <w:t xml:space="preserve"> </w:t>
      </w:r>
      <w:r w:rsidR="00F836E6">
        <w:t>was</w:t>
      </w:r>
      <w:r w:rsidR="00CE4F64">
        <w:t xml:space="preserve"> encoded in the color of each point. There </w:t>
      </w:r>
      <w:r w:rsidR="00F836E6">
        <w:t>were</w:t>
      </w:r>
      <w:r w:rsidR="00CE4F64">
        <w:t xml:space="preserve"> also faint blue lines </w:t>
      </w:r>
      <w:r w:rsidR="00F836E6">
        <w:t>added</w:t>
      </w:r>
      <w:r w:rsidR="00953E91">
        <w:t xml:space="preserve"> at both x and y = 0.0</w:t>
      </w:r>
      <w:r w:rsidR="003B008A">
        <w:t>1</w:t>
      </w:r>
      <w:r w:rsidR="00953E91">
        <w:t xml:space="preserve"> to represent the </w:t>
      </w:r>
      <w:r w:rsidR="00A72AB4">
        <w:t>minimum support threshold that was applied.</w:t>
      </w:r>
    </w:p>
    <w:p w14:paraId="13841D3F" w14:textId="3C5F2669" w:rsidR="003B008A" w:rsidRDefault="003B008A" w:rsidP="005F5B07">
      <w:r>
        <w:rPr>
          <w:noProof/>
        </w:rPr>
        <w:lastRenderedPageBreak/>
        <w:drawing>
          <wp:inline distT="0" distB="0" distL="0" distR="0" wp14:anchorId="295170F3" wp14:editId="7F09B34D">
            <wp:extent cx="4511040" cy="3383280"/>
            <wp:effectExtent l="76200" t="76200" r="137160" b="14097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F27EF" w14:textId="79D99DC5" w:rsidR="00760005" w:rsidRDefault="00974382" w:rsidP="009A62B9">
      <w:r>
        <w:t>The association rules were then filtered by a confidence value of 0.6</w:t>
      </w:r>
      <w:r w:rsidR="009C4734">
        <w:t>. The number of filtered rules and their summary were printed to the console</w:t>
      </w:r>
      <w:r w:rsidR="009F7A20">
        <w:t>. This screenshot</w:t>
      </w:r>
      <w:r w:rsidR="00F46967">
        <w:t xml:space="preserve"> can be seen in the next section</w:t>
      </w:r>
      <w:r w:rsidR="00027BE0">
        <w:t>, C3: Association Rules Table</w:t>
      </w:r>
      <w:r w:rsidR="00F46967">
        <w:t>.</w:t>
      </w:r>
      <w:r w:rsidR="000663FD">
        <w:t xml:space="preserve"> </w:t>
      </w:r>
      <w:r w:rsidR="00760005">
        <w:t xml:space="preserve">A heatmap of the support values was also </w:t>
      </w:r>
      <w:r w:rsidR="00D37979">
        <w:t>displayed</w:t>
      </w:r>
      <w:r w:rsidR="00760005">
        <w:t>.</w:t>
      </w:r>
    </w:p>
    <w:p w14:paraId="798CAB31" w14:textId="53E1E251" w:rsidR="00F10BE4" w:rsidRPr="005B5686" w:rsidRDefault="00F10BE4" w:rsidP="005F5B07">
      <w:r>
        <w:rPr>
          <w:noProof/>
        </w:rPr>
        <w:drawing>
          <wp:inline distT="0" distB="0" distL="0" distR="0" wp14:anchorId="1BB41432" wp14:editId="50BD207A">
            <wp:extent cx="4511040" cy="3383280"/>
            <wp:effectExtent l="76200" t="76200" r="137160" b="1409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794EA" w14:textId="0EA77848" w:rsidR="003528D7" w:rsidRDefault="003528D7" w:rsidP="003528D7">
      <w:pPr>
        <w:pStyle w:val="Heading2"/>
      </w:pPr>
      <w:r>
        <w:lastRenderedPageBreak/>
        <w:t>C</w:t>
      </w:r>
      <w:r w:rsidR="005B5686">
        <w:t xml:space="preserve">3: </w:t>
      </w:r>
      <w:r w:rsidR="004E6AA6">
        <w:t>Association Rules Table</w:t>
      </w:r>
    </w:p>
    <w:p w14:paraId="0973D110" w14:textId="695549B8" w:rsidR="00E94466" w:rsidRDefault="00E94466" w:rsidP="00E94466">
      <w:pPr>
        <w:rPr>
          <w:shd w:val="clear" w:color="auto" w:fill="FFFFFF"/>
        </w:rPr>
      </w:pPr>
      <w:r>
        <w:rPr>
          <w:shd w:val="clear" w:color="auto" w:fill="FFFFFF"/>
        </w:rPr>
        <w:t xml:space="preserve">The following screenshot </w:t>
      </w:r>
      <w:r w:rsidR="00AE1F55">
        <w:rPr>
          <w:shd w:val="clear" w:color="auto" w:fill="FFFFFF"/>
        </w:rPr>
        <w:t xml:space="preserve">displays the support, lift, and confidence of the </w:t>
      </w:r>
      <w:r w:rsidR="000663FD">
        <w:rPr>
          <w:shd w:val="clear" w:color="auto" w:fill="FFFFFF"/>
        </w:rPr>
        <w:t>filtered</w:t>
      </w:r>
      <w:r w:rsidR="00AE1F55">
        <w:rPr>
          <w:shd w:val="clear" w:color="auto" w:fill="FFFFFF"/>
        </w:rPr>
        <w:t xml:space="preserve"> association rules table.</w:t>
      </w:r>
    </w:p>
    <w:p w14:paraId="4258FC1B" w14:textId="2CFF0B99" w:rsidR="00F46967" w:rsidRPr="00C47B46" w:rsidRDefault="00914797" w:rsidP="005F5B07">
      <w:r w:rsidRPr="00914797">
        <w:drawing>
          <wp:inline distT="0" distB="0" distL="0" distR="0" wp14:anchorId="4F6CBC01" wp14:editId="6B0FB068">
            <wp:extent cx="5943600" cy="2392680"/>
            <wp:effectExtent l="76200" t="76200" r="133350" b="14097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96D1E8" w14:textId="5EA7068C" w:rsidR="005B5686" w:rsidRDefault="005B5686" w:rsidP="005B5686">
      <w:pPr>
        <w:pStyle w:val="Heading2"/>
      </w:pPr>
      <w:r>
        <w:t xml:space="preserve">C4: </w:t>
      </w:r>
      <w:r w:rsidR="00634E11">
        <w:t>Top Three Rules</w:t>
      </w:r>
    </w:p>
    <w:p w14:paraId="5382C233" w14:textId="756A3FB5" w:rsidR="000D78F9" w:rsidRDefault="001C3174" w:rsidP="001C3174">
      <w:pPr>
        <w:rPr>
          <w:shd w:val="clear" w:color="auto" w:fill="FFFFFF"/>
        </w:rPr>
      </w:pPr>
      <w:r>
        <w:rPr>
          <w:shd w:val="clear" w:color="auto" w:fill="FFFFFF"/>
        </w:rPr>
        <w:t xml:space="preserve">The top three rules </w:t>
      </w:r>
      <w:r w:rsidR="000C55B2">
        <w:rPr>
          <w:shd w:val="clear" w:color="auto" w:fill="FFFFFF"/>
        </w:rPr>
        <w:t xml:space="preserve">generated by the Apriori algorithm </w:t>
      </w:r>
      <w:r w:rsidR="00414992">
        <w:rPr>
          <w:shd w:val="clear" w:color="auto" w:fill="FFFFFF"/>
        </w:rPr>
        <w:t>were</w:t>
      </w:r>
      <w:r w:rsidR="000C55B2">
        <w:rPr>
          <w:shd w:val="clear" w:color="auto" w:fill="FFFFFF"/>
        </w:rPr>
        <w:t>:</w:t>
      </w:r>
    </w:p>
    <w:p w14:paraId="4CFEEB75" w14:textId="0701C757" w:rsidR="000C55B2" w:rsidRDefault="000C55B2" w:rsidP="000C55B2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IF { Diuretics</w:t>
      </w:r>
      <w:r w:rsidR="00C47958" w:rsidRPr="00C47958">
        <w:rPr>
          <w:shd w:val="clear" w:color="auto" w:fill="FFFFFF"/>
        </w:rPr>
        <w:t xml:space="preserve"> </w:t>
      </w:r>
      <w:r w:rsidR="00C47958">
        <w:rPr>
          <w:shd w:val="clear" w:color="auto" w:fill="FFFFFF"/>
        </w:rPr>
        <w:t xml:space="preserve">and ACE Inhibitors </w:t>
      </w:r>
      <w:r>
        <w:rPr>
          <w:shd w:val="clear" w:color="auto" w:fill="FFFFFF"/>
        </w:rPr>
        <w:t>} THEN {</w:t>
      </w:r>
      <w:r w:rsidR="00C47958">
        <w:rPr>
          <w:shd w:val="clear" w:color="auto" w:fill="FFFFFF"/>
        </w:rPr>
        <w:t xml:space="preserve"> </w:t>
      </w:r>
      <w:r>
        <w:rPr>
          <w:shd w:val="clear" w:color="auto" w:fill="FFFFFF"/>
        </w:rPr>
        <w:t>Beta Blockers</w:t>
      </w:r>
      <w:r w:rsidR="00C47958">
        <w:rPr>
          <w:shd w:val="clear" w:color="auto" w:fill="FFFFFF"/>
        </w:rPr>
        <w:t xml:space="preserve"> </w:t>
      </w:r>
      <w:r>
        <w:rPr>
          <w:shd w:val="clear" w:color="auto" w:fill="FFFFFF"/>
        </w:rPr>
        <w:t>}</w:t>
      </w:r>
    </w:p>
    <w:p w14:paraId="4DBC429E" w14:textId="46212134" w:rsidR="000C55B2" w:rsidRDefault="000C55B2" w:rsidP="000C55B2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IF {</w:t>
      </w:r>
      <w:r w:rsidR="00C47958" w:rsidRPr="00C47958">
        <w:rPr>
          <w:shd w:val="clear" w:color="auto" w:fill="FFFFFF"/>
        </w:rPr>
        <w:t xml:space="preserve"> </w:t>
      </w:r>
      <w:r w:rsidR="00C47958">
        <w:rPr>
          <w:shd w:val="clear" w:color="auto" w:fill="FFFFFF"/>
        </w:rPr>
        <w:t xml:space="preserve">ACE Inhibitors and </w:t>
      </w:r>
      <w:r>
        <w:rPr>
          <w:shd w:val="clear" w:color="auto" w:fill="FFFFFF"/>
        </w:rPr>
        <w:t>SSRIs } THEN {</w:t>
      </w:r>
      <w:r w:rsidR="00C47958">
        <w:rPr>
          <w:shd w:val="clear" w:color="auto" w:fill="FFFFFF"/>
        </w:rPr>
        <w:t xml:space="preserve"> </w:t>
      </w:r>
      <w:r>
        <w:rPr>
          <w:shd w:val="clear" w:color="auto" w:fill="FFFFFF"/>
        </w:rPr>
        <w:t>Beta Blockers</w:t>
      </w:r>
      <w:r w:rsidR="00C47958">
        <w:rPr>
          <w:shd w:val="clear" w:color="auto" w:fill="FFFFFF"/>
        </w:rPr>
        <w:t xml:space="preserve"> </w:t>
      </w:r>
      <w:r>
        <w:rPr>
          <w:shd w:val="clear" w:color="auto" w:fill="FFFFFF"/>
        </w:rPr>
        <w:t>}</w:t>
      </w:r>
    </w:p>
    <w:p w14:paraId="68C680B9" w14:textId="26E5F3E4" w:rsidR="000C55B2" w:rsidRDefault="000C55B2" w:rsidP="000C55B2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IF {</w:t>
      </w:r>
      <w:r w:rsidR="00C47958" w:rsidRPr="00C47958">
        <w:rPr>
          <w:shd w:val="clear" w:color="auto" w:fill="FFFFFF"/>
        </w:rPr>
        <w:t xml:space="preserve"> </w:t>
      </w:r>
      <w:r w:rsidR="00C47958">
        <w:rPr>
          <w:shd w:val="clear" w:color="auto" w:fill="FFFFFF"/>
        </w:rPr>
        <w:t xml:space="preserve">ACE Inhibitors and </w:t>
      </w:r>
      <w:r>
        <w:rPr>
          <w:shd w:val="clear" w:color="auto" w:fill="FFFFFF"/>
        </w:rPr>
        <w:t>Statins } THEN {</w:t>
      </w:r>
      <w:r w:rsidR="00C47958">
        <w:rPr>
          <w:shd w:val="clear" w:color="auto" w:fill="FFFFFF"/>
        </w:rPr>
        <w:t xml:space="preserve"> </w:t>
      </w:r>
      <w:r>
        <w:rPr>
          <w:shd w:val="clear" w:color="auto" w:fill="FFFFFF"/>
        </w:rPr>
        <w:t>Beta Blockers</w:t>
      </w:r>
      <w:r w:rsidR="00C47958">
        <w:rPr>
          <w:shd w:val="clear" w:color="auto" w:fill="FFFFFF"/>
        </w:rPr>
        <w:t xml:space="preserve"> </w:t>
      </w:r>
      <w:r>
        <w:rPr>
          <w:shd w:val="clear" w:color="auto" w:fill="FFFFFF"/>
        </w:rPr>
        <w:t>}</w:t>
      </w:r>
    </w:p>
    <w:p w14:paraId="78EB0E14" w14:textId="77777777" w:rsidR="003328BD" w:rsidRDefault="006D63FC" w:rsidP="005F5B07">
      <w:pPr>
        <w:rPr>
          <w:shd w:val="clear" w:color="auto" w:fill="FFFFFF"/>
        </w:rPr>
      </w:pPr>
      <w:r>
        <w:rPr>
          <w:shd w:val="clear" w:color="auto" w:fill="FFFFFF"/>
        </w:rPr>
        <w:t>Their summaries are displayed in the following screenshot</w:t>
      </w:r>
      <w:r w:rsidR="00C234D2">
        <w:rPr>
          <w:shd w:val="clear" w:color="auto" w:fill="FFFFFF"/>
        </w:rPr>
        <w:t>s.</w:t>
      </w:r>
    </w:p>
    <w:p w14:paraId="5BDFE166" w14:textId="1AB028F5" w:rsidR="00E01D0C" w:rsidRPr="006D63FC" w:rsidRDefault="00C7586F" w:rsidP="005F5B07">
      <w:pPr>
        <w:rPr>
          <w:shd w:val="clear" w:color="auto" w:fill="FFFFFF"/>
        </w:rPr>
      </w:pPr>
      <w:r w:rsidRPr="00C7586F">
        <w:rPr>
          <w:shd w:val="clear" w:color="auto" w:fill="FFFFFF"/>
        </w:rPr>
        <w:drawing>
          <wp:inline distT="0" distB="0" distL="0" distR="0" wp14:anchorId="7A47B16B" wp14:editId="54C69BEE">
            <wp:extent cx="2681167" cy="1371600"/>
            <wp:effectExtent l="76200" t="76200" r="138430" b="133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167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850B4" w:rsidRPr="008850B4">
        <w:rPr>
          <w:shd w:val="clear" w:color="auto" w:fill="FFFFFF"/>
        </w:rPr>
        <w:drawing>
          <wp:inline distT="0" distB="0" distL="0" distR="0" wp14:anchorId="26BB8908" wp14:editId="6FEACB7F">
            <wp:extent cx="2784348" cy="1371600"/>
            <wp:effectExtent l="76200" t="76200" r="130810" b="133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348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E2599" w:rsidRPr="00EE2599">
        <w:rPr>
          <w:shd w:val="clear" w:color="auto" w:fill="FFFFFF"/>
        </w:rPr>
        <w:drawing>
          <wp:inline distT="0" distB="0" distL="0" distR="0" wp14:anchorId="731FF6E6" wp14:editId="5FEBB201">
            <wp:extent cx="2679192" cy="1415016"/>
            <wp:effectExtent l="76200" t="76200" r="140335" b="12827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415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A8D27" w14:textId="66A7F0B5" w:rsidR="006772C2" w:rsidRDefault="006772C2" w:rsidP="006772C2">
      <w:pPr>
        <w:pStyle w:val="Heading1"/>
      </w:pPr>
      <w:r>
        <w:lastRenderedPageBreak/>
        <w:t>Part IV: Data Summary and Implications</w:t>
      </w:r>
    </w:p>
    <w:p w14:paraId="0FDB04AD" w14:textId="3EC64C7B" w:rsidR="006772C2" w:rsidRDefault="006772C2" w:rsidP="006772C2">
      <w:pPr>
        <w:pStyle w:val="Heading2"/>
      </w:pPr>
      <w:r>
        <w:t xml:space="preserve">D1: </w:t>
      </w:r>
      <w:r w:rsidR="00634E11">
        <w:t>Significance of Support, Lift, and Confidence Summary</w:t>
      </w:r>
    </w:p>
    <w:p w14:paraId="3F263B23" w14:textId="7234FE7B" w:rsidR="009257FF" w:rsidRDefault="00FD27BE" w:rsidP="009257FF">
      <w:r>
        <w:t xml:space="preserve">The support metric for the top three association rules ranged from </w:t>
      </w:r>
      <w:r w:rsidR="00252471" w:rsidRPr="00252471">
        <w:t>0.015598</w:t>
      </w:r>
      <w:r w:rsidR="00252471">
        <w:t xml:space="preserve"> </w:t>
      </w:r>
      <w:r w:rsidR="00B43ACE">
        <w:t xml:space="preserve">to </w:t>
      </w:r>
      <w:r w:rsidR="00252471" w:rsidRPr="00252471">
        <w:t>0.019731</w:t>
      </w:r>
      <w:r w:rsidR="00B43ACE">
        <w:t>.</w:t>
      </w:r>
      <w:r w:rsidR="00B92864">
        <w:t xml:space="preserve"> Support represents </w:t>
      </w:r>
      <w:r w:rsidR="00AA338E">
        <w:t xml:space="preserve">the </w:t>
      </w:r>
      <w:r w:rsidR="00A50D38">
        <w:t xml:space="preserve">probability of the antecedent and consequent </w:t>
      </w:r>
      <w:r w:rsidR="00C614C6">
        <w:t>cooccurring</w:t>
      </w:r>
      <w:sdt>
        <w:sdtPr>
          <w:id w:val="399722139"/>
          <w:citation/>
        </w:sdtPr>
        <w:sdtEndPr/>
        <w:sdtContent>
          <w:r w:rsidR="007220A7">
            <w:fldChar w:fldCharType="begin"/>
          </w:r>
          <w:r w:rsidR="007220A7">
            <w:instrText xml:space="preserve"> CITATION Wag12 \l 1033 </w:instrText>
          </w:r>
          <w:r w:rsidR="007220A7">
            <w:fldChar w:fldCharType="separate"/>
          </w:r>
          <w:r w:rsidR="00D71DC9">
            <w:rPr>
              <w:noProof/>
            </w:rPr>
            <w:t xml:space="preserve"> (Kamakura, 2012)</w:t>
          </w:r>
          <w:r w:rsidR="007220A7">
            <w:fldChar w:fldCharType="end"/>
          </w:r>
        </w:sdtContent>
      </w:sdt>
      <w:r w:rsidR="00C614C6">
        <w:t xml:space="preserve">. </w:t>
      </w:r>
      <w:r w:rsidR="00AE216D">
        <w:t>This means</w:t>
      </w:r>
      <w:r w:rsidR="00C44CFD">
        <w:t xml:space="preserve"> that </w:t>
      </w:r>
      <w:r w:rsidR="00AE216D">
        <w:t xml:space="preserve">of the total </w:t>
      </w:r>
      <w:r w:rsidR="00252471">
        <w:t xml:space="preserve">7,500 </w:t>
      </w:r>
      <w:r w:rsidR="00AE216D">
        <w:t xml:space="preserve">patients in the dataset, </w:t>
      </w:r>
      <w:r w:rsidR="00C44CFD">
        <w:t xml:space="preserve">the top three rules occur in </w:t>
      </w:r>
      <w:r w:rsidR="00992A91">
        <w:t xml:space="preserve">117 to </w:t>
      </w:r>
      <w:r w:rsidR="00B82DD4">
        <w:t>14</w:t>
      </w:r>
      <w:r w:rsidR="0003577D">
        <w:t>8</w:t>
      </w:r>
      <w:r w:rsidR="00B82DD4">
        <w:t xml:space="preserve"> patients.</w:t>
      </w:r>
    </w:p>
    <w:p w14:paraId="3B3533D1" w14:textId="6851E376" w:rsidR="003E5C00" w:rsidRDefault="00482185" w:rsidP="009257FF">
      <w:r>
        <w:t xml:space="preserve">The lift metric for the top three association rules ranged from </w:t>
      </w:r>
      <w:r w:rsidR="00BE38EE" w:rsidRPr="00BE38EE">
        <w:t>2.005687</w:t>
      </w:r>
      <w:r w:rsidR="00BE38EE">
        <w:t xml:space="preserve"> </w:t>
      </w:r>
      <w:r>
        <w:t xml:space="preserve">to </w:t>
      </w:r>
      <w:r w:rsidR="00BE38EE" w:rsidRPr="00BE38EE">
        <w:t>2.042157</w:t>
      </w:r>
      <w:r w:rsidR="00E337FB">
        <w:t>.</w:t>
      </w:r>
      <w:r w:rsidR="003C5FCC">
        <w:t xml:space="preserve"> </w:t>
      </w:r>
      <w:r w:rsidR="00A0608B">
        <w:t xml:space="preserve">Lift, represented as a ratio, </w:t>
      </w:r>
      <w:r w:rsidR="00C15EBD">
        <w:t xml:space="preserve">is the </w:t>
      </w:r>
      <w:r w:rsidR="00582FBF">
        <w:t>support</w:t>
      </w:r>
      <w:r w:rsidR="00C15EBD">
        <w:t xml:space="preserve"> of the cooccurrence </w:t>
      </w:r>
      <w:r w:rsidR="00D8071B">
        <w:t xml:space="preserve">of the antecedent and </w:t>
      </w:r>
      <w:r w:rsidR="00626C3F">
        <w:t>consequent</w:t>
      </w:r>
      <w:r w:rsidR="00D8071B">
        <w:t xml:space="preserve"> divided by the probability that the two occur independently.</w:t>
      </w:r>
      <w:r w:rsidR="00CD0188">
        <w:t xml:space="preserve"> A lift of 1.0 </w:t>
      </w:r>
      <w:r w:rsidR="00D928D0">
        <w:t xml:space="preserve">indicates that purchasing one item has no impact on whether the other will be purchased. When lift </w:t>
      </w:r>
      <w:r w:rsidR="0033094B">
        <w:t>is</w:t>
      </w:r>
      <w:r w:rsidR="00D928D0">
        <w:t xml:space="preserve"> above 1.</w:t>
      </w:r>
      <w:r w:rsidR="00A746EB">
        <w:t>0, purchasing one item increases the likelihood that the other item will be purchased.</w:t>
      </w:r>
      <w:r w:rsidR="007F2FC8">
        <w:t xml:space="preserve"> If below 1.0, lift indicates the two items are more likely to be purchased in place of one another rather than together</w:t>
      </w:r>
      <w:sdt>
        <w:sdtPr>
          <w:id w:val="1610927209"/>
          <w:citation/>
        </w:sdtPr>
        <w:sdtEndPr/>
        <w:sdtContent>
          <w:r w:rsidR="00E82D79">
            <w:fldChar w:fldCharType="begin"/>
          </w:r>
          <w:r w:rsidR="00E82D79">
            <w:instrText xml:space="preserve"> CITATION Sma22 \l 1033 </w:instrText>
          </w:r>
          <w:r w:rsidR="00E82D79">
            <w:fldChar w:fldCharType="separate"/>
          </w:r>
          <w:r w:rsidR="00D71DC9">
            <w:rPr>
              <w:noProof/>
            </w:rPr>
            <w:t xml:space="preserve"> (Smartbridge, 2022)</w:t>
          </w:r>
          <w:r w:rsidR="00E82D79">
            <w:fldChar w:fldCharType="end"/>
          </w:r>
        </w:sdtContent>
      </w:sdt>
      <w:r w:rsidR="007F2FC8">
        <w:t xml:space="preserve">. </w:t>
      </w:r>
      <w:r w:rsidR="00CE0A5E">
        <w:t xml:space="preserve">The lift range for the top three rules from this analysis indicate that </w:t>
      </w:r>
      <w:r w:rsidR="002775ED">
        <w:t xml:space="preserve">being prescribed the antecedent medications makes a patient </w:t>
      </w:r>
      <w:r w:rsidR="004E26CD">
        <w:t>about twice as</w:t>
      </w:r>
      <w:r w:rsidR="00B638D0">
        <w:t xml:space="preserve"> likely </w:t>
      </w:r>
      <w:r w:rsidR="002775ED">
        <w:t xml:space="preserve">to be prescribed the consequent medication than </w:t>
      </w:r>
      <w:r w:rsidR="00B638D0">
        <w:t xml:space="preserve">if the two were prescribed separately. </w:t>
      </w:r>
    </w:p>
    <w:p w14:paraId="2DF625B6" w14:textId="722F8CE3" w:rsidR="00E337FB" w:rsidRPr="00057B64" w:rsidRDefault="00E337FB" w:rsidP="009257FF">
      <w:r>
        <w:t>The confidence metric for the top three association rules ranged from</w:t>
      </w:r>
      <w:r w:rsidR="006D033B">
        <w:t xml:space="preserve"> </w:t>
      </w:r>
      <w:r w:rsidR="00CA3236" w:rsidRPr="00CA3236">
        <w:t>0.601626</w:t>
      </w:r>
      <w:r w:rsidR="00CA3236">
        <w:t xml:space="preserve"> </w:t>
      </w:r>
      <w:r w:rsidR="006D033B">
        <w:t xml:space="preserve">to </w:t>
      </w:r>
      <w:r w:rsidR="00C044D2" w:rsidRPr="00C044D2">
        <w:t>0.612565</w:t>
      </w:r>
      <w:r w:rsidR="006D033B">
        <w:t>.</w:t>
      </w:r>
      <w:r w:rsidR="00777E5C">
        <w:t xml:space="preserve"> Confidence is </w:t>
      </w:r>
      <w:r w:rsidR="007E15B7">
        <w:t>the probability that the consequent will occur conditional on the antecedent</w:t>
      </w:r>
      <w:sdt>
        <w:sdtPr>
          <w:id w:val="-1548907179"/>
          <w:citation/>
        </w:sdtPr>
        <w:sdtEndPr/>
        <w:sdtContent>
          <w:r w:rsidR="001F6D86">
            <w:fldChar w:fldCharType="begin"/>
          </w:r>
          <w:r w:rsidR="001F6D86">
            <w:instrText xml:space="preserve"> CITATION Wag12 \l 1033 </w:instrText>
          </w:r>
          <w:r w:rsidR="001F6D86">
            <w:fldChar w:fldCharType="separate"/>
          </w:r>
          <w:r w:rsidR="00D71DC9">
            <w:rPr>
              <w:noProof/>
            </w:rPr>
            <w:t xml:space="preserve"> (Kamakura, 2012)</w:t>
          </w:r>
          <w:r w:rsidR="001F6D86">
            <w:fldChar w:fldCharType="end"/>
          </w:r>
        </w:sdtContent>
      </w:sdt>
      <w:r w:rsidR="007E15B7">
        <w:t xml:space="preserve">. </w:t>
      </w:r>
      <w:r w:rsidR="001F6D86">
        <w:t>This means that there is a 60.16% to 61.26% chance that the consequent will occur given the antecedent for the top three association rules.</w:t>
      </w:r>
    </w:p>
    <w:p w14:paraId="0F3222F9" w14:textId="64297B7E" w:rsidR="006772C2" w:rsidRDefault="006772C2" w:rsidP="006772C2">
      <w:pPr>
        <w:pStyle w:val="Heading2"/>
      </w:pPr>
      <w:r>
        <w:t xml:space="preserve">D2: </w:t>
      </w:r>
      <w:r w:rsidR="00C44435">
        <w:t>Practical Significance of Findings</w:t>
      </w:r>
    </w:p>
    <w:p w14:paraId="4815A183" w14:textId="79DE0A7C" w:rsidR="00157D0A" w:rsidRDefault="00AC5A0E" w:rsidP="00AC5A0E">
      <w:pPr>
        <w:rPr>
          <w:shd w:val="clear" w:color="auto" w:fill="FFFFFF"/>
        </w:rPr>
      </w:pPr>
      <w:r>
        <w:rPr>
          <w:shd w:val="clear" w:color="auto" w:fill="FFFFFF"/>
        </w:rPr>
        <w:t xml:space="preserve">All </w:t>
      </w:r>
      <w:r w:rsidR="003D14DA">
        <w:rPr>
          <w:shd w:val="clear" w:color="auto" w:fill="FFFFFF"/>
        </w:rPr>
        <w:t xml:space="preserve">of the filtered rules have a </w:t>
      </w:r>
      <w:proofErr w:type="gramStart"/>
      <w:r w:rsidR="003D14DA">
        <w:rPr>
          <w:shd w:val="clear" w:color="auto" w:fill="FFFFFF"/>
        </w:rPr>
        <w:t>consequent</w:t>
      </w:r>
      <w:proofErr w:type="gramEnd"/>
      <w:r w:rsidR="003D14DA">
        <w:rPr>
          <w:shd w:val="clear" w:color="auto" w:fill="FFFFFF"/>
        </w:rPr>
        <w:t xml:space="preserve"> of Beta Blockers. </w:t>
      </w:r>
      <w:r w:rsidR="00DF522F">
        <w:rPr>
          <w:shd w:val="clear" w:color="auto" w:fill="FFFFFF"/>
        </w:rPr>
        <w:t xml:space="preserve">The top three rules have antecedents which include Diuretics, ACE Inhibitors, SSRIs, and </w:t>
      </w:r>
      <w:r w:rsidR="00453D9D">
        <w:rPr>
          <w:shd w:val="clear" w:color="auto" w:fill="FFFFFF"/>
        </w:rPr>
        <w:t xml:space="preserve">Statins. </w:t>
      </w:r>
      <w:r w:rsidR="006D4CF1">
        <w:rPr>
          <w:shd w:val="clear" w:color="auto" w:fill="FFFFFF"/>
        </w:rPr>
        <w:t xml:space="preserve">Beta blockers, diuretics, </w:t>
      </w:r>
      <w:r w:rsidR="00326ADE">
        <w:rPr>
          <w:shd w:val="clear" w:color="auto" w:fill="FFFFFF"/>
        </w:rPr>
        <w:t xml:space="preserve">and </w:t>
      </w:r>
      <w:r w:rsidR="00983188">
        <w:rPr>
          <w:shd w:val="clear" w:color="auto" w:fill="FFFFFF"/>
        </w:rPr>
        <w:t>a</w:t>
      </w:r>
      <w:r w:rsidR="00806362">
        <w:rPr>
          <w:shd w:val="clear" w:color="auto" w:fill="FFFFFF"/>
        </w:rPr>
        <w:t>ngiotensin-converting enzyme</w:t>
      </w:r>
      <w:r w:rsidR="00983188">
        <w:rPr>
          <w:shd w:val="clear" w:color="auto" w:fill="FFFFFF"/>
        </w:rPr>
        <w:t xml:space="preserve"> inhibitors (</w:t>
      </w:r>
      <w:r w:rsidR="00326ADE">
        <w:rPr>
          <w:shd w:val="clear" w:color="auto" w:fill="FFFFFF"/>
        </w:rPr>
        <w:t>ACE Inhibitors</w:t>
      </w:r>
      <w:r w:rsidR="00983188">
        <w:rPr>
          <w:shd w:val="clear" w:color="auto" w:fill="FFFFFF"/>
        </w:rPr>
        <w:t>)</w:t>
      </w:r>
      <w:r w:rsidR="00326ADE">
        <w:rPr>
          <w:shd w:val="clear" w:color="auto" w:fill="FFFFFF"/>
        </w:rPr>
        <w:t xml:space="preserve"> are all considered Antihypertensive</w:t>
      </w:r>
      <w:r w:rsidR="004043A8">
        <w:rPr>
          <w:shd w:val="clear" w:color="auto" w:fill="FFFFFF"/>
        </w:rPr>
        <w:t xml:space="preserve"> combinations, which are used to treat high blood pressure</w:t>
      </w:r>
      <w:sdt>
        <w:sdtPr>
          <w:rPr>
            <w:shd w:val="clear" w:color="auto" w:fill="FFFFFF"/>
          </w:rPr>
          <w:id w:val="-1329434801"/>
          <w:citation/>
        </w:sdtPr>
        <w:sdtEndPr/>
        <w:sdtContent>
          <w:r w:rsidR="003D7B75">
            <w:rPr>
              <w:shd w:val="clear" w:color="auto" w:fill="FFFFFF"/>
            </w:rPr>
            <w:fldChar w:fldCharType="begin"/>
          </w:r>
          <w:r w:rsidR="00924D37">
            <w:rPr>
              <w:shd w:val="clear" w:color="auto" w:fill="FFFFFF"/>
            </w:rPr>
            <w:instrText xml:space="preserve">CITATION Dru223 \n  \l 1033 </w:instrText>
          </w:r>
          <w:r w:rsidR="003D7B75">
            <w:rPr>
              <w:shd w:val="clear" w:color="auto" w:fill="FFFFFF"/>
            </w:rPr>
            <w:fldChar w:fldCharType="separate"/>
          </w:r>
          <w:r w:rsidR="00D71DC9">
            <w:rPr>
              <w:noProof/>
              <w:shd w:val="clear" w:color="auto" w:fill="FFFFFF"/>
            </w:rPr>
            <w:t xml:space="preserve"> </w:t>
          </w:r>
          <w:r w:rsidR="00D71DC9" w:rsidRPr="00D71DC9">
            <w:rPr>
              <w:noProof/>
              <w:shd w:val="clear" w:color="auto" w:fill="FFFFFF"/>
            </w:rPr>
            <w:t>(List of Antihypertensive combinations - Generics Only, 2022)</w:t>
          </w:r>
          <w:r w:rsidR="003D7B75">
            <w:rPr>
              <w:shd w:val="clear" w:color="auto" w:fill="FFFFFF"/>
            </w:rPr>
            <w:fldChar w:fldCharType="end"/>
          </w:r>
        </w:sdtContent>
      </w:sdt>
      <w:r w:rsidR="004043A8">
        <w:rPr>
          <w:shd w:val="clear" w:color="auto" w:fill="FFFFFF"/>
        </w:rPr>
        <w:t>.</w:t>
      </w:r>
      <w:r w:rsidR="00924D37">
        <w:rPr>
          <w:shd w:val="clear" w:color="auto" w:fill="FFFFFF"/>
        </w:rPr>
        <w:t xml:space="preserve"> </w:t>
      </w:r>
      <w:r w:rsidR="00983188">
        <w:rPr>
          <w:shd w:val="clear" w:color="auto" w:fill="FFFFFF"/>
        </w:rPr>
        <w:t>Selective serotonin reuptake inhibitors</w:t>
      </w:r>
      <w:r w:rsidR="00725124">
        <w:rPr>
          <w:shd w:val="clear" w:color="auto" w:fill="FFFFFF"/>
        </w:rPr>
        <w:t xml:space="preserve"> (SSRIs) are antidepressants that are used to treat depression and anxiety</w:t>
      </w:r>
      <w:sdt>
        <w:sdtPr>
          <w:rPr>
            <w:shd w:val="clear" w:color="auto" w:fill="FFFFFF"/>
          </w:rPr>
          <w:id w:val="753872892"/>
          <w:citation/>
        </w:sdtPr>
        <w:sdtEndPr/>
        <w:sdtContent>
          <w:r w:rsidR="00725124">
            <w:rPr>
              <w:shd w:val="clear" w:color="auto" w:fill="FFFFFF"/>
            </w:rPr>
            <w:fldChar w:fldCharType="begin"/>
          </w:r>
          <w:r w:rsidR="00725124">
            <w:rPr>
              <w:shd w:val="clear" w:color="auto" w:fill="FFFFFF"/>
            </w:rPr>
            <w:instrText xml:space="preserve"> CITATION Car221 \l 1033 </w:instrText>
          </w:r>
          <w:r w:rsidR="00725124">
            <w:rPr>
              <w:shd w:val="clear" w:color="auto" w:fill="FFFFFF"/>
            </w:rPr>
            <w:fldChar w:fldCharType="separate"/>
          </w:r>
          <w:r w:rsidR="00D71DC9">
            <w:rPr>
              <w:noProof/>
              <w:shd w:val="clear" w:color="auto" w:fill="FFFFFF"/>
            </w:rPr>
            <w:t xml:space="preserve"> </w:t>
          </w:r>
          <w:r w:rsidR="00D71DC9" w:rsidRPr="00D71DC9">
            <w:rPr>
              <w:noProof/>
              <w:shd w:val="clear" w:color="auto" w:fill="FFFFFF"/>
            </w:rPr>
            <w:t>(Fookes, List of Common SSRIs + Uses &amp; Side Effects, 2022)</w:t>
          </w:r>
          <w:r w:rsidR="00725124">
            <w:rPr>
              <w:shd w:val="clear" w:color="auto" w:fill="FFFFFF"/>
            </w:rPr>
            <w:fldChar w:fldCharType="end"/>
          </w:r>
        </w:sdtContent>
      </w:sdt>
      <w:r w:rsidR="00725124">
        <w:rPr>
          <w:shd w:val="clear" w:color="auto" w:fill="FFFFFF"/>
        </w:rPr>
        <w:t>.</w:t>
      </w:r>
      <w:r w:rsidR="00791533">
        <w:rPr>
          <w:shd w:val="clear" w:color="auto" w:fill="FFFFFF"/>
        </w:rPr>
        <w:t xml:space="preserve"> Statins are used </w:t>
      </w:r>
      <w:r w:rsidR="00F20EE4">
        <w:rPr>
          <w:shd w:val="clear" w:color="auto" w:fill="FFFFFF"/>
        </w:rPr>
        <w:t>to reduce LDL-cholesterol</w:t>
      </w:r>
      <w:sdt>
        <w:sdtPr>
          <w:rPr>
            <w:shd w:val="clear" w:color="auto" w:fill="FFFFFF"/>
          </w:rPr>
          <w:id w:val="-761999592"/>
          <w:citation/>
        </w:sdtPr>
        <w:sdtEndPr/>
        <w:sdtContent>
          <w:r w:rsidR="003E5F28">
            <w:rPr>
              <w:shd w:val="clear" w:color="auto" w:fill="FFFFFF"/>
            </w:rPr>
            <w:fldChar w:fldCharType="begin"/>
          </w:r>
          <w:r w:rsidR="003E5275">
            <w:rPr>
              <w:shd w:val="clear" w:color="auto" w:fill="FFFFFF"/>
            </w:rPr>
            <w:instrText xml:space="preserve">CITATION Car222 \n  \l 1033 </w:instrText>
          </w:r>
          <w:r w:rsidR="003E5F28">
            <w:rPr>
              <w:shd w:val="clear" w:color="auto" w:fill="FFFFFF"/>
            </w:rPr>
            <w:fldChar w:fldCharType="separate"/>
          </w:r>
          <w:r w:rsidR="00D71DC9">
            <w:rPr>
              <w:noProof/>
              <w:shd w:val="clear" w:color="auto" w:fill="FFFFFF"/>
            </w:rPr>
            <w:t xml:space="preserve"> </w:t>
          </w:r>
          <w:r w:rsidR="00D71DC9" w:rsidRPr="00D71DC9">
            <w:rPr>
              <w:noProof/>
              <w:shd w:val="clear" w:color="auto" w:fill="FFFFFF"/>
            </w:rPr>
            <w:t>(List of Statins + Uses, Types &amp; Side Effects, 2022)</w:t>
          </w:r>
          <w:r w:rsidR="003E5F28">
            <w:rPr>
              <w:shd w:val="clear" w:color="auto" w:fill="FFFFFF"/>
            </w:rPr>
            <w:fldChar w:fldCharType="end"/>
          </w:r>
        </w:sdtContent>
      </w:sdt>
      <w:r w:rsidR="003E5F28">
        <w:rPr>
          <w:shd w:val="clear" w:color="auto" w:fill="FFFFFF"/>
        </w:rPr>
        <w:t>.</w:t>
      </w:r>
      <w:r w:rsidR="007A5CD4">
        <w:rPr>
          <w:shd w:val="clear" w:color="auto" w:fill="FFFFFF"/>
        </w:rPr>
        <w:t xml:space="preserve"> </w:t>
      </w:r>
    </w:p>
    <w:p w14:paraId="348713FB" w14:textId="13F7BF75" w:rsidR="00AC5A0E" w:rsidRPr="00AC5A0E" w:rsidRDefault="007A5CD4" w:rsidP="00AC5A0E">
      <w:pPr>
        <w:rPr>
          <w:shd w:val="clear" w:color="auto" w:fill="FFFFFF"/>
        </w:rPr>
      </w:pPr>
      <w:r>
        <w:rPr>
          <w:shd w:val="clear" w:color="auto" w:fill="FFFFFF"/>
        </w:rPr>
        <w:t xml:space="preserve">The top three association rules indicate that being prescribed a combination of diuretics and ACE inhibitors, SSRIs and ACE inhibitors, or Statins and ACE inhibitors </w:t>
      </w:r>
      <w:r w:rsidR="00157D0A">
        <w:rPr>
          <w:shd w:val="clear" w:color="auto" w:fill="FFFFFF"/>
        </w:rPr>
        <w:t>makes a patient more likely to be prescribed a beta blocker</w:t>
      </w:r>
      <w:r w:rsidR="0039162F">
        <w:rPr>
          <w:shd w:val="clear" w:color="auto" w:fill="FFFFFF"/>
        </w:rPr>
        <w:t xml:space="preserve">. That is a lot of information, so let’s unpack them one by one. </w:t>
      </w:r>
      <w:r w:rsidR="008C3656">
        <w:rPr>
          <w:shd w:val="clear" w:color="auto" w:fill="FFFFFF"/>
        </w:rPr>
        <w:t>In</w:t>
      </w:r>
      <w:r w:rsidR="00655E9F">
        <w:rPr>
          <w:shd w:val="clear" w:color="auto" w:fill="FFFFFF"/>
        </w:rPr>
        <w:t xml:space="preserve"> the first rule, IF {Diuretics and ACE Inhibitors} THEN {Beta Blockers}</w:t>
      </w:r>
      <w:r w:rsidR="008C3656">
        <w:rPr>
          <w:shd w:val="clear" w:color="auto" w:fill="FFFFFF"/>
        </w:rPr>
        <w:t>, diuretics, ACE inhibitors, and beta blockers are all used to treat hypertension</w:t>
      </w:r>
      <w:r w:rsidR="00494A2E">
        <w:rPr>
          <w:shd w:val="clear" w:color="auto" w:fill="FFFFFF"/>
        </w:rPr>
        <w:t>. T</w:t>
      </w:r>
      <w:r w:rsidR="008C3656">
        <w:rPr>
          <w:shd w:val="clear" w:color="auto" w:fill="FFFFFF"/>
        </w:rPr>
        <w:t xml:space="preserve">his rule </w:t>
      </w:r>
      <w:r w:rsidR="006173BD">
        <w:rPr>
          <w:shd w:val="clear" w:color="auto" w:fill="FFFFFF"/>
        </w:rPr>
        <w:t xml:space="preserve">follows intuition. </w:t>
      </w:r>
      <w:r w:rsidR="00BB4078">
        <w:rPr>
          <w:shd w:val="clear" w:color="auto" w:fill="FFFFFF"/>
        </w:rPr>
        <w:t>In t</w:t>
      </w:r>
      <w:r w:rsidR="006173BD">
        <w:rPr>
          <w:shd w:val="clear" w:color="auto" w:fill="FFFFFF"/>
        </w:rPr>
        <w:t>he second rule, IF {SSRIs and ACE Inhibitors} THEN {Beta Blockers}</w:t>
      </w:r>
      <w:r w:rsidR="00BB4078">
        <w:rPr>
          <w:shd w:val="clear" w:color="auto" w:fill="FFFFFF"/>
        </w:rPr>
        <w:t>,</w:t>
      </w:r>
      <w:r w:rsidR="00603BFA">
        <w:rPr>
          <w:shd w:val="clear" w:color="auto" w:fill="FFFFFF"/>
        </w:rPr>
        <w:t xml:space="preserve"> </w:t>
      </w:r>
      <w:r w:rsidR="001866B7">
        <w:rPr>
          <w:shd w:val="clear" w:color="auto" w:fill="FFFFFF"/>
        </w:rPr>
        <w:t xml:space="preserve">both ACE inhibitors and beta blockers are used to treat hypertension, but SSRIs are used to treat anxiety and depression. This combination is not </w:t>
      </w:r>
      <w:r w:rsidR="00A016CF">
        <w:rPr>
          <w:shd w:val="clear" w:color="auto" w:fill="FFFFFF"/>
        </w:rPr>
        <w:t>as intuitive. It could imply that high anxiety or depression is associated with</w:t>
      </w:r>
      <w:r w:rsidR="00397AB8">
        <w:rPr>
          <w:shd w:val="clear" w:color="auto" w:fill="FFFFFF"/>
        </w:rPr>
        <w:t xml:space="preserve"> </w:t>
      </w:r>
      <w:r w:rsidR="009B2AF6">
        <w:rPr>
          <w:shd w:val="clear" w:color="auto" w:fill="FFFFFF"/>
        </w:rPr>
        <w:t>hypertension but</w:t>
      </w:r>
      <w:r w:rsidR="00177975">
        <w:rPr>
          <w:shd w:val="clear" w:color="auto" w:fill="FFFFFF"/>
        </w:rPr>
        <w:t xml:space="preserve"> requires further analysis to tease out. In the third rule, IF {</w:t>
      </w:r>
      <w:r w:rsidR="004A254A">
        <w:rPr>
          <w:shd w:val="clear" w:color="auto" w:fill="FFFFFF"/>
        </w:rPr>
        <w:t xml:space="preserve">Statins and ACE Inhibitors} THEN {Beta Blockers}, </w:t>
      </w:r>
      <w:r w:rsidR="00BD0401">
        <w:rPr>
          <w:shd w:val="clear" w:color="auto" w:fill="FFFFFF"/>
        </w:rPr>
        <w:t xml:space="preserve">pairing </w:t>
      </w:r>
      <w:r w:rsidR="00506BA7">
        <w:rPr>
          <w:shd w:val="clear" w:color="auto" w:fill="FFFFFF"/>
        </w:rPr>
        <w:t>ACE inhibitors and beta blockers again makes sense</w:t>
      </w:r>
      <w:r w:rsidR="009011A4">
        <w:rPr>
          <w:shd w:val="clear" w:color="auto" w:fill="FFFFFF"/>
        </w:rPr>
        <w:t>, but statins are used to reduce LDL-</w:t>
      </w:r>
      <w:r w:rsidR="009B2AF6">
        <w:rPr>
          <w:shd w:val="clear" w:color="auto" w:fill="FFFFFF"/>
        </w:rPr>
        <w:t>cholesterol</w:t>
      </w:r>
      <w:r w:rsidR="009011A4">
        <w:rPr>
          <w:shd w:val="clear" w:color="auto" w:fill="FFFFFF"/>
        </w:rPr>
        <w:t xml:space="preserve">. At first glance, this relationship does not appear intuitive, but it is. Both hypertension and </w:t>
      </w:r>
      <w:r w:rsidR="009002A3">
        <w:rPr>
          <w:shd w:val="clear" w:color="auto" w:fill="FFFFFF"/>
        </w:rPr>
        <w:t xml:space="preserve">high LDL-cholesterol are known to increase a patient’s chances of heart </w:t>
      </w:r>
      <w:r w:rsidR="006D4A60">
        <w:rPr>
          <w:shd w:val="clear" w:color="auto" w:fill="FFFFFF"/>
        </w:rPr>
        <w:t xml:space="preserve">attack and stroke. If a more systemic approach is being taken with a patient’s </w:t>
      </w:r>
      <w:r w:rsidR="00FE3A27">
        <w:rPr>
          <w:shd w:val="clear" w:color="auto" w:fill="FFFFFF"/>
        </w:rPr>
        <w:lastRenderedPageBreak/>
        <w:t>treatment</w:t>
      </w:r>
      <w:r w:rsidR="006D4A60">
        <w:rPr>
          <w:shd w:val="clear" w:color="auto" w:fill="FFFFFF"/>
        </w:rPr>
        <w:t xml:space="preserve">, it would make sense to use medications that treat multiple </w:t>
      </w:r>
      <w:r w:rsidR="00027D61">
        <w:rPr>
          <w:shd w:val="clear" w:color="auto" w:fill="FFFFFF"/>
        </w:rPr>
        <w:t>conditions which could increase their risk.</w:t>
      </w:r>
    </w:p>
    <w:p w14:paraId="5D47D14A" w14:textId="12DA7E94" w:rsidR="006772C2" w:rsidRDefault="006772C2" w:rsidP="006772C2">
      <w:pPr>
        <w:pStyle w:val="Heading2"/>
      </w:pPr>
      <w:r>
        <w:t xml:space="preserve">D3: </w:t>
      </w:r>
      <w:r w:rsidR="006B6BE0">
        <w:t>Course of Action</w:t>
      </w:r>
    </w:p>
    <w:p w14:paraId="4969D033" w14:textId="6F644707" w:rsidR="009257FF" w:rsidRDefault="00654143" w:rsidP="009257FF">
      <w:pPr>
        <w:rPr>
          <w:shd w:val="clear" w:color="auto" w:fill="FFFFFF"/>
        </w:rPr>
      </w:pPr>
      <w:r>
        <w:rPr>
          <w:shd w:val="clear" w:color="auto" w:fill="FFFFFF"/>
        </w:rPr>
        <w:t>Th</w:t>
      </w:r>
      <w:r w:rsidR="00E550D2">
        <w:rPr>
          <w:shd w:val="clear" w:color="auto" w:fill="FFFFFF"/>
        </w:rPr>
        <w:t xml:space="preserve">is analysis aimed to identify the common prescribing trends across the hospital chain. </w:t>
      </w:r>
      <w:r w:rsidR="00CD34E5">
        <w:rPr>
          <w:shd w:val="clear" w:color="auto" w:fill="FFFFFF"/>
        </w:rPr>
        <w:t xml:space="preserve">According to the results, those trends </w:t>
      </w:r>
      <w:r w:rsidR="00CA373E">
        <w:rPr>
          <w:shd w:val="clear" w:color="auto" w:fill="FFFFFF"/>
        </w:rPr>
        <w:t>include treatments for hypertension, high cholesterol, anxiety, and depression</w:t>
      </w:r>
      <w:r w:rsidR="002A2653">
        <w:rPr>
          <w:shd w:val="clear" w:color="auto" w:fill="FFFFFF"/>
        </w:rPr>
        <w:t xml:space="preserve">. </w:t>
      </w:r>
      <w:r w:rsidR="00457C02">
        <w:rPr>
          <w:shd w:val="clear" w:color="auto" w:fill="FFFFFF"/>
        </w:rPr>
        <w:t>The course of action moving forward includes two steps. First, more data is needed. Market basket analysis relies heavily on large amounts of data</w:t>
      </w:r>
      <w:r w:rsidR="00944CF1">
        <w:rPr>
          <w:shd w:val="clear" w:color="auto" w:fill="FFFFFF"/>
        </w:rPr>
        <w:t xml:space="preserve">. Unfortunately, </w:t>
      </w:r>
      <w:r w:rsidR="006F173B">
        <w:rPr>
          <w:shd w:val="clear" w:color="auto" w:fill="FFFFFF"/>
        </w:rPr>
        <w:t>7,500</w:t>
      </w:r>
      <w:r w:rsidR="00944CF1">
        <w:rPr>
          <w:shd w:val="clear" w:color="auto" w:fill="FFFFFF"/>
        </w:rPr>
        <w:t xml:space="preserve"> </w:t>
      </w:r>
      <w:r w:rsidR="00EA0B35">
        <w:rPr>
          <w:shd w:val="clear" w:color="auto" w:fill="FFFFFF"/>
        </w:rPr>
        <w:t xml:space="preserve">patients </w:t>
      </w:r>
      <w:r w:rsidR="00C1419A">
        <w:rPr>
          <w:shd w:val="clear" w:color="auto" w:fill="FFFFFF"/>
        </w:rPr>
        <w:t>are</w:t>
      </w:r>
      <w:r w:rsidR="00EA0B35">
        <w:rPr>
          <w:shd w:val="clear" w:color="auto" w:fill="FFFFFF"/>
        </w:rPr>
        <w:t xml:space="preserve"> a small</w:t>
      </w:r>
      <w:r w:rsidR="00540BD4">
        <w:rPr>
          <w:shd w:val="clear" w:color="auto" w:fill="FFFFFF"/>
        </w:rPr>
        <w:t xml:space="preserve"> sample</w:t>
      </w:r>
      <w:r w:rsidR="00CD2CA6">
        <w:rPr>
          <w:shd w:val="clear" w:color="auto" w:fill="FFFFFF"/>
        </w:rPr>
        <w:t xml:space="preserve">, especially considering the chain is national. Once the additional data has been acquired, this analysis should be </w:t>
      </w:r>
      <w:r w:rsidR="00540BD4">
        <w:rPr>
          <w:shd w:val="clear" w:color="auto" w:fill="FFFFFF"/>
        </w:rPr>
        <w:t>performed on that data</w:t>
      </w:r>
      <w:r w:rsidR="00CD2CA6">
        <w:rPr>
          <w:shd w:val="clear" w:color="auto" w:fill="FFFFFF"/>
        </w:rPr>
        <w:t xml:space="preserve"> to </w:t>
      </w:r>
      <w:r w:rsidR="009974C4">
        <w:rPr>
          <w:shd w:val="clear" w:color="auto" w:fill="FFFFFF"/>
        </w:rPr>
        <w:t xml:space="preserve">determine whether the same trends exist in the larger sample. If they do, the subset being treated for the identified conditions should be </w:t>
      </w:r>
      <w:r w:rsidR="00057170">
        <w:rPr>
          <w:shd w:val="clear" w:color="auto" w:fill="FFFFFF"/>
        </w:rPr>
        <w:t>investigated further</w:t>
      </w:r>
      <w:r w:rsidR="004634A2">
        <w:rPr>
          <w:shd w:val="clear" w:color="auto" w:fill="FFFFFF"/>
        </w:rPr>
        <w:t xml:space="preserve"> to determine if any undesirable drug-drug interactions are occurring.</w:t>
      </w:r>
      <w:r w:rsidR="00FA711A">
        <w:rPr>
          <w:shd w:val="clear" w:color="auto" w:fill="FFFFFF"/>
        </w:rPr>
        <w:t xml:space="preserve"> </w:t>
      </w:r>
      <w:r w:rsidR="00BF4801">
        <w:rPr>
          <w:shd w:val="clear" w:color="auto" w:fill="FFFFFF"/>
        </w:rPr>
        <w:t>Focusing</w:t>
      </w:r>
      <w:r w:rsidR="00FA711A">
        <w:rPr>
          <w:shd w:val="clear" w:color="auto" w:fill="FFFFFF"/>
        </w:rPr>
        <w:t xml:space="preserve"> on this population could ultimately lead to a reduction in overall readmission rates</w:t>
      </w:r>
      <w:r w:rsidR="00BF4801">
        <w:rPr>
          <w:shd w:val="clear" w:color="auto" w:fill="FFFFFF"/>
        </w:rPr>
        <w:t>.</w:t>
      </w:r>
      <w:r w:rsidR="004634A2">
        <w:rPr>
          <w:shd w:val="clear" w:color="auto" w:fill="FFFFFF"/>
        </w:rPr>
        <w:t xml:space="preserve"> </w:t>
      </w:r>
    </w:p>
    <w:p w14:paraId="5D4B49D0" w14:textId="1F7A7F0B" w:rsidR="00526AB8" w:rsidRDefault="00526AB8" w:rsidP="00526AB8">
      <w:pPr>
        <w:pStyle w:val="Heading1"/>
      </w:pPr>
      <w:r>
        <w:t>Part V: Attachments</w:t>
      </w:r>
    </w:p>
    <w:p w14:paraId="790039AD" w14:textId="630A661C" w:rsidR="00526AB8" w:rsidRDefault="00526AB8" w:rsidP="00526AB8">
      <w:pPr>
        <w:pStyle w:val="Heading2"/>
      </w:pPr>
      <w:r>
        <w:t xml:space="preserve">E. </w:t>
      </w:r>
      <w:r w:rsidR="008920F3">
        <w:t>Panopto Recording</w:t>
      </w:r>
    </w:p>
    <w:p w14:paraId="48A2A411" w14:textId="4271DD95" w:rsidR="00351343" w:rsidRPr="003A2A7F" w:rsidRDefault="00351343" w:rsidP="00351343">
      <w:r>
        <w:t xml:space="preserve">The Panopto </w:t>
      </w:r>
      <w:r w:rsidR="00BF530C">
        <w:t>video recording</w:t>
      </w:r>
      <w:r>
        <w:t xml:space="preserve"> demonstrating functionality of the </w:t>
      </w:r>
      <w:r w:rsidR="006B352B">
        <w:t xml:space="preserve">code used for the analysis and a summary of the programming environment </w:t>
      </w:r>
      <w:r w:rsidR="0024072C">
        <w:t>has been included with this submission as “task3_recording”.</w:t>
      </w:r>
    </w:p>
    <w:sdt>
      <w:sdtPr>
        <w:rPr>
          <w:rFonts w:eastAsiaTheme="minorHAnsi" w:cstheme="minorBidi"/>
          <w:b w:val="0"/>
          <w:szCs w:val="22"/>
        </w:rPr>
        <w:id w:val="1318609181"/>
        <w:docPartObj>
          <w:docPartGallery w:val="Bibliographies"/>
          <w:docPartUnique/>
        </w:docPartObj>
      </w:sdtPr>
      <w:sdtEndPr/>
      <w:sdtContent>
        <w:p w14:paraId="76086CEB" w14:textId="77777777" w:rsidR="00C2261A" w:rsidRDefault="00C2261A" w:rsidP="00C2261A">
          <w:pPr>
            <w:pStyle w:val="Heading2"/>
          </w:pPr>
          <w:r>
            <w:t>F. Web Sources</w:t>
          </w:r>
        </w:p>
        <w:sdt>
          <w:sdtPr>
            <w:id w:val="-92779577"/>
            <w:bibliography/>
          </w:sdtPr>
          <w:sdtEndPr/>
          <w:sdtContent>
            <w:p w14:paraId="63FE2131" w14:textId="1C51B3AC" w:rsidR="00C2261A" w:rsidRPr="00351343" w:rsidRDefault="00C2261A" w:rsidP="009220DB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71DC9">
                <w:rPr>
                  <w:noProof/>
                </w:rPr>
                <w:t xml:space="preserve">Drugs.com. (2022). </w:t>
              </w:r>
              <w:r w:rsidR="00D71DC9">
                <w:rPr>
                  <w:i/>
                  <w:iCs/>
                  <w:noProof/>
                </w:rPr>
                <w:t>Drug Index A to Z</w:t>
              </w:r>
              <w:r w:rsidR="00D71DC9">
                <w:rPr>
                  <w:noProof/>
                </w:rPr>
                <w:t>. Retrieved from Drugs.com: https://www.drugs.com/drug_information.html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530777551"/>
        <w:docPartObj>
          <w:docPartGallery w:val="Bibliographies"/>
          <w:docPartUnique/>
        </w:docPartObj>
      </w:sdtPr>
      <w:sdtEndPr/>
      <w:sdtContent>
        <w:p w14:paraId="493D25BA" w14:textId="77777777" w:rsidR="009220DB" w:rsidRDefault="0049613F" w:rsidP="00D71DC9">
          <w:pPr>
            <w:pStyle w:val="Bibliography"/>
            <w:ind w:left="720" w:hanging="720"/>
          </w:pPr>
          <w:r w:rsidRPr="004F55FC">
            <w:rPr>
              <w:rStyle w:val="Heading2Char"/>
            </w:rPr>
            <w:t>G. Sources</w:t>
          </w:r>
        </w:p>
        <w:sdt>
          <w:sdtPr>
            <w:id w:val="111145805"/>
            <w:bibliography/>
          </w:sdtPr>
          <w:sdtEndPr/>
          <w:sdtContent>
            <w:p w14:paraId="0699BBB9" w14:textId="77777777" w:rsidR="009220DB" w:rsidRDefault="009220DB" w:rsidP="00D71DC9">
              <w:pPr>
                <w:pStyle w:val="Bibliography"/>
                <w:ind w:left="720" w:hanging="720"/>
              </w:pPr>
            </w:p>
            <w:p w14:paraId="2A5D4D08" w14:textId="1DECD203" w:rsidR="00D71DC9" w:rsidRDefault="0049613F" w:rsidP="00D71DC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71DC9">
                <w:rPr>
                  <w:noProof/>
                </w:rPr>
                <w:t xml:space="preserve">Drugs.com. (2022). </w:t>
              </w:r>
              <w:r w:rsidR="00D71DC9">
                <w:rPr>
                  <w:i/>
                  <w:iCs/>
                  <w:noProof/>
                </w:rPr>
                <w:t>List of Antihypertensive combinations - Generics Only</w:t>
              </w:r>
              <w:r w:rsidR="00D71DC9">
                <w:rPr>
                  <w:noProof/>
                </w:rPr>
                <w:t>. Retrieved from Drugs.com: https://www.drugs.com/drug-class/antihypertensive-combinations.html</w:t>
              </w:r>
            </w:p>
            <w:p w14:paraId="5860E899" w14:textId="77777777" w:rsidR="00D71DC9" w:rsidRDefault="00D71DC9" w:rsidP="00D7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Fookes, C. (2022, September 30). </w:t>
              </w:r>
              <w:r>
                <w:rPr>
                  <w:i/>
                  <w:iCs/>
                  <w:noProof/>
                </w:rPr>
                <w:t>List of Common SSRIs + Uses &amp; Side Effects</w:t>
              </w:r>
              <w:r>
                <w:rPr>
                  <w:noProof/>
                </w:rPr>
                <w:t>. Retrieved from Drugs.com: https://www.drugs.com/drug-class/ssri-antidepressants.html</w:t>
              </w:r>
            </w:p>
            <w:p w14:paraId="18C8145E" w14:textId="77777777" w:rsidR="00D71DC9" w:rsidRDefault="00D71DC9" w:rsidP="00D7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Fookes, C. (2022, September 27). </w:t>
              </w:r>
              <w:r>
                <w:rPr>
                  <w:i/>
                  <w:iCs/>
                  <w:noProof/>
                </w:rPr>
                <w:t>List of Statins + Uses, Types &amp; Side Effects</w:t>
              </w:r>
              <w:r>
                <w:rPr>
                  <w:noProof/>
                </w:rPr>
                <w:t>. Retrieved from Drugs.com: https://www.drugs.com/drug-class/hmg-coa-reductase-inhibitors.html</w:t>
              </w:r>
            </w:p>
            <w:p w14:paraId="4EC22B5F" w14:textId="77777777" w:rsidR="00D71DC9" w:rsidRDefault="00D71DC9" w:rsidP="00D7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Kamakura, W. A. (2012, May 22). </w:t>
              </w:r>
              <w:r>
                <w:rPr>
                  <w:i/>
                  <w:iCs/>
                  <w:noProof/>
                </w:rPr>
                <w:t>Sequential market basket analysis.</w:t>
              </w:r>
              <w:r>
                <w:rPr>
                  <w:noProof/>
                </w:rPr>
                <w:t xml:space="preserve"> Retrieved from SpringerLink: https://doi.org/10.1007/s11002-012-9181-6</w:t>
              </w:r>
            </w:p>
            <w:p w14:paraId="0A06B175" w14:textId="77777777" w:rsidR="00D71DC9" w:rsidRDefault="00D71DC9" w:rsidP="00D7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Moura, C. S., Tavares, L. S., &amp; Acurcio, F. A. (2013, January 28). </w:t>
              </w:r>
              <w:r>
                <w:rPr>
                  <w:i/>
                  <w:iCs/>
                  <w:noProof/>
                </w:rPr>
                <w:t>Hospital readmissions related to drug interactions: a retrospective study in a hospital setting.</w:t>
              </w:r>
              <w:r>
                <w:rPr>
                  <w:noProof/>
                </w:rPr>
                <w:t xml:space="preserve"> Retrieved from National Library of Medicine: https://doi.org/10.1590/s0034-89102013005000001</w:t>
              </w:r>
            </w:p>
            <w:p w14:paraId="3DD29618" w14:textId="77777777" w:rsidR="00D71DC9" w:rsidRDefault="00D71DC9" w:rsidP="00D7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Smartbridge. (2022, March 15). </w:t>
              </w:r>
              <w:r>
                <w:rPr>
                  <w:i/>
                  <w:iCs/>
                  <w:noProof/>
                </w:rPr>
                <w:t>Market Basket Analysis 101: Anticipating Customer Behavior</w:t>
              </w:r>
              <w:r>
                <w:rPr>
                  <w:noProof/>
                </w:rPr>
                <w:t>. Retrieved from Smartbridge: https://smartbridge.com/market-basket-analysis-101/</w:t>
              </w:r>
            </w:p>
            <w:p w14:paraId="52D4E039" w14:textId="77777777" w:rsidR="00D71DC9" w:rsidRDefault="00D71DC9" w:rsidP="00D71D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Sutherland, J. J., Daly, T. M., Liu, X., Goldstein, K., Johnston, J. A., &amp; Ryan, T. P. (2015, March 4). </w:t>
              </w:r>
              <w:r>
                <w:rPr>
                  <w:i/>
                  <w:iCs/>
                  <w:noProof/>
                </w:rPr>
                <w:t>Co-Prescription Trends in a Large Cohort of Subjects Predict Substantial Drug-Drug Interactions.</w:t>
              </w:r>
              <w:r>
                <w:rPr>
                  <w:noProof/>
                </w:rPr>
                <w:t xml:space="preserve"> Retrieved from PLOS ONE: https://doi.org/10.1371/journal.pone.0118991</w:t>
              </w:r>
            </w:p>
            <w:p w14:paraId="155B20EA" w14:textId="60936349" w:rsidR="0049613F" w:rsidRDefault="0049613F" w:rsidP="00D71D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0ACBBE" w14:textId="77777777" w:rsidR="0049613F" w:rsidRPr="005B5686" w:rsidRDefault="0049613F" w:rsidP="005B5686"/>
    <w:sectPr w:rsidR="0049613F" w:rsidRPr="005B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A4244"/>
    <w:multiLevelType w:val="hybridMultilevel"/>
    <w:tmpl w:val="4B2C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648F"/>
    <w:multiLevelType w:val="hybridMultilevel"/>
    <w:tmpl w:val="10EE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93785">
    <w:abstractNumId w:val="0"/>
  </w:num>
  <w:num w:numId="2" w16cid:durableId="76908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zAzMLIwMjQ0MTVU0lEKTi0uzszPAykwrgUA4MLZbCwAAAA="/>
  </w:docVars>
  <w:rsids>
    <w:rsidRoot w:val="008914E8"/>
    <w:rsid w:val="00021863"/>
    <w:rsid w:val="00027BE0"/>
    <w:rsid w:val="00027D61"/>
    <w:rsid w:val="0003577D"/>
    <w:rsid w:val="00057170"/>
    <w:rsid w:val="00057B64"/>
    <w:rsid w:val="00061B3F"/>
    <w:rsid w:val="000663FD"/>
    <w:rsid w:val="00074D60"/>
    <w:rsid w:val="00076BC9"/>
    <w:rsid w:val="000C55B2"/>
    <w:rsid w:val="000D78F9"/>
    <w:rsid w:val="0010523C"/>
    <w:rsid w:val="00147002"/>
    <w:rsid w:val="00147491"/>
    <w:rsid w:val="00151A1F"/>
    <w:rsid w:val="00157D0A"/>
    <w:rsid w:val="00162FF6"/>
    <w:rsid w:val="00177975"/>
    <w:rsid w:val="001866B7"/>
    <w:rsid w:val="00194977"/>
    <w:rsid w:val="001A2080"/>
    <w:rsid w:val="001A41F7"/>
    <w:rsid w:val="001B43FD"/>
    <w:rsid w:val="001B7C1C"/>
    <w:rsid w:val="001C3174"/>
    <w:rsid w:val="001C5370"/>
    <w:rsid w:val="001F5784"/>
    <w:rsid w:val="001F6D86"/>
    <w:rsid w:val="0022011E"/>
    <w:rsid w:val="0023626F"/>
    <w:rsid w:val="0024072C"/>
    <w:rsid w:val="00244763"/>
    <w:rsid w:val="00252471"/>
    <w:rsid w:val="00255268"/>
    <w:rsid w:val="00272D7A"/>
    <w:rsid w:val="002775ED"/>
    <w:rsid w:val="00282295"/>
    <w:rsid w:val="002A2653"/>
    <w:rsid w:val="002A6832"/>
    <w:rsid w:val="002A7C6F"/>
    <w:rsid w:val="002B4BB8"/>
    <w:rsid w:val="002C0755"/>
    <w:rsid w:val="002C2EED"/>
    <w:rsid w:val="002D6C9D"/>
    <w:rsid w:val="002E470A"/>
    <w:rsid w:val="002E482C"/>
    <w:rsid w:val="002E5A4B"/>
    <w:rsid w:val="002F60C6"/>
    <w:rsid w:val="003230E8"/>
    <w:rsid w:val="00326ADE"/>
    <w:rsid w:val="0033094B"/>
    <w:rsid w:val="003328BD"/>
    <w:rsid w:val="00332ACE"/>
    <w:rsid w:val="003335C8"/>
    <w:rsid w:val="00340EE8"/>
    <w:rsid w:val="00341CAF"/>
    <w:rsid w:val="0035097F"/>
    <w:rsid w:val="00351343"/>
    <w:rsid w:val="003528D7"/>
    <w:rsid w:val="00352E75"/>
    <w:rsid w:val="0035479E"/>
    <w:rsid w:val="00375C18"/>
    <w:rsid w:val="00382030"/>
    <w:rsid w:val="00386C4C"/>
    <w:rsid w:val="0039162F"/>
    <w:rsid w:val="00391981"/>
    <w:rsid w:val="00397AB8"/>
    <w:rsid w:val="003A2A7F"/>
    <w:rsid w:val="003B008A"/>
    <w:rsid w:val="003C1F0D"/>
    <w:rsid w:val="003C26D8"/>
    <w:rsid w:val="003C5FCC"/>
    <w:rsid w:val="003C776A"/>
    <w:rsid w:val="003D14DA"/>
    <w:rsid w:val="003D6768"/>
    <w:rsid w:val="003D7B75"/>
    <w:rsid w:val="003E05CC"/>
    <w:rsid w:val="003E5275"/>
    <w:rsid w:val="003E5C00"/>
    <w:rsid w:val="003E5F28"/>
    <w:rsid w:val="004024F6"/>
    <w:rsid w:val="004043A8"/>
    <w:rsid w:val="004108E2"/>
    <w:rsid w:val="00414992"/>
    <w:rsid w:val="004268DD"/>
    <w:rsid w:val="00453D9D"/>
    <w:rsid w:val="0045630A"/>
    <w:rsid w:val="00456327"/>
    <w:rsid w:val="00457C02"/>
    <w:rsid w:val="004634A2"/>
    <w:rsid w:val="004712B1"/>
    <w:rsid w:val="00482185"/>
    <w:rsid w:val="004946E5"/>
    <w:rsid w:val="00494A2E"/>
    <w:rsid w:val="0049613F"/>
    <w:rsid w:val="004A254A"/>
    <w:rsid w:val="004A2EDC"/>
    <w:rsid w:val="004B7B43"/>
    <w:rsid w:val="004E26CD"/>
    <w:rsid w:val="004E6AA6"/>
    <w:rsid w:val="004F4F96"/>
    <w:rsid w:val="004F55FC"/>
    <w:rsid w:val="00506BA7"/>
    <w:rsid w:val="00526AB8"/>
    <w:rsid w:val="00526F06"/>
    <w:rsid w:val="005323D9"/>
    <w:rsid w:val="005340F3"/>
    <w:rsid w:val="00537962"/>
    <w:rsid w:val="00537EF3"/>
    <w:rsid w:val="00540BD4"/>
    <w:rsid w:val="005451D9"/>
    <w:rsid w:val="005662F0"/>
    <w:rsid w:val="005729A7"/>
    <w:rsid w:val="00575932"/>
    <w:rsid w:val="00575D76"/>
    <w:rsid w:val="00582FBF"/>
    <w:rsid w:val="005A13FF"/>
    <w:rsid w:val="005B5686"/>
    <w:rsid w:val="005C1274"/>
    <w:rsid w:val="005C43F9"/>
    <w:rsid w:val="005D0B39"/>
    <w:rsid w:val="005D3FD3"/>
    <w:rsid w:val="005E1338"/>
    <w:rsid w:val="005F4FB6"/>
    <w:rsid w:val="005F5B07"/>
    <w:rsid w:val="00603891"/>
    <w:rsid w:val="00603BFA"/>
    <w:rsid w:val="00606CE0"/>
    <w:rsid w:val="00613627"/>
    <w:rsid w:val="006143F9"/>
    <w:rsid w:val="0061708F"/>
    <w:rsid w:val="006173BD"/>
    <w:rsid w:val="00625A82"/>
    <w:rsid w:val="00626C3F"/>
    <w:rsid w:val="00627F0D"/>
    <w:rsid w:val="00634E11"/>
    <w:rsid w:val="00654143"/>
    <w:rsid w:val="00655E9F"/>
    <w:rsid w:val="006609D3"/>
    <w:rsid w:val="006654E7"/>
    <w:rsid w:val="00671579"/>
    <w:rsid w:val="006772C2"/>
    <w:rsid w:val="00691BEA"/>
    <w:rsid w:val="006B352B"/>
    <w:rsid w:val="006B46B3"/>
    <w:rsid w:val="006B6BE0"/>
    <w:rsid w:val="006C2AE0"/>
    <w:rsid w:val="006D033B"/>
    <w:rsid w:val="006D1B47"/>
    <w:rsid w:val="006D2452"/>
    <w:rsid w:val="006D4A60"/>
    <w:rsid w:val="006D4CF1"/>
    <w:rsid w:val="006D63FC"/>
    <w:rsid w:val="006F173B"/>
    <w:rsid w:val="006F18B3"/>
    <w:rsid w:val="00702C63"/>
    <w:rsid w:val="007220A7"/>
    <w:rsid w:val="00725124"/>
    <w:rsid w:val="00743BC4"/>
    <w:rsid w:val="00751A89"/>
    <w:rsid w:val="00752077"/>
    <w:rsid w:val="00760005"/>
    <w:rsid w:val="00762EFF"/>
    <w:rsid w:val="00763905"/>
    <w:rsid w:val="00774286"/>
    <w:rsid w:val="00777E5C"/>
    <w:rsid w:val="00791533"/>
    <w:rsid w:val="007A5CD4"/>
    <w:rsid w:val="007A641A"/>
    <w:rsid w:val="007C7134"/>
    <w:rsid w:val="007D4C01"/>
    <w:rsid w:val="007E15B7"/>
    <w:rsid w:val="007E6E25"/>
    <w:rsid w:val="007E7742"/>
    <w:rsid w:val="007F2FC8"/>
    <w:rsid w:val="00802E17"/>
    <w:rsid w:val="00806362"/>
    <w:rsid w:val="00846137"/>
    <w:rsid w:val="00880983"/>
    <w:rsid w:val="008850B4"/>
    <w:rsid w:val="008914E8"/>
    <w:rsid w:val="008920F3"/>
    <w:rsid w:val="008946F2"/>
    <w:rsid w:val="008A24D1"/>
    <w:rsid w:val="008A499C"/>
    <w:rsid w:val="008B2828"/>
    <w:rsid w:val="008B3BC9"/>
    <w:rsid w:val="008B48DF"/>
    <w:rsid w:val="008C3656"/>
    <w:rsid w:val="008C71D7"/>
    <w:rsid w:val="008D3874"/>
    <w:rsid w:val="008D5B07"/>
    <w:rsid w:val="008E5408"/>
    <w:rsid w:val="008F1AAB"/>
    <w:rsid w:val="009002A3"/>
    <w:rsid w:val="009011A4"/>
    <w:rsid w:val="00904DDB"/>
    <w:rsid w:val="00906594"/>
    <w:rsid w:val="00912931"/>
    <w:rsid w:val="00914797"/>
    <w:rsid w:val="00914F0E"/>
    <w:rsid w:val="009220DB"/>
    <w:rsid w:val="009224DE"/>
    <w:rsid w:val="00924B89"/>
    <w:rsid w:val="00924D37"/>
    <w:rsid w:val="009257FF"/>
    <w:rsid w:val="00925FE1"/>
    <w:rsid w:val="00944CF1"/>
    <w:rsid w:val="00953E91"/>
    <w:rsid w:val="00954B4F"/>
    <w:rsid w:val="00967E0A"/>
    <w:rsid w:val="00972ECD"/>
    <w:rsid w:val="00973D4D"/>
    <w:rsid w:val="00974382"/>
    <w:rsid w:val="0097636E"/>
    <w:rsid w:val="00980AD3"/>
    <w:rsid w:val="00983188"/>
    <w:rsid w:val="00992A91"/>
    <w:rsid w:val="009974C4"/>
    <w:rsid w:val="009A62B9"/>
    <w:rsid w:val="009B2AF6"/>
    <w:rsid w:val="009B61AD"/>
    <w:rsid w:val="009C17B1"/>
    <w:rsid w:val="009C4734"/>
    <w:rsid w:val="009D0138"/>
    <w:rsid w:val="009D05AF"/>
    <w:rsid w:val="009F4AD2"/>
    <w:rsid w:val="009F7A20"/>
    <w:rsid w:val="00A016CF"/>
    <w:rsid w:val="00A02BC4"/>
    <w:rsid w:val="00A056EA"/>
    <w:rsid w:val="00A0608B"/>
    <w:rsid w:val="00A07E9F"/>
    <w:rsid w:val="00A30E4B"/>
    <w:rsid w:val="00A50D38"/>
    <w:rsid w:val="00A57C8A"/>
    <w:rsid w:val="00A72AB4"/>
    <w:rsid w:val="00A746EB"/>
    <w:rsid w:val="00A77D82"/>
    <w:rsid w:val="00A8753F"/>
    <w:rsid w:val="00A904B4"/>
    <w:rsid w:val="00AA338E"/>
    <w:rsid w:val="00AC5A0E"/>
    <w:rsid w:val="00AD3AC3"/>
    <w:rsid w:val="00AD6A1A"/>
    <w:rsid w:val="00AE03B9"/>
    <w:rsid w:val="00AE1F55"/>
    <w:rsid w:val="00AE216D"/>
    <w:rsid w:val="00AE4C9F"/>
    <w:rsid w:val="00AF6FE0"/>
    <w:rsid w:val="00B27348"/>
    <w:rsid w:val="00B318D8"/>
    <w:rsid w:val="00B42A50"/>
    <w:rsid w:val="00B43ACE"/>
    <w:rsid w:val="00B638D0"/>
    <w:rsid w:val="00B75584"/>
    <w:rsid w:val="00B82DD4"/>
    <w:rsid w:val="00B82FCC"/>
    <w:rsid w:val="00B92864"/>
    <w:rsid w:val="00BA1D61"/>
    <w:rsid w:val="00BB1B4D"/>
    <w:rsid w:val="00BB4078"/>
    <w:rsid w:val="00BB4977"/>
    <w:rsid w:val="00BD0401"/>
    <w:rsid w:val="00BD0E94"/>
    <w:rsid w:val="00BE38EE"/>
    <w:rsid w:val="00BE54C4"/>
    <w:rsid w:val="00BE5B11"/>
    <w:rsid w:val="00BF0CE5"/>
    <w:rsid w:val="00BF4801"/>
    <w:rsid w:val="00BF530C"/>
    <w:rsid w:val="00C044D2"/>
    <w:rsid w:val="00C116B9"/>
    <w:rsid w:val="00C1419A"/>
    <w:rsid w:val="00C15EBD"/>
    <w:rsid w:val="00C16584"/>
    <w:rsid w:val="00C21FF0"/>
    <w:rsid w:val="00C2261A"/>
    <w:rsid w:val="00C22AEB"/>
    <w:rsid w:val="00C234D2"/>
    <w:rsid w:val="00C33DC3"/>
    <w:rsid w:val="00C34BBF"/>
    <w:rsid w:val="00C420A3"/>
    <w:rsid w:val="00C439D8"/>
    <w:rsid w:val="00C43BE6"/>
    <w:rsid w:val="00C44435"/>
    <w:rsid w:val="00C44CFD"/>
    <w:rsid w:val="00C47958"/>
    <w:rsid w:val="00C47B46"/>
    <w:rsid w:val="00C47FC6"/>
    <w:rsid w:val="00C54EFC"/>
    <w:rsid w:val="00C614C6"/>
    <w:rsid w:val="00C7586F"/>
    <w:rsid w:val="00CA3236"/>
    <w:rsid w:val="00CA373E"/>
    <w:rsid w:val="00CA79A1"/>
    <w:rsid w:val="00CB72D4"/>
    <w:rsid w:val="00CC6B17"/>
    <w:rsid w:val="00CD0188"/>
    <w:rsid w:val="00CD2CA6"/>
    <w:rsid w:val="00CD34E5"/>
    <w:rsid w:val="00CD6D3A"/>
    <w:rsid w:val="00CE0A5E"/>
    <w:rsid w:val="00CE0DE0"/>
    <w:rsid w:val="00CE4F64"/>
    <w:rsid w:val="00D00D0B"/>
    <w:rsid w:val="00D17E05"/>
    <w:rsid w:val="00D34E77"/>
    <w:rsid w:val="00D37979"/>
    <w:rsid w:val="00D43D46"/>
    <w:rsid w:val="00D4498D"/>
    <w:rsid w:val="00D533B5"/>
    <w:rsid w:val="00D66D27"/>
    <w:rsid w:val="00D71DC9"/>
    <w:rsid w:val="00D8071B"/>
    <w:rsid w:val="00D928D0"/>
    <w:rsid w:val="00DA2DD4"/>
    <w:rsid w:val="00DC13C0"/>
    <w:rsid w:val="00DC1D12"/>
    <w:rsid w:val="00DF522F"/>
    <w:rsid w:val="00DF5E90"/>
    <w:rsid w:val="00E01D0C"/>
    <w:rsid w:val="00E05F15"/>
    <w:rsid w:val="00E125C4"/>
    <w:rsid w:val="00E337FB"/>
    <w:rsid w:val="00E409C7"/>
    <w:rsid w:val="00E4698C"/>
    <w:rsid w:val="00E550D2"/>
    <w:rsid w:val="00E55713"/>
    <w:rsid w:val="00E61901"/>
    <w:rsid w:val="00E64101"/>
    <w:rsid w:val="00E645FF"/>
    <w:rsid w:val="00E82D79"/>
    <w:rsid w:val="00E94466"/>
    <w:rsid w:val="00EA0B35"/>
    <w:rsid w:val="00EB2584"/>
    <w:rsid w:val="00EB39E9"/>
    <w:rsid w:val="00EB56A9"/>
    <w:rsid w:val="00EE2599"/>
    <w:rsid w:val="00EF07BD"/>
    <w:rsid w:val="00EF266F"/>
    <w:rsid w:val="00EF4956"/>
    <w:rsid w:val="00F10BE4"/>
    <w:rsid w:val="00F1297E"/>
    <w:rsid w:val="00F20EE4"/>
    <w:rsid w:val="00F254C1"/>
    <w:rsid w:val="00F46967"/>
    <w:rsid w:val="00F645F9"/>
    <w:rsid w:val="00F70567"/>
    <w:rsid w:val="00F80173"/>
    <w:rsid w:val="00F824DE"/>
    <w:rsid w:val="00F836E6"/>
    <w:rsid w:val="00F85BC6"/>
    <w:rsid w:val="00F953CC"/>
    <w:rsid w:val="00F97848"/>
    <w:rsid w:val="00FA711A"/>
    <w:rsid w:val="00FB0CE4"/>
    <w:rsid w:val="00FC1E64"/>
    <w:rsid w:val="00FD27BE"/>
    <w:rsid w:val="00FD2C03"/>
    <w:rsid w:val="00FE3A27"/>
    <w:rsid w:val="00F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2ADF"/>
  <w15:chartTrackingRefBased/>
  <w15:docId w15:val="{E93B9C7A-08C2-464E-AACC-13F5CF18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D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4D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D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4DE"/>
    <w:rPr>
      <w:rFonts w:ascii="Times New Roman" w:eastAsiaTheme="majorEastAsia" w:hAnsi="Times New Roman" w:cstheme="majorBidi"/>
      <w:b/>
      <w:sz w:val="24"/>
      <w:szCs w:val="26"/>
    </w:rPr>
  </w:style>
  <w:style w:type="character" w:styleId="Strong">
    <w:name w:val="Strong"/>
    <w:basedOn w:val="DefaultParagraphFont"/>
    <w:uiPriority w:val="22"/>
    <w:qFormat/>
    <w:rsid w:val="00AD3AC3"/>
    <w:rPr>
      <w:b/>
      <w:bCs/>
    </w:rPr>
  </w:style>
  <w:style w:type="character" w:styleId="Emphasis">
    <w:name w:val="Emphasis"/>
    <w:basedOn w:val="DefaultParagraphFont"/>
    <w:uiPriority w:val="20"/>
    <w:qFormat/>
    <w:rsid w:val="003A2A7F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49613F"/>
  </w:style>
  <w:style w:type="paragraph" w:styleId="ListParagraph">
    <w:name w:val="List Paragraph"/>
    <w:basedOn w:val="Normal"/>
    <w:uiPriority w:val="34"/>
    <w:qFormat/>
    <w:rsid w:val="00C4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Sut15</b:Tag>
    <b:SourceType>DocumentFromInternetSite</b:SourceType>
    <b:Guid>{AE2996E0-BA3A-4645-88E1-5C9C8B01AC41}</b:Guid>
    <b:Title>Co-Prescription Trends in a Large Cohort of Subjects Predict Substantial Drug-Drug Interactions</b:Title>
    <b:InternetSiteTitle>PLOS ONE</b:InternetSiteTitle>
    <b:Year>2015</b:Year>
    <b:Month>March</b:Month>
    <b:Day>4</b:Day>
    <b:URL>https://doi.org/10.1371/journal.pone.0118991</b:URL>
    <b:JournalName>PLOS ONE</b:JournalName>
    <b:Author>
      <b:Author>
        <b:NameList>
          <b:Person>
            <b:Last>Sutherland</b:Last>
            <b:Middle>J</b:Middle>
            <b:First>Jeffrey</b:First>
          </b:Person>
          <b:Person>
            <b:Last>Daly</b:Last>
            <b:Middle>M</b:Middle>
            <b:First>Thomas</b:First>
          </b:Person>
          <b:Person>
            <b:Last>Liu</b:Last>
            <b:First>Xiong</b:First>
          </b:Person>
          <b:Person>
            <b:Last>Goldstein</b:Last>
            <b:First>Keith</b:First>
          </b:Person>
          <b:Person>
            <b:Last>Johnston</b:Last>
            <b:Middle>A</b:Middle>
            <b:First>Joseph</b:First>
          </b:Person>
          <b:Person>
            <b:Last>Ryan</b:Last>
            <b:Middle>P</b:Middle>
            <b:First>Timothy</b:First>
          </b:Person>
        </b:NameList>
      </b:Author>
    </b:Author>
    <b:RefOrder>1</b:RefOrder>
  </b:Source>
  <b:Source>
    <b:Tag>Mou13</b:Tag>
    <b:SourceType>DocumentFromInternetSite</b:SourceType>
    <b:Guid>{30498955-6783-4C0B-8CAC-F4BE98AF1E86}</b:Guid>
    <b:Title>Hospital readmissions related to drug interactions: a retrospective study in a hospital setting</b:Title>
    <b:InternetSiteTitle>National Library of Medicine</b:InternetSiteTitle>
    <b:Year>2013</b:Year>
    <b:Month>January</b:Month>
    <b:Day>28</b:Day>
    <b:URL>https://doi.org/10.1590/s0034-89102013005000001</b:URL>
    <b:Author>
      <b:Author>
        <b:NameList>
          <b:Person>
            <b:Last>Moura</b:Last>
            <b:Middle>Soares de</b:Middle>
            <b:First>Cristiano</b:First>
          </b:Person>
          <b:Person>
            <b:Last>Tavares</b:Last>
            <b:Middle>Santana</b:Middle>
            <b:First>Ludmila</b:First>
          </b:Person>
          <b:Person>
            <b:Last>Acurcio</b:Last>
            <b:Middle>Assis</b:Middle>
            <b:First>Francisco de</b:First>
          </b:Person>
        </b:NameList>
      </b:Author>
    </b:Author>
    <b:RefOrder>2</b:RefOrder>
  </b:Source>
  <b:Source>
    <b:Tag>Sma22</b:Tag>
    <b:SourceType>InternetSite</b:SourceType>
    <b:Guid>{7649638B-64CA-4741-8C21-672D2DF91B56}</b:Guid>
    <b:Title>Market Basket Analysis 101: Anticipating Customer Behavior</b:Title>
    <b:InternetSiteTitle>Smartbridge</b:InternetSiteTitle>
    <b:Year>2022</b:Year>
    <b:Month>March</b:Month>
    <b:Day>15</b:Day>
    <b:URL>https://smartbridge.com/market-basket-analysis-101/</b:URL>
    <b:Author>
      <b:Author>
        <b:Corporate>Smartbridge</b:Corporate>
      </b:Author>
    </b:Author>
    <b:RefOrder>3</b:RefOrder>
  </b:Source>
  <b:Source>
    <b:Tag>Dru22</b:Tag>
    <b:SourceType>InternetSite</b:SourceType>
    <b:Guid>{F46AC5AC-DFF4-4E14-B1D9-A7EC426723CA}</b:Guid>
    <b:Title>Drug Index A to Z</b:Title>
    <b:InternetSiteTitle>Drugs.com</b:InternetSiteTitle>
    <b:Year>2022</b:Year>
    <b:URL>https://www.drugs.com/drug_information.html</b:URL>
    <b:Author>
      <b:Author>
        <b:Corporate>Drugs.com</b:Corporate>
      </b:Author>
    </b:Author>
    <b:RefOrder>5</b:RefOrder>
  </b:Source>
  <b:Source xmlns:b="http://schemas.openxmlformats.org/officeDocument/2006/bibliography">
    <b:Tag>Wag12</b:Tag>
    <b:SourceType>DocumentFromInternetSite</b:SourceType>
    <b:Guid>{47B1ED0B-0D98-4AD7-ADD5-F22CD4091F8C}</b:Guid>
    <b:Title>Sequential market basket analysis</b:Title>
    <b:InternetSiteTitle>SpringerLink</b:InternetSiteTitle>
    <b:Year>2012</b:Year>
    <b:Month>May</b:Month>
    <b:Day>22</b:Day>
    <b:URL>https://doi.org/10.1007/s11002-012-9181-6</b:URL>
    <b:Author>
      <b:Author>
        <b:NameList>
          <b:Person>
            <b:Last>Kamakura</b:Last>
            <b:First>Wagner</b:First>
            <b:Middle>A.</b:Middle>
          </b:Person>
        </b:NameList>
      </b:Author>
    </b:Author>
    <b:RefOrder>4</b:RefOrder>
  </b:Source>
  <b:Source>
    <b:Tag>Dru223</b:Tag>
    <b:SourceType>InternetSite</b:SourceType>
    <b:Guid>{81E214E6-67B4-49A2-A833-754FFCB0DEE4}</b:Guid>
    <b:Author>
      <b:Author>
        <b:Corporate>Drugs.com</b:Corporate>
      </b:Author>
    </b:Author>
    <b:Title>List of Antihypertensive combinations - Generics Only</b:Title>
    <b:InternetSiteTitle>Drugs.com</b:InternetSiteTitle>
    <b:Year>2022</b:Year>
    <b:URL>https://www.drugs.com/drug-class/antihypertensive-combinations.html</b:URL>
    <b:RefOrder>6</b:RefOrder>
  </b:Source>
  <b:Source>
    <b:Tag>Car221</b:Tag>
    <b:SourceType>InternetSite</b:SourceType>
    <b:Guid>{DF86C6A1-6599-424A-88D2-C162E4DE757F}</b:Guid>
    <b:Author>
      <b:Author>
        <b:NameList>
          <b:Person>
            <b:Last>Fookes</b:Last>
            <b:First>Carmen</b:First>
          </b:Person>
        </b:NameList>
      </b:Author>
    </b:Author>
    <b:Title>List of Common SSRIs + Uses &amp; Side Effects</b:Title>
    <b:InternetSiteTitle>Drugs.com</b:InternetSiteTitle>
    <b:Year>2022</b:Year>
    <b:Month>September</b:Month>
    <b:Day>30</b:Day>
    <b:URL>https://www.drugs.com/drug-class/ssri-antidepressants.html</b:URL>
    <b:RefOrder>7</b:RefOrder>
  </b:Source>
  <b:Source>
    <b:Tag>Car222</b:Tag>
    <b:SourceType>InternetSite</b:SourceType>
    <b:Guid>{6A4D3D79-5405-43B6-B2AD-3BF018228071}</b:Guid>
    <b:Author>
      <b:Author>
        <b:NameList>
          <b:Person>
            <b:Last>Fookes</b:Last>
            <b:First>Carmen</b:First>
          </b:Person>
        </b:NameList>
      </b:Author>
    </b:Author>
    <b:Title>List of Statins + Uses, Types &amp; Side Effects</b:Title>
    <b:InternetSiteTitle>Drugs.com</b:InternetSiteTitle>
    <b:Year>2022</b:Year>
    <b:Month>September</b:Month>
    <b:Day>27</b:Day>
    <b:URL>https://www.drugs.com/drug-class/hmg-coa-reductase-inhibitors.html</b:URL>
    <b:RefOrder>8</b:RefOrder>
  </b:Source>
</b:Sources>
</file>

<file path=customXml/itemProps1.xml><?xml version="1.0" encoding="utf-8"?>
<ds:datastoreItem xmlns:ds="http://schemas.openxmlformats.org/officeDocument/2006/customXml" ds:itemID="{49FA73CE-3F17-4D0D-99DA-B8747A5A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8</Pages>
  <Words>1947</Words>
  <Characters>11099</Characters>
  <Application>Microsoft Office Word</Application>
  <DocSecurity>0</DocSecurity>
  <Lines>92</Lines>
  <Paragraphs>26</Paragraphs>
  <ScaleCrop>false</ScaleCrop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Rauch</dc:creator>
  <cp:keywords/>
  <dc:description/>
  <cp:lastModifiedBy>Heather Rauch</cp:lastModifiedBy>
  <cp:revision>361</cp:revision>
  <dcterms:created xsi:type="dcterms:W3CDTF">2022-11-14T03:36:00Z</dcterms:created>
  <dcterms:modified xsi:type="dcterms:W3CDTF">2022-12-06T23:57:00Z</dcterms:modified>
</cp:coreProperties>
</file>