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itn1bkvmdh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BetterResources — Executive Summary &amp; Lean Business Plan (v1.0)</w:t>
      </w:r>
    </w:p>
    <w:p w:rsidR="00000000" w:rsidDel="00000000" w:rsidP="00000000" w:rsidRDefault="00000000" w:rsidRPr="00000000" w14:paraId="00000002">
      <w:pPr>
        <w:spacing w:after="420" w:before="420" w:lineRule="auto"/>
        <w:rPr/>
      </w:pPr>
      <w:r w:rsidDel="00000000" w:rsidR="00000000" w:rsidRPr="00000000">
        <w:rPr>
          <w:i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2, 2025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Prospective Seed Investors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BetterResources</w:t>
      </w:r>
      <w:r w:rsidDel="00000000" w:rsidR="00000000" w:rsidRPr="00000000">
        <w:rPr>
          <w:rtl w:val="0"/>
        </w:rPr>
        <w:t xml:space="preserve"> (d/b/a BetterResources App)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Heather Cochran · [email] heathersocialworker@gmail.com · [phone] [</w:t>
      </w:r>
      <w:r w:rsidDel="00000000" w:rsidR="00000000" w:rsidRPr="00000000">
        <w:rPr>
          <w:b w:val="1"/>
          <w:i w:val="1"/>
          <w:rtl w:val="0"/>
        </w:rPr>
        <w:t xml:space="preserve">]</w:t>
        <w:br w:type="textWrapping"/>
        <w:t xml:space="preserve"> Website / Demo: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u3e017hn81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One‑Page Executive Summary</w:t>
      </w:r>
    </w:p>
    <w:p w:rsidR="00000000" w:rsidDel="00000000" w:rsidP="00000000" w:rsidRDefault="00000000" w:rsidRPr="00000000" w14:paraId="00000004">
      <w:pPr>
        <w:spacing w:after="420" w:before="420" w:lineRule="auto"/>
        <w:rPr/>
      </w:pPr>
      <w:r w:rsidDel="00000000" w:rsidR="00000000" w:rsidRPr="00000000">
        <w:rPr>
          <w:b w:val="1"/>
          <w:rtl w:val="0"/>
        </w:rPr>
        <w:t xml:space="preserve">Mission</w:t>
        <w:br w:type="textWrapping"/>
      </w:r>
      <w:r w:rsidDel="00000000" w:rsidR="00000000" w:rsidRPr="00000000">
        <w:rPr>
          <w:rtl w:val="0"/>
        </w:rPr>
        <w:t xml:space="preserve"> Make mental‑health and recovery support radically more accessible by putting a verified, localized resource navigator and daily micro‑coaching in everyone’s pocket.</w:t>
      </w:r>
    </w:p>
    <w:p w:rsidR="00000000" w:rsidDel="00000000" w:rsidP="00000000" w:rsidRDefault="00000000" w:rsidRPr="00000000" w14:paraId="00000005">
      <w:pPr>
        <w:spacing w:after="420" w:before="420" w:lineRule="auto"/>
        <w:rPr/>
      </w:pPr>
      <w:r w:rsidDel="00000000" w:rsidR="00000000" w:rsidRPr="00000000">
        <w:rPr>
          <w:b w:val="1"/>
          <w:rtl w:val="0"/>
        </w:rPr>
        <w:t xml:space="preserve">Problem</w:t>
        <w:br w:type="textWrapping"/>
      </w:r>
      <w:r w:rsidDel="00000000" w:rsidR="00000000" w:rsidRPr="00000000">
        <w:rPr>
          <w:rtl w:val="0"/>
        </w:rPr>
        <w:t xml:space="preserve"> People in recovery (and their families) struggle to find </w:t>
      </w:r>
      <w:r w:rsidDel="00000000" w:rsidR="00000000" w:rsidRPr="00000000">
        <w:rPr>
          <w:i w:val="1"/>
          <w:rtl w:val="0"/>
        </w:rPr>
        <w:t xml:space="preserve">timely, trustworthy</w:t>
      </w:r>
      <w:r w:rsidDel="00000000" w:rsidR="00000000" w:rsidRPr="00000000">
        <w:rPr>
          <w:rtl w:val="0"/>
        </w:rPr>
        <w:t xml:space="preserve"> help—meeting directories are fragmented, warmline numbers change, eligibility rules are confusing, and waitlists are long. Clinicians and case managers lose hours weekly on referrals and follow‑up.</w:t>
      </w:r>
    </w:p>
    <w:p w:rsidR="00000000" w:rsidDel="00000000" w:rsidP="00000000" w:rsidRDefault="00000000" w:rsidRPr="00000000" w14:paraId="00000006">
      <w:pPr>
        <w:spacing w:after="420" w:before="420" w:lineRule="auto"/>
        <w:rPr/>
      </w:pPr>
      <w:r w:rsidDel="00000000" w:rsidR="00000000" w:rsidRPr="00000000">
        <w:rPr>
          <w:b w:val="1"/>
          <w:rtl w:val="0"/>
        </w:rPr>
        <w:t xml:space="preserve">Solution — BetterResources App</w:t>
        <w:br w:type="textWrapping"/>
      </w:r>
      <w:r w:rsidDel="00000000" w:rsidR="00000000" w:rsidRPr="00000000">
        <w:rPr>
          <w:rtl w:val="0"/>
        </w:rPr>
        <w:t xml:space="preserve"> A lightweight mobile app that: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420" w:lineRule="auto"/>
        <w:ind w:left="720" w:hanging="360"/>
      </w:pPr>
      <w:r w:rsidDel="00000000" w:rsidR="00000000" w:rsidRPr="00000000">
        <w:rPr>
          <w:rtl w:val="0"/>
        </w:rPr>
        <w:t xml:space="preserve">Curates </w:t>
      </w:r>
      <w:r w:rsidDel="00000000" w:rsidR="00000000" w:rsidRPr="00000000">
        <w:rPr>
          <w:b w:val="1"/>
          <w:rtl w:val="0"/>
        </w:rPr>
        <w:t xml:space="preserve">verified local resources</w:t>
      </w:r>
      <w:r w:rsidDel="00000000" w:rsidR="00000000" w:rsidRPr="00000000">
        <w:rPr>
          <w:rtl w:val="0"/>
        </w:rPr>
        <w:t xml:space="preserve"> (treatment, crisis/warm lines, mutual‑aid meetings, sliding‑scale therapy, housing, legal aid, employment).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rtl w:val="0"/>
        </w:rPr>
        <w:t xml:space="preserve">daily micro‑coaching</w:t>
      </w:r>
      <w:r w:rsidDel="00000000" w:rsidR="00000000" w:rsidRPr="00000000">
        <w:rPr>
          <w:rtl w:val="0"/>
        </w:rPr>
        <w:t xml:space="preserve">: triggers tracker, coping‑skills checklists, and end‑of‑day reflections.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rtl w:val="0"/>
        </w:rPr>
        <w:t xml:space="preserve">guided referrals</w:t>
      </w:r>
      <w:r w:rsidDel="00000000" w:rsidR="00000000" w:rsidRPr="00000000">
        <w:rPr>
          <w:rtl w:val="0"/>
        </w:rPr>
        <w:t xml:space="preserve"> to partners (clinics, tele‑therapy, IOPs, SUD programs) with bidirectional status updates.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external directories (e.g., meeting guides, warmline lists) via API/data partnerships.</w:t>
        <w:br w:type="textWrapping"/>
      </w:r>
    </w:p>
    <w:p w:rsidR="00000000" w:rsidDel="00000000" w:rsidP="00000000" w:rsidRDefault="00000000" w:rsidRPr="00000000" w14:paraId="0000000B">
      <w:pPr>
        <w:spacing w:after="420" w:before="4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 &amp; Market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42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B2B2C:</w:t>
      </w:r>
      <w:r w:rsidDel="00000000" w:rsidR="00000000" w:rsidRPr="00000000">
        <w:rPr>
          <w:rtl w:val="0"/>
        </w:rPr>
        <w:t xml:space="preserve"> Community clinics, IOPs, hospitals, universities, payors, EAPs who provision the app to patients/members to improve engagement and reduce care‑coordination time.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B2C:</w:t>
      </w:r>
      <w:r w:rsidDel="00000000" w:rsidR="00000000" w:rsidRPr="00000000">
        <w:rPr>
          <w:rtl w:val="0"/>
        </w:rPr>
        <w:t xml:space="preserve"> Individuals in recovery and caregivers seeking dependable, stigma‑free help.</w:t>
        <w:br w:type="textWrapping"/>
      </w:r>
    </w:p>
    <w:p w:rsidR="00000000" w:rsidDel="00000000" w:rsidP="00000000" w:rsidRDefault="00000000" w:rsidRPr="00000000" w14:paraId="0000000E">
      <w:pPr>
        <w:spacing w:after="420" w:before="4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Model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42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SaaS:</w:t>
      </w:r>
      <w:r w:rsidDel="00000000" w:rsidR="00000000" w:rsidRPr="00000000">
        <w:rPr>
          <w:rtl w:val="0"/>
        </w:rPr>
        <w:t xml:space="preserve"> $2–$5 PMPM for clinics/payors (tiered by features/volume).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Consumer:</w:t>
      </w:r>
      <w:r w:rsidDel="00000000" w:rsidR="00000000" w:rsidRPr="00000000">
        <w:rPr>
          <w:rtl w:val="0"/>
        </w:rPr>
        <w:t xml:space="preserve"> $7–$10/mo optional premium (offline packs, care plans, export, reminders).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Affiliate/Referral Fees:</w:t>
      </w:r>
      <w:r w:rsidDel="00000000" w:rsidR="00000000" w:rsidRPr="00000000">
        <w:rPr>
          <w:rtl w:val="0"/>
        </w:rPr>
        <w:t xml:space="preserve"> Qualified hand‑offs to vetted partners (ethical, user‑consented).</w:t>
        <w:br w:type="textWrapping"/>
      </w:r>
    </w:p>
    <w:p w:rsidR="00000000" w:rsidDel="00000000" w:rsidP="00000000" w:rsidRDefault="00000000" w:rsidRPr="00000000" w14:paraId="00000012">
      <w:pPr>
        <w:spacing w:after="420" w:before="420" w:lineRule="auto"/>
        <w:rPr/>
      </w:pPr>
      <w:r w:rsidDel="00000000" w:rsidR="00000000" w:rsidRPr="00000000">
        <w:rPr>
          <w:b w:val="1"/>
          <w:rtl w:val="0"/>
        </w:rPr>
        <w:t xml:space="preserve">Go‑to‑Market</w:t>
        <w:br w:type="textWrapping"/>
      </w:r>
      <w:r w:rsidDel="00000000" w:rsidR="00000000" w:rsidRPr="00000000">
        <w:rPr>
          <w:rtl w:val="0"/>
        </w:rPr>
        <w:t xml:space="preserve"> Start with Arizona &amp; Southwest US: sell to community clinics/IOPs; co‑marketing with crisis lines, universities, sober‑living networks; partnerships with directories; founder‑led sales; social proof via case studies.</w:t>
      </w:r>
    </w:p>
    <w:p w:rsidR="00000000" w:rsidDel="00000000" w:rsidP="00000000" w:rsidRDefault="00000000" w:rsidRPr="00000000" w14:paraId="00000013">
      <w:pPr>
        <w:spacing w:after="420" w:before="420" w:lineRule="auto"/>
        <w:rPr/>
      </w:pPr>
      <w:r w:rsidDel="00000000" w:rsidR="00000000" w:rsidRPr="00000000">
        <w:rPr>
          <w:b w:val="1"/>
          <w:rtl w:val="0"/>
        </w:rPr>
        <w:t xml:space="preserve">Moat</w:t>
        <w:br w:type="textWrapping"/>
      </w:r>
      <w:r w:rsidDel="00000000" w:rsidR="00000000" w:rsidRPr="00000000">
        <w:rPr>
          <w:rtl w:val="0"/>
        </w:rPr>
        <w:t xml:space="preserve"> Verified local data ops, consented outcomes loop with providers, and a recovery‑first UX (fast, private, zero‑shame). HIPAA‑aware architecture and SOC 2 readiness from day one. Community brand built around a friendly “lava lamp” motif.</w:t>
      </w:r>
    </w:p>
    <w:p w:rsidR="00000000" w:rsidDel="00000000" w:rsidP="00000000" w:rsidRDefault="00000000" w:rsidRPr="00000000" w14:paraId="00000014">
      <w:pPr>
        <w:spacing w:after="420" w:before="420" w:lineRule="auto"/>
        <w:rPr/>
      </w:pPr>
      <w:r w:rsidDel="00000000" w:rsidR="00000000" w:rsidRPr="00000000">
        <w:rPr>
          <w:b w:val="1"/>
          <w:rtl w:val="0"/>
        </w:rPr>
        <w:t xml:space="preserve">Funding Ask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$2,000,000 seed</w:t>
      </w:r>
      <w:r w:rsidDel="00000000" w:rsidR="00000000" w:rsidRPr="00000000">
        <w:rPr>
          <w:rtl w:val="0"/>
        </w:rPr>
        <w:t xml:space="preserve"> to reach 12–18 months runway and hit: </w:t>
      </w:r>
      <w:r w:rsidDel="00000000" w:rsidR="00000000" w:rsidRPr="00000000">
        <w:rPr>
          <w:b w:val="1"/>
          <w:rtl w:val="0"/>
        </w:rPr>
        <w:t xml:space="preserve">200 clinic logos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250k MAU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$250k+ MRR</w:t>
      </w:r>
      <w:r w:rsidDel="00000000" w:rsidR="00000000" w:rsidRPr="00000000">
        <w:rPr>
          <w:rtl w:val="0"/>
        </w:rPr>
        <w:t xml:space="preserve"> run‑rate.</w:t>
      </w:r>
    </w:p>
    <w:p w:rsidR="00000000" w:rsidDel="00000000" w:rsidP="00000000" w:rsidRDefault="00000000" w:rsidRPr="00000000" w14:paraId="00000015">
      <w:pPr>
        <w:spacing w:after="420" w:before="4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of Funds (high level)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420" w:lineRule="auto"/>
        <w:ind w:left="720" w:hanging="360"/>
      </w:pPr>
      <w:r w:rsidDel="00000000" w:rsidR="00000000" w:rsidRPr="00000000">
        <w:rPr>
          <w:rtl w:val="0"/>
        </w:rPr>
        <w:t xml:space="preserve">35% Product &amp; Engineering (mobile, data platform, integrations)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GTM (founder‑led sales, 2 AEs, community marketing)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Data Operations (verification, QA, content partnerships)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Compliance &amp; Security (HIPAA, SOC 2 Type I)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G&amp;A / Ops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Contingency</w:t>
        <w:br w:type="textWrapping"/>
      </w:r>
    </w:p>
    <w:p w:rsidR="00000000" w:rsidDel="00000000" w:rsidP="00000000" w:rsidRDefault="00000000" w:rsidRPr="00000000" w14:paraId="0000001C">
      <w:pPr>
        <w:spacing w:after="420" w:before="420" w:lineRule="auto"/>
        <w:rPr/>
      </w:pPr>
      <w:r w:rsidDel="00000000" w:rsidR="00000000" w:rsidRPr="00000000">
        <w:rPr>
          <w:b w:val="1"/>
          <w:rtl w:val="0"/>
        </w:rPr>
        <w:t xml:space="preserve">Round Mechanics (suggested)</w:t>
        <w:br w:type="textWrapping"/>
      </w:r>
      <w:r w:rsidDel="00000000" w:rsidR="00000000" w:rsidRPr="00000000">
        <w:rPr>
          <w:rtl w:val="0"/>
        </w:rPr>
        <w:t xml:space="preserve"> SAFE (MFN) with $12–$16M post‑money cap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priced seed with standard terms. Lead check target: $1.2M; remaining $800k allocated to strategic angels &amp; funds.</w:t>
      </w:r>
    </w:p>
    <w:p w:rsidR="00000000" w:rsidDel="00000000" w:rsidP="00000000" w:rsidRDefault="00000000" w:rsidRPr="00000000" w14:paraId="0000001D">
      <w:pPr>
        <w:spacing w:after="420" w:before="4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Team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42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Heather Cochran</w:t>
      </w:r>
      <w:r w:rsidDel="00000000" w:rsidR="00000000" w:rsidRPr="00000000">
        <w:rPr>
          <w:rtl w:val="0"/>
        </w:rPr>
        <w:t xml:space="preserve">, Founder/CEO — Licensed social worker; 10+ years front‑line crisis and recovery support; product lead for BetterPsych/BetterRecovery apps.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[CTO/Lead iOS] [___]</w:t>
      </w:r>
      <w:r w:rsidDel="00000000" w:rsidR="00000000" w:rsidRPr="00000000">
        <w:rPr>
          <w:rtl w:val="0"/>
        </w:rPr>
        <w:t xml:space="preserve"> — Swift/SwiftUI; healthcare data integrations; security.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[Head of Partnerships] [___]</w:t>
      </w:r>
      <w:r w:rsidDel="00000000" w:rsidR="00000000" w:rsidRPr="00000000">
        <w:rPr>
          <w:rtl w:val="0"/>
        </w:rPr>
        <w:t xml:space="preserve"> — community health, universities, payors.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Advisors:</w:t>
      </w:r>
      <w:r w:rsidDel="00000000" w:rsidR="00000000" w:rsidRPr="00000000">
        <w:rPr>
          <w:rtl w:val="0"/>
        </w:rPr>
        <w:t xml:space="preserve"> Clinical, security, and GTM advisors to be announced (confirming).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4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Managers </w:t>
      </w:r>
    </w:p>
    <w:p w:rsidR="00000000" w:rsidDel="00000000" w:rsidP="00000000" w:rsidRDefault="00000000" w:rsidRPr="00000000" w14:paraId="00000022">
      <w:pPr>
        <w:spacing w:after="420" w:before="4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Traction (insert current metrics)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420" w:lineRule="auto"/>
        <w:ind w:left="720" w:hanging="360"/>
      </w:pPr>
      <w:r w:rsidDel="00000000" w:rsidR="00000000" w:rsidRPr="00000000">
        <w:rPr>
          <w:rtl w:val="0"/>
        </w:rPr>
        <w:t xml:space="preserve">Waitlist: [___]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LOIs/MOUs: [___ clinics/universities]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beta users: [___]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directories integrated: [___]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NPS/CES: [___]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xdmhccuusz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Product Overview</w:t>
      </w:r>
    </w:p>
    <w:p w:rsidR="00000000" w:rsidDel="00000000" w:rsidP="00000000" w:rsidRDefault="00000000" w:rsidRPr="00000000" w14:paraId="0000002A">
      <w:pPr>
        <w:spacing w:after="420" w:before="4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Modules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42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Navigator:</w:t>
      </w:r>
      <w:r w:rsidDel="00000000" w:rsidR="00000000" w:rsidRPr="00000000">
        <w:rPr>
          <w:rtl w:val="0"/>
        </w:rPr>
        <w:t xml:space="preserve"> geofenced, filterable, verified listings; eligibility &amp; hours; saved favorites; one‑tap call/text.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Tools:</w:t>
      </w:r>
      <w:r w:rsidDel="00000000" w:rsidR="00000000" w:rsidRPr="00000000">
        <w:rPr>
          <w:rtl w:val="0"/>
        </w:rPr>
        <w:t xml:space="preserve"> triggers tracker; coping‑skills checklist; gentle reminders; mood &amp; craving logs; end‑of‑day reflection.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Care‑Team Connect (B2B):</w:t>
      </w:r>
      <w:r w:rsidDel="00000000" w:rsidR="00000000" w:rsidRPr="00000000">
        <w:rPr>
          <w:rtl w:val="0"/>
        </w:rPr>
        <w:t xml:space="preserve"> shareable care plan, consented status updates on referrals, secure messaging to a clinic inbox.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Insights:</w:t>
      </w:r>
      <w:r w:rsidDel="00000000" w:rsidR="00000000" w:rsidRPr="00000000">
        <w:rPr>
          <w:rtl w:val="0"/>
        </w:rPr>
        <w:t xml:space="preserve"> anonymized heatmaps for partners to spot gaps (ethically, opt‑in only).</w:t>
        <w:br w:type="textWrapping"/>
      </w:r>
    </w:p>
    <w:p w:rsidR="00000000" w:rsidDel="00000000" w:rsidP="00000000" w:rsidRDefault="00000000" w:rsidRPr="00000000" w14:paraId="0000002F">
      <w:pPr>
        <w:spacing w:after="420" w:before="4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Differentiators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420" w:lineRule="auto"/>
        <w:ind w:left="720" w:hanging="360"/>
      </w:pPr>
      <w:r w:rsidDel="00000000" w:rsidR="00000000" w:rsidRPr="00000000">
        <w:rPr>
          <w:rtl w:val="0"/>
        </w:rPr>
        <w:t xml:space="preserve">“Minutes‑to‑help” focus (speed to human support).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community data layer; freshness SLAs; change alerts.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Recovery‑first UX language; low‑cog‑load design; offline packs.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4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Privacy: local‑first storage for sensitive journaling; PHI isolation; transparent consent.</w:t>
        <w:br w:type="textWrapping"/>
      </w:r>
    </w:p>
    <w:p w:rsidR="00000000" w:rsidDel="00000000" w:rsidP="00000000" w:rsidRDefault="00000000" w:rsidRPr="00000000" w14:paraId="00000034">
      <w:pPr>
        <w:spacing w:after="420" w:before="4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Roadmap (next 6–18 months)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42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MVP (90 days):</w:t>
      </w:r>
      <w:r w:rsidDel="00000000" w:rsidR="00000000" w:rsidRPr="00000000">
        <w:rPr>
          <w:rtl w:val="0"/>
        </w:rPr>
        <w:t xml:space="preserve"> AZ coverage, meeting guide + warmline integrations, triggers/copings, clinic pilot v1.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V2 (6–9 mo):</w:t>
      </w:r>
      <w:r w:rsidDel="00000000" w:rsidR="00000000" w:rsidRPr="00000000">
        <w:rPr>
          <w:rtl w:val="0"/>
        </w:rPr>
        <w:t xml:space="preserve"> multi‑state coverage, referral workflows, SOC 2 Type I, basic analytics, web portal.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 (12–18 mo):</w:t>
      </w:r>
      <w:r w:rsidDel="00000000" w:rsidR="00000000" w:rsidRPr="00000000">
        <w:rPr>
          <w:rtl w:val="0"/>
        </w:rPr>
        <w:t xml:space="preserve"> national coverage, Part 2 considerations, EHR/FHIR integrations, language packs (ES), payor pilots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