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wzt7jm94pb5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BetterResources — Use of Proceeds (Seed $2,000,000)</w:t>
      </w:r>
    </w:p>
    <w:p w:rsidR="00000000" w:rsidDel="00000000" w:rsidP="00000000" w:rsidRDefault="00000000" w:rsidRPr="00000000" w14:paraId="00000002">
      <w:pPr>
        <w:spacing w:after="420" w:before="420" w:lineRule="auto"/>
        <w:rPr/>
      </w:pPr>
      <w:r w:rsidDel="00000000" w:rsidR="00000000" w:rsidRPr="00000000">
        <w:rPr>
          <w:i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2, 2025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Prospective Seed Investors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BetterResources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0d6o8fd9d3u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420" w:before="420" w:lineRule="auto"/>
        <w:rPr/>
      </w:pPr>
      <w:r w:rsidDel="00000000" w:rsidR="00000000" w:rsidRPr="00000000">
        <w:rPr>
          <w:rtl w:val="0"/>
        </w:rPr>
        <w:t xml:space="preserve">This document details how </w:t>
      </w:r>
      <w:r w:rsidDel="00000000" w:rsidR="00000000" w:rsidRPr="00000000">
        <w:rPr>
          <w:b w:val="1"/>
          <w:rtl w:val="0"/>
        </w:rPr>
        <w:t xml:space="preserve">$2,000,000</w:t>
      </w:r>
      <w:r w:rsidDel="00000000" w:rsidR="00000000" w:rsidRPr="00000000">
        <w:rPr>
          <w:rtl w:val="0"/>
        </w:rPr>
        <w:t xml:space="preserve"> in seed capital will be allocated over ~16–18 months to achieve MVP scale in Arizona, expand to multi‑state coverage, and reach </w:t>
      </w:r>
      <w:r w:rsidDel="00000000" w:rsidR="00000000" w:rsidRPr="00000000">
        <w:rPr>
          <w:b w:val="1"/>
          <w:rtl w:val="0"/>
        </w:rPr>
        <w:t xml:space="preserve">$250k+ MRR</w:t>
      </w:r>
      <w:r w:rsidDel="00000000" w:rsidR="00000000" w:rsidRPr="00000000">
        <w:rPr>
          <w:rtl w:val="0"/>
        </w:rPr>
        <w:t xml:space="preserve"> run‑rate while building a compliant, secure platform.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0xg5ug2lijy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Summary Allocation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9.390695759572"/>
        <w:gridCol w:w="1113.6434746809387"/>
        <w:gridCol w:w="1633.8575545491972"/>
        <w:gridCol w:w="2720.5269658295592"/>
        <w:gridCol w:w="1772.5813091807327"/>
        <w:tblGridChange w:id="0">
          <w:tblGrid>
            <w:gridCol w:w="2119.390695759572"/>
            <w:gridCol w:w="1113.6434746809387"/>
            <w:gridCol w:w="1633.8575545491972"/>
            <w:gridCol w:w="2720.5269658295592"/>
            <w:gridCol w:w="1772.5813091807327"/>
          </w:tblGrid>
        </w:tblGridChange>
      </w:tblGrid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% of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Amount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Line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KPIs Unlocked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 &amp;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$700,000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iOS/Android dev, backend &amp; data platform, FHIR/EHR integrations, UX,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AZ MVP → multi‑state V2, D7/D30 retention, app stability (crashes &lt;0.5%)</w:t>
            </w:r>
          </w:p>
        </w:tc>
      </w:tr>
      <w:tr>
        <w:trPr>
          <w:cantSplit w:val="0"/>
          <w:trHeight w:val="4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Go‑to‑Market (Sales &amp; Marketing)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$500,000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 AEs, community marketing, creator partnerships, events, sales tools (HubSpot, outreach)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200 clinic logos, $250k MRR run‑rate, CAC payback &lt;6 months</w:t>
            </w:r>
          </w:p>
        </w:tc>
      </w:tr>
      <w:tr>
        <w:trPr>
          <w:cantSplit w:val="0"/>
          <w:trHeight w:val="31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Operations (Verification)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$300,000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Listings acquisition/QA, partner data fees, change‑monitoring, moderation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95% data freshness in target states, time‑to‑help &lt;5 minutes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Compliance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$200,000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HIPAA readiness, SOC 2 Type I, pen‑tests, security tooling, 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SOC 2 Type I report, BAAs with partners</w:t>
            </w:r>
          </w:p>
        </w:tc>
      </w:tr>
      <w:tr>
        <w:trPr>
          <w:cantSplit w:val="0"/>
          <w:trHeight w:val="2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G&amp;A /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$200,000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Legal &amp; accounting, finance ops, admin, workspace, insurance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Clean close, monthly reporting, audits prep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Contingency /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Unforeseen costs, vendor deltas, hiring slippage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Runway protection (≥ 2 months)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$2,000,000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420" w:before="42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Notes: Amounts are pre‑tax and exclude potential interest income. Vendor quotes and salaries will be finalized during contracting.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4ecfcw1bqgt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Detail by Category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h6jf94n7u84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1) Product &amp; Engineering — $700,000 (35%)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42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Headcount (core):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Lead iOS/Swift (FTE), Backend/Data Engineer (FTE), UX/Design (contract→FTE), QA (contract).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resource navigator, triggers &amp; coping tools, referral workflows (clinic portal), offline packs, accessibility (WCAG 2.2 AA).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Infra &amp; tools:</w:t>
      </w:r>
      <w:r w:rsidDel="00000000" w:rsidR="00000000" w:rsidRPr="00000000">
        <w:rPr>
          <w:rtl w:val="0"/>
        </w:rPr>
        <w:t xml:space="preserve"> cloud (VPC, databases, observability), CI/CD, crash analytics, feature flags.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Milestones:</w:t>
      </w:r>
      <w:r w:rsidDel="00000000" w:rsidR="00000000" w:rsidRPr="00000000">
        <w:rPr>
          <w:rtl w:val="0"/>
        </w:rPr>
        <w:t xml:space="preserve"> AZ MVP (90 days); 5‑state coverage (9 months); national ingestion pipeline (18 months).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i0kztg56fyb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2) Go‑to‑Market — $500,000 (25%)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42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Sales:</w:t>
      </w:r>
      <w:r w:rsidDel="00000000" w:rsidR="00000000" w:rsidRPr="00000000">
        <w:rPr>
          <w:rtl w:val="0"/>
        </w:rPr>
        <w:t xml:space="preserve"> 2 Account Executives (OTE‑aligned), founder‑led enterprise motion, sales enablement materials &amp; demo instances.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Marketing:</w:t>
      </w:r>
      <w:r w:rsidDel="00000000" w:rsidR="00000000" w:rsidRPr="00000000">
        <w:rPr>
          <w:rtl w:val="0"/>
        </w:rPr>
        <w:t xml:space="preserve"> community partnerships (campuses, clinics), creator collabs, events, paid pilots, content (case studies), localization (ES).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Tooling:</w:t>
      </w:r>
      <w:r w:rsidDel="00000000" w:rsidR="00000000" w:rsidRPr="00000000">
        <w:rPr>
          <w:rtl w:val="0"/>
        </w:rPr>
        <w:t xml:space="preserve"> CRM, outbound automation, attribution, website revamp &amp; landing pages.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Milestones:</w:t>
      </w:r>
      <w:r w:rsidDel="00000000" w:rsidR="00000000" w:rsidRPr="00000000">
        <w:rPr>
          <w:rtl w:val="0"/>
        </w:rPr>
        <w:t xml:space="preserve"> 10 pilot clinics (90 days); 75 contracts (9 months); 200 logos, $250k MRR run‑rate (18 months).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ivvms6sfg2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3) Data Operations — $300,000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