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BetterResources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— Insert Logo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BetterResources, LLC  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Mutual Confidentiality &amp; IP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Confidential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Includes non-public information about Company products, code, data, designs, roadmaps, business plans, users, pricing, and any information marked or reasonably understood as confidential.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Obligations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only for internship purposes; do not disclose to third parties; protect with reasonable care; return or destroy upon request; no reverse engineering.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Exclusions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information; already known without duty; independently developed; or disclosed by a third party without duty.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IP Assignment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 assigns to Company all right, title, and interest in work product created in the scope of the internship or using Company resources; will assist with filings at Company expense.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Third-Party Code/Data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not introduce code or data that imposes open-source or paid licensing obligations without prior written approval.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No License / No Employment Guarantee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license under Company IP is granted; internship is at-will; no promise of future employment.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Injunctive Relief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Company may seek injunctive relief for breach in addition to other remedies.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Term &amp; Survival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Obligations last for 3 years from disclosure; trade secrets survive while they remain trade secrets. IP provisions survive indefinitely.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Governing Law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Arizona law, without regard to conflicts rules.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Company: Heather A. Cochran, LMSW  Date: _2/5/2026_________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Intern: _____Tasneem Youssef________________________  Date: ___2/5/2026_______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38yZz9aBSUz8ZPDpaxp761ioVA==">CgMxLjA4AHIhMVJlZzdUNl9KUnA1NElyZ2hzYUlvcUoyWTlHVlR6eEpi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