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20448">
      <w:pPr>
        <w:widowControl w:val="0"/>
        <w:spacing w:line="560" w:lineRule="exact"/>
        <w:ind w:firstLine="0" w:firstLineChars="0"/>
        <w:rPr>
          <w:rFonts w:ascii="Times New Roman" w:hAnsi="Times New Roman" w:eastAsia="仿宋_GB2312"/>
          <w:kern w:val="0"/>
          <w:sz w:val="30"/>
          <w:szCs w:val="30"/>
        </w:rPr>
      </w:pPr>
      <w:r>
        <w:rPr>
          <w:rFonts w:ascii="Times New Roman" w:hAnsi="Times New Roman" w:eastAsia="仿宋_GB2312"/>
          <w:kern w:val="0"/>
          <w:sz w:val="30"/>
          <w:szCs w:val="30"/>
        </w:rPr>
        <w:t xml:space="preserve">债券代码：                          债券简称：                   </w:t>
      </w:r>
    </w:p>
    <w:p w14:paraId="0AF3A0EA">
      <w:pPr>
        <w:widowControl w:val="0"/>
        <w:spacing w:line="560" w:lineRule="exact"/>
        <w:ind w:firstLine="0" w:firstLineChars="0"/>
        <w:rPr>
          <w:rFonts w:ascii="Times New Roman" w:hAnsi="Times New Roman" w:eastAsia="仿宋_GB2312"/>
          <w:kern w:val="0"/>
          <w:sz w:val="30"/>
          <w:szCs w:val="30"/>
        </w:rPr>
      </w:pPr>
    </w:p>
    <w:p w14:paraId="49E35B7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djustRightInd w:val="0"/>
        <w:snapToGrid w:val="0"/>
        <w:spacing w:line="240" w:lineRule="auto"/>
        <w:ind w:firstLine="0" w:firstLineChars="0"/>
        <w:jc w:val="center"/>
        <w:rPr>
          <w:rFonts w:hint="eastAsia" w:ascii="仿宋_GB2312" w:hAnsi="宋体" w:eastAsia="仿宋_GB2312"/>
          <w:b w:val="0"/>
          <w:color w:val="000000"/>
          <w:sz w:val="30"/>
          <w:szCs w:val="30"/>
        </w:rPr>
      </w:pPr>
      <w:r>
        <w:rPr>
          <w:rFonts w:hint="eastAsia" w:ascii="仿宋_GB2312" w:hAnsi="宋体" w:eastAsia="仿宋_GB2312"/>
          <w:b w:val="0"/>
          <w:color w:val="000000"/>
          <w:sz w:val="30"/>
          <w:szCs w:val="30"/>
        </w:rPr>
        <w:t>XX公司关于公司债券停牌的公告</w:t>
      </w:r>
    </w:p>
    <w:p w14:paraId="34F04078">
      <w:pPr>
        <w:widowControl w:val="0"/>
        <w:adjustRightInd w:val="0"/>
        <w:snapToGrid w:val="0"/>
        <w:spacing w:line="400" w:lineRule="exact"/>
        <w:ind w:firstLine="510" w:firstLineChars="0"/>
        <w:jc w:val="center"/>
        <w:rPr>
          <w:rFonts w:ascii="仿宋_GB2312" w:hAnsi="Calibri" w:eastAsia="仿宋_GB2312"/>
          <w:bCs/>
          <w:sz w:val="30"/>
          <w:szCs w:val="30"/>
        </w:rPr>
      </w:pPr>
    </w:p>
    <w:p w14:paraId="0BE8C9C7">
      <w:pPr>
        <w:widowControl w:val="0"/>
        <w:spacing w:line="560" w:lineRule="exact"/>
        <w:ind w:firstLine="0" w:firstLineChars="0"/>
        <w:rPr>
          <w:rFonts w:ascii="Times New Roman" w:hAnsi="Times New Roman" w:eastAsia="仿宋_GB2312"/>
          <w:sz w:val="30"/>
          <w:szCs w:val="30"/>
        </w:rPr>
      </w:pPr>
      <w:r>
        <w:rPr>
          <w:rFonts w:ascii="仿宋_GB2312" w:hAnsi="宋体" w:eastAsia="仿宋_GB2312"/>
          <w:color w:val="000000"/>
          <w:sz w:val="30"/>
          <w:szCs w:val="30"/>
        </w:rPr>
        <w:t xml:space="preserve">   </w:t>
      </w:r>
    </w:p>
    <w:p w14:paraId="12504F97">
      <w:pPr>
        <w:widowControl w:val="0"/>
        <w:autoSpaceDE w:val="0"/>
        <w:autoSpaceDN w:val="0"/>
        <w:spacing w:line="560" w:lineRule="exact"/>
        <w:ind w:firstLine="482" w:firstLineChars="0"/>
        <w:rPr>
          <w:rFonts w:ascii="Times New Roman" w:hAnsi="Times New Roman" w:eastAsia="仿宋_GB2312"/>
          <w:kern w:val="0"/>
          <w:sz w:val="30"/>
          <w:szCs w:val="30"/>
        </w:rPr>
      </w:pPr>
    </w:p>
    <w:p w14:paraId="1B99CA5A">
      <w:pPr>
        <w:widowControl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  <w:lang w:eastAsia="zh-CN"/>
        </w:rPr>
      </w:pPr>
      <w:r>
        <w:rPr>
          <w:rFonts w:hint="eastAsia" w:ascii="仿宋_GB2312" w:hAnsi="Times New Roman" w:eastAsia="仿宋_GB2312"/>
          <w:sz w:val="30"/>
          <w:szCs w:val="30"/>
        </w:rPr>
        <w:t>本期债券</w:t>
      </w:r>
      <w:r>
        <w:rPr>
          <w:rFonts w:hint="eastAsia" w:hAnsi="Times New Roman"/>
          <w:sz w:val="30"/>
          <w:szCs w:val="30"/>
          <w:lang w:eastAsia="zh-CN"/>
        </w:rPr>
        <w:t>停牌</w:t>
      </w:r>
      <w:r>
        <w:rPr>
          <w:rFonts w:hint="eastAsia" w:ascii="仿宋_GB2312" w:hAnsi="Times New Roman" w:eastAsia="仿宋_GB2312"/>
          <w:sz w:val="30"/>
          <w:szCs w:val="30"/>
        </w:rPr>
        <w:t>情况</w:t>
      </w:r>
      <w:r>
        <w:rPr>
          <w:rFonts w:hint="eastAsia" w:hAnsi="Times New Roman"/>
          <w:sz w:val="30"/>
          <w:szCs w:val="30"/>
          <w:lang w:eastAsia="zh-CN"/>
        </w:rPr>
        <w:t>如下：</w:t>
      </w:r>
    </w:p>
    <w:p w14:paraId="12A5540F">
      <w:pPr>
        <w:widowControl/>
        <w:snapToGrid w:val="0"/>
        <w:spacing w:line="400" w:lineRule="exact"/>
        <w:ind w:firstLine="600" w:firstLineChars="200"/>
        <w:jc w:val="left"/>
        <w:rPr>
          <w:rFonts w:hint="eastAsia" w:hAnsi="Times New Roman"/>
          <w:sz w:val="30"/>
          <w:szCs w:val="30"/>
          <w:lang w:val="en-US" w:eastAsia="zh-CN"/>
        </w:rPr>
      </w:pPr>
      <w:r>
        <w:rPr>
          <w:rFonts w:hint="eastAsia" w:hAnsi="Times New Roman"/>
          <w:sz w:val="30"/>
          <w:szCs w:val="30"/>
          <w:lang w:val="en-US" w:eastAsia="zh-CN"/>
        </w:rPr>
        <w:t>1、债券代码：</w:t>
      </w:r>
    </w:p>
    <w:p w14:paraId="11D31C58">
      <w:pPr>
        <w:widowControl/>
        <w:snapToGrid w:val="0"/>
        <w:spacing w:line="400" w:lineRule="exact"/>
        <w:ind w:firstLine="600" w:firstLineChars="200"/>
        <w:jc w:val="left"/>
        <w:rPr>
          <w:rFonts w:hint="eastAsia" w:hAnsi="Times New Roman"/>
          <w:sz w:val="30"/>
          <w:szCs w:val="30"/>
          <w:lang w:val="en-US" w:eastAsia="zh-CN"/>
        </w:rPr>
      </w:pPr>
      <w:r>
        <w:rPr>
          <w:rFonts w:hint="eastAsia" w:hAnsi="Times New Roman"/>
          <w:sz w:val="30"/>
          <w:szCs w:val="30"/>
          <w:lang w:val="en-US" w:eastAsia="zh-CN"/>
        </w:rPr>
        <w:t>2、债券简称：</w:t>
      </w:r>
    </w:p>
    <w:p w14:paraId="39803A71">
      <w:pPr>
        <w:widowControl/>
        <w:autoSpaceDE/>
        <w:autoSpaceDN/>
        <w:snapToGrid w:val="0"/>
        <w:spacing w:line="400" w:lineRule="exact"/>
        <w:ind w:firstLine="600" w:firstLineChars="200"/>
        <w:jc w:val="left"/>
        <w:rPr>
          <w:rFonts w:hint="eastAsia" w:hAnsi="Times New Roman"/>
          <w:kern w:val="2"/>
          <w:sz w:val="30"/>
          <w:szCs w:val="30"/>
          <w:lang w:eastAsia="zh-CN"/>
        </w:rPr>
      </w:pPr>
      <w:r>
        <w:rPr>
          <w:rFonts w:hint="eastAsia" w:hAnsi="Times New Roman"/>
          <w:kern w:val="2"/>
          <w:sz w:val="30"/>
          <w:szCs w:val="30"/>
          <w:lang w:val="en-US" w:eastAsia="zh-CN"/>
        </w:rPr>
        <w:t>3</w:t>
      </w:r>
      <w:r>
        <w:rPr>
          <w:rFonts w:hint="eastAsia" w:ascii="仿宋_GB2312" w:hAnsi="Times New Roman"/>
          <w:kern w:val="2"/>
          <w:sz w:val="30"/>
          <w:szCs w:val="30"/>
          <w:lang w:val="en-US" w:eastAsia="zh-CN"/>
        </w:rPr>
        <w:t>、</w:t>
      </w:r>
      <w:r>
        <w:rPr>
          <w:rFonts w:hint="eastAsia" w:ascii="仿宋_GB2312" w:hAnsi="Times New Roman" w:eastAsia="仿宋_GB2312"/>
          <w:kern w:val="2"/>
          <w:sz w:val="30"/>
          <w:szCs w:val="30"/>
        </w:rPr>
        <w:t>申请停牌的原因</w:t>
      </w:r>
      <w:r>
        <w:rPr>
          <w:rFonts w:hint="eastAsia" w:hAnsi="Times New Roman"/>
          <w:kern w:val="2"/>
          <w:sz w:val="30"/>
          <w:szCs w:val="30"/>
          <w:lang w:eastAsia="zh-CN"/>
        </w:rPr>
        <w:t>：</w:t>
      </w:r>
    </w:p>
    <w:p w14:paraId="61A20783">
      <w:pPr>
        <w:widowControl/>
        <w:autoSpaceDE/>
        <w:autoSpaceDN/>
        <w:snapToGrid w:val="0"/>
        <w:spacing w:line="400" w:lineRule="exact"/>
        <w:ind w:firstLine="600" w:firstLineChars="200"/>
        <w:jc w:val="left"/>
        <w:rPr>
          <w:rFonts w:ascii="Times New Roman" w:hAnsi="Times New Roman" w:eastAsia="仿宋_GB2312"/>
          <w:kern w:val="0"/>
          <w:sz w:val="30"/>
          <w:szCs w:val="30"/>
        </w:rPr>
      </w:pPr>
      <w:r>
        <w:rPr>
          <w:rFonts w:hint="eastAsia" w:hAnsi="Times New Roman"/>
          <w:kern w:val="2"/>
          <w:sz w:val="30"/>
          <w:szCs w:val="30"/>
          <w:lang w:val="en-US" w:eastAsia="zh-CN"/>
        </w:rPr>
        <w:t>4、停牌时间：</w:t>
      </w:r>
      <w:r>
        <w:rPr>
          <w:rFonts w:ascii="Times New Roman" w:hAnsi="Times New Roman" w:eastAsia="仿宋_GB2312"/>
          <w:kern w:val="0"/>
          <w:sz w:val="30"/>
          <w:szCs w:val="30"/>
        </w:rPr>
        <w:t>自X年X月X日开市起停牌</w:t>
      </w:r>
    </w:p>
    <w:p w14:paraId="0DEB1352">
      <w:pPr>
        <w:widowControl/>
        <w:autoSpaceDE/>
        <w:autoSpaceDN/>
        <w:snapToGrid w:val="0"/>
        <w:spacing w:line="400" w:lineRule="exact"/>
        <w:ind w:firstLine="600" w:firstLineChars="200"/>
        <w:jc w:val="left"/>
        <w:rPr>
          <w:rFonts w:hint="eastAsia" w:ascii="Times New Roman" w:hAnsi="Times New Roman" w:eastAsia="仿宋_GB2312"/>
          <w:kern w:val="0"/>
          <w:sz w:val="30"/>
          <w:szCs w:val="30"/>
          <w:lang w:eastAsia="zh-CN"/>
        </w:rPr>
      </w:pPr>
      <w:r>
        <w:rPr>
          <w:rFonts w:hint="eastAsia" w:ascii="Times New Roman" w:hAnsi="Times New Roman"/>
          <w:kern w:val="0"/>
          <w:sz w:val="30"/>
          <w:szCs w:val="30"/>
          <w:lang w:val="en-US" w:eastAsia="zh-CN"/>
        </w:rPr>
        <w:t>5、复牌时间（如有）：</w:t>
      </w:r>
      <w:r>
        <w:rPr>
          <w:rFonts w:ascii="Times New Roman" w:hAnsi="Times New Roman" w:eastAsia="仿宋_GB2312"/>
          <w:kern w:val="0"/>
          <w:sz w:val="30"/>
          <w:szCs w:val="30"/>
        </w:rPr>
        <w:t>自X年X月X日开市起</w:t>
      </w:r>
      <w:r>
        <w:rPr>
          <w:rFonts w:hint="eastAsia" w:ascii="Times New Roman" w:hAnsi="Times New Roman"/>
          <w:kern w:val="0"/>
          <w:sz w:val="30"/>
          <w:szCs w:val="30"/>
          <w:lang w:eastAsia="zh-CN"/>
        </w:rPr>
        <w:t>复牌</w:t>
      </w:r>
    </w:p>
    <w:p w14:paraId="7292B9CA">
      <w:pPr>
        <w:widowControl/>
        <w:autoSpaceDE/>
        <w:autoSpaceDN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kern w:val="2"/>
          <w:sz w:val="30"/>
          <w:szCs w:val="30"/>
        </w:rPr>
      </w:pPr>
    </w:p>
    <w:p w14:paraId="54E26DB7">
      <w:pPr>
        <w:widowControl w:val="0"/>
        <w:autoSpaceDE w:val="0"/>
        <w:autoSpaceDN w:val="0"/>
        <w:spacing w:line="560" w:lineRule="exact"/>
        <w:ind w:left="640" w:leftChars="200" w:firstLine="0" w:firstLineChars="0"/>
        <w:rPr>
          <w:rFonts w:ascii="Times New Roman" w:hAnsi="Times New Roman" w:eastAsia="仿宋_GB2312"/>
          <w:kern w:val="0"/>
          <w:sz w:val="30"/>
          <w:szCs w:val="30"/>
        </w:rPr>
      </w:pPr>
    </w:p>
    <w:p w14:paraId="75870144">
      <w:pPr>
        <w:widowControl w:val="0"/>
        <w:autoSpaceDE w:val="0"/>
        <w:autoSpaceDN w:val="0"/>
        <w:spacing w:line="560" w:lineRule="exact"/>
        <w:ind w:firstLine="0" w:firstLineChars="0"/>
        <w:rPr>
          <w:rFonts w:ascii="Times New Roman" w:hAnsi="Times New Roman" w:eastAsia="仿宋_GB2312"/>
          <w:kern w:val="0"/>
          <w:sz w:val="30"/>
          <w:szCs w:val="30"/>
        </w:rPr>
      </w:pPr>
    </w:p>
    <w:p w14:paraId="2990A2C1">
      <w:pPr>
        <w:widowControl w:val="0"/>
        <w:autoSpaceDE w:val="0"/>
        <w:autoSpaceDN w:val="0"/>
        <w:spacing w:line="560" w:lineRule="exact"/>
        <w:ind w:firstLine="560" w:firstLineChars="0"/>
        <w:rPr>
          <w:rFonts w:ascii="Times New Roman" w:hAnsi="Times New Roman" w:eastAsia="仿宋_GB2312"/>
          <w:kern w:val="0"/>
          <w:sz w:val="30"/>
          <w:szCs w:val="30"/>
        </w:rPr>
      </w:pPr>
      <w:r>
        <w:rPr>
          <w:rFonts w:ascii="Times New Roman" w:hAnsi="Times New Roman" w:eastAsia="仿宋_GB2312"/>
          <w:kern w:val="0"/>
          <w:sz w:val="30"/>
          <w:szCs w:val="30"/>
        </w:rPr>
        <w:t>停牌期间，公司将严格按照有关法律、法规的规定履行信息披露义务，待有关事项确定后，公司将及时公告并申请公司债券复牌。敬请广大投资者注意投资风险。</w:t>
      </w:r>
    </w:p>
    <w:p w14:paraId="7CE32CD8">
      <w:pPr>
        <w:widowControl w:val="0"/>
        <w:autoSpaceDE w:val="0"/>
        <w:autoSpaceDN w:val="0"/>
        <w:spacing w:line="560" w:lineRule="exact"/>
        <w:ind w:firstLine="0" w:firstLineChars="0"/>
        <w:rPr>
          <w:rFonts w:ascii="Times New Roman" w:hAnsi="Times New Roman" w:eastAsia="仿宋_GB2312"/>
          <w:kern w:val="0"/>
          <w:sz w:val="30"/>
          <w:szCs w:val="30"/>
        </w:rPr>
      </w:pPr>
    </w:p>
    <w:p w14:paraId="167719B6">
      <w:pPr>
        <w:widowControl w:val="0"/>
        <w:autoSpaceDE w:val="0"/>
        <w:autoSpaceDN w:val="0"/>
        <w:spacing w:line="560" w:lineRule="exact"/>
        <w:ind w:firstLine="480" w:firstLineChars="0"/>
        <w:rPr>
          <w:rFonts w:ascii="Times New Roman" w:hAnsi="Times New Roman" w:eastAsia="仿宋_GB2312"/>
          <w:kern w:val="0"/>
          <w:sz w:val="30"/>
          <w:szCs w:val="30"/>
        </w:rPr>
      </w:pPr>
      <w:r>
        <w:rPr>
          <w:rFonts w:ascii="Times New Roman" w:hAnsi="Times New Roman" w:eastAsia="仿宋_GB2312"/>
          <w:kern w:val="0"/>
          <w:sz w:val="30"/>
          <w:szCs w:val="30"/>
        </w:rPr>
        <w:t>特此公告。</w:t>
      </w:r>
    </w:p>
    <w:p w14:paraId="7E11E2D7">
      <w:pPr>
        <w:widowControl w:val="0"/>
        <w:autoSpaceDE w:val="0"/>
        <w:autoSpaceDN w:val="0"/>
        <w:spacing w:line="560" w:lineRule="exact"/>
        <w:ind w:firstLine="480" w:firstLineChars="0"/>
        <w:rPr>
          <w:rFonts w:ascii="Times New Roman" w:hAnsi="Times New Roman" w:eastAsia="仿宋_GB2312"/>
          <w:kern w:val="0"/>
          <w:sz w:val="30"/>
          <w:szCs w:val="30"/>
        </w:rPr>
      </w:pPr>
    </w:p>
    <w:p w14:paraId="62012112">
      <w:pPr>
        <w:widowControl w:val="0"/>
        <w:autoSpaceDE w:val="0"/>
        <w:autoSpaceDN w:val="0"/>
        <w:spacing w:line="560" w:lineRule="exact"/>
        <w:ind w:firstLine="480" w:firstLineChars="0"/>
        <w:jc w:val="right"/>
        <w:rPr>
          <w:rFonts w:ascii="Times New Roman" w:hAnsi="Times New Roman" w:eastAsia="仿宋_GB2312"/>
          <w:kern w:val="0"/>
          <w:sz w:val="30"/>
          <w:szCs w:val="30"/>
        </w:rPr>
      </w:pPr>
      <w:r>
        <w:rPr>
          <w:rFonts w:ascii="Times New Roman" w:hAnsi="Times New Roman" w:eastAsia="仿宋_GB2312"/>
          <w:kern w:val="0"/>
          <w:sz w:val="30"/>
          <w:szCs w:val="30"/>
        </w:rPr>
        <w:t>XX公司</w:t>
      </w:r>
    </w:p>
    <w:p w14:paraId="7BDEE64C">
      <w:pPr>
        <w:widowControl w:val="0"/>
        <w:autoSpaceDE w:val="0"/>
        <w:autoSpaceDN w:val="0"/>
        <w:spacing w:line="560" w:lineRule="exact"/>
        <w:ind w:firstLine="480" w:firstLineChars="0"/>
        <w:jc w:val="right"/>
        <w:rPr>
          <w:rFonts w:ascii="仿宋_GB2312" w:hAnsi="宋体" w:eastAsia="仿宋_GB2312" w:cstheme="minorBidi"/>
          <w:b/>
          <w:sz w:val="32"/>
          <w:szCs w:val="32"/>
        </w:rPr>
        <w:sectPr>
          <w:footerReference r:id="rId5" w:type="default"/>
          <w:pgSz w:w="11906" w:h="16838"/>
          <w:pgMar w:top="2098" w:right="1474" w:bottom="1984" w:left="1587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ascii="Times New Roman" w:hAnsi="Times New Roman" w:eastAsia="仿宋_GB2312"/>
          <w:kern w:val="0"/>
          <w:sz w:val="30"/>
          <w:szCs w:val="30"/>
        </w:rPr>
        <w:t>年  月  日</w:t>
      </w:r>
      <w:bookmarkStart w:id="0" w:name="_GoBack"/>
      <w:bookmarkEnd w:id="0"/>
    </w:p>
    <w:p w14:paraId="23786698"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9B47C">
    <w:pPr>
      <w:widowControl w:val="0"/>
      <w:snapToGrid w:val="0"/>
      <w:jc w:val="both"/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722754">
                          <w:pPr>
                            <w:pStyle w:val="2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TTZk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lNNm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722754">
                    <w:pPr>
                      <w:pStyle w:val="2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76731"/>
    <w:rsid w:val="6797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spacing w:line="560" w:lineRule="exact"/>
      <w:ind w:firstLine="640" w:firstLineChars="20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宋体" w:hAnsi="宋体" w:eastAsia="宋体"/>
      <w:sz w:val="2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2026-01-03T15:30:00Z</dcterms:created>
  <dc:creator>Greengrape</dc:creator>
  <cp:lastModifiedBy>Greengrape</cp:lastModifiedBy>
  <dcterms:modified xsi:type="dcterms:W3CDTF">2026-01-03T15:31:12Z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2FC71C3D920C4E48ACAEBA57352D63DF_11</vt:lpwstr>
  </property>
  <property fmtid="{D5CDD505-2E9C-101B-9397-08002B2CF9AE}" pid="4" name="KSOTemplateDocerSaveRecord">
    <vt:lpwstr>eyJoZGlkIjoiMjBmZWY2ZDMxMThkYjMyN2ZkM2QyYWVlMmFkMDc0OTQiLCJ1c2VySWQiOiI3NzIxOTk4MjYifQ==</vt:lpwstr>
  </property>
</Properties>
</file>