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A501A">
      <w:pPr>
        <w:widowControl/>
        <w:spacing w:line="400" w:lineRule="exact"/>
        <w:ind w:firstLine="0" w:firstLineChars="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 xml:space="preserve">债券代码：                       债券简称：            </w:t>
      </w:r>
    </w:p>
    <w:p w14:paraId="07B8DE84">
      <w:pPr>
        <w:widowControl w:val="0"/>
        <w:adjustRightInd w:val="0"/>
        <w:snapToGrid w:val="0"/>
        <w:spacing w:line="400" w:lineRule="exact"/>
        <w:ind w:firstLine="510" w:firstLineChars="0"/>
        <w:jc w:val="center"/>
        <w:rPr>
          <w:rFonts w:hint="eastAsia" w:ascii="仿宋_GB2312" w:hAnsi="宋体" w:eastAsia="仿宋_GB2312"/>
          <w:bCs/>
          <w:sz w:val="30"/>
          <w:szCs w:val="30"/>
        </w:rPr>
      </w:pPr>
    </w:p>
    <w:p w14:paraId="630F03C3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djustRightInd w:val="0"/>
        <w:snapToGrid w:val="0"/>
        <w:spacing w:line="240" w:lineRule="auto"/>
        <w:ind w:firstLine="0" w:firstLineChars="0"/>
        <w:jc w:val="center"/>
        <w:rPr>
          <w:rFonts w:ascii="仿宋_GB2312" w:hAnsi="Calibri" w:eastAsia="仿宋_GB2312"/>
          <w:color w:val="000000"/>
          <w:sz w:val="30"/>
          <w:szCs w:val="30"/>
        </w:rPr>
      </w:pPr>
      <w:r>
        <w:rPr>
          <w:rFonts w:hint="eastAsia" w:ascii="仿宋_GB2312" w:hAnsi="宋体" w:eastAsia="仿宋_GB2312"/>
          <w:bCs/>
          <w:sz w:val="30"/>
          <w:szCs w:val="30"/>
        </w:rPr>
        <w:t>XX公司债券2</w:t>
      </w:r>
      <w:r>
        <w:rPr>
          <w:rFonts w:ascii="仿宋_GB2312" w:hAnsi="宋体" w:eastAsia="仿宋_GB2312"/>
          <w:bCs/>
          <w:sz w:val="30"/>
          <w:szCs w:val="30"/>
        </w:rPr>
        <w:t>0XX</w:t>
      </w:r>
      <w:r>
        <w:rPr>
          <w:rFonts w:hint="eastAsia" w:ascii="仿宋_GB2312" w:hAnsi="宋体" w:eastAsia="仿宋_GB2312"/>
          <w:bCs/>
          <w:sz w:val="30"/>
          <w:szCs w:val="30"/>
        </w:rPr>
        <w:t>年票面利率调整公告</w:t>
      </w:r>
    </w:p>
    <w:p w14:paraId="42C2DF29">
      <w:pPr>
        <w:widowControl/>
        <w:spacing w:line="400" w:lineRule="exact"/>
        <w:ind w:firstLine="0" w:firstLineChars="0"/>
        <w:jc w:val="left"/>
        <w:rPr>
          <w:rFonts w:ascii="仿宋_GB2312" w:hAnsi="Times New Roman" w:eastAsia="仿宋_GB2312"/>
          <w:sz w:val="30"/>
          <w:szCs w:val="30"/>
        </w:rPr>
      </w:pPr>
    </w:p>
    <w:p w14:paraId="53EB6246">
      <w:pPr>
        <w:widowControl/>
        <w:numPr>
          <w:ilvl w:val="0"/>
          <w:numId w:val="0"/>
        </w:numPr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</w:p>
    <w:p w14:paraId="3399F5FA">
      <w:pPr>
        <w:widowControl/>
        <w:numPr>
          <w:ilvl w:val="0"/>
          <w:numId w:val="0"/>
        </w:numPr>
        <w:snapToGrid/>
        <w:spacing w:line="400" w:lineRule="exact"/>
        <w:ind w:firstLine="600" w:firstLineChars="200"/>
        <w:jc w:val="left"/>
        <w:rPr>
          <w:rFonts w:hint="eastAsia" w:hAnsi="Times New Roman" w:cs="Times New Roman"/>
          <w:b w:val="0"/>
          <w:sz w:val="30"/>
          <w:szCs w:val="30"/>
          <w:lang w:eastAsia="zh-CN"/>
        </w:rPr>
      </w:pPr>
      <w:r>
        <w:rPr>
          <w:rFonts w:hint="eastAsia" w:ascii="仿宋_GB2312" w:hAnsi="Times New Roman" w:eastAsia="仿宋_GB2312" w:cs="Times New Roman"/>
          <w:sz w:val="30"/>
          <w:szCs w:val="30"/>
          <w:lang w:eastAsia="zh-CN"/>
        </w:rPr>
        <w:t>一、</w:t>
      </w:r>
      <w:r>
        <w:rPr>
          <w:rFonts w:hint="eastAsia" w:hAnsi="Times New Roman" w:cs="Times New Roman"/>
          <w:b w:val="0"/>
          <w:sz w:val="30"/>
          <w:szCs w:val="30"/>
          <w:lang w:eastAsia="zh-CN"/>
        </w:rPr>
        <w:t>本期债券票面利率调整情况如下：</w:t>
      </w:r>
    </w:p>
    <w:p w14:paraId="400490C5">
      <w:pPr>
        <w:widowControl/>
        <w:spacing w:line="400" w:lineRule="exact"/>
        <w:ind w:firstLine="600" w:firstLineChars="200"/>
        <w:jc w:val="left"/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470"/>
        <w:gridCol w:w="1485"/>
        <w:gridCol w:w="1725"/>
        <w:gridCol w:w="1725"/>
        <w:gridCol w:w="1451"/>
      </w:tblGrid>
      <w:tr w14:paraId="60534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dxa"/>
          </w:tcPr>
          <w:p w14:paraId="3FBD4006">
            <w:pPr>
              <w:widowControl/>
              <w:spacing w:line="240" w:lineRule="auto"/>
              <w:ind w:firstLine="0" w:firstLineChars="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序号</w:t>
            </w:r>
          </w:p>
        </w:tc>
        <w:tc>
          <w:tcPr>
            <w:tcW w:w="1470" w:type="dxa"/>
          </w:tcPr>
          <w:p w14:paraId="663ECDD7">
            <w:pPr>
              <w:widowControl/>
              <w:spacing w:line="240" w:lineRule="auto"/>
              <w:ind w:firstLine="0" w:firstLineChars="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债券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代码</w:t>
            </w:r>
          </w:p>
        </w:tc>
        <w:tc>
          <w:tcPr>
            <w:tcW w:w="1485" w:type="dxa"/>
          </w:tcPr>
          <w:p w14:paraId="62856E99">
            <w:pPr>
              <w:widowControl/>
              <w:spacing w:line="240" w:lineRule="auto"/>
              <w:ind w:firstLine="0" w:firstLineChars="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债券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简称</w:t>
            </w:r>
          </w:p>
        </w:tc>
        <w:tc>
          <w:tcPr>
            <w:tcW w:w="1725" w:type="dxa"/>
          </w:tcPr>
          <w:p w14:paraId="43F0AAC8">
            <w:pPr>
              <w:widowControl/>
              <w:spacing w:line="240" w:lineRule="auto"/>
              <w:ind w:firstLine="0" w:firstLineChars="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调整前</w:t>
            </w:r>
          </w:p>
          <w:p w14:paraId="6503575F">
            <w:pPr>
              <w:widowControl/>
              <w:spacing w:line="240" w:lineRule="auto"/>
              <w:ind w:firstLine="0" w:firstLineChars="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票面利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率</w:t>
            </w:r>
          </w:p>
        </w:tc>
        <w:tc>
          <w:tcPr>
            <w:tcW w:w="1725" w:type="dxa"/>
          </w:tcPr>
          <w:p w14:paraId="36B5AC1F">
            <w:pPr>
              <w:widowControl/>
              <w:spacing w:line="240" w:lineRule="auto"/>
              <w:ind w:firstLine="0" w:firstLineChars="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调整后</w:t>
            </w:r>
          </w:p>
          <w:p w14:paraId="2093A2D5">
            <w:pPr>
              <w:widowControl/>
              <w:spacing w:line="240" w:lineRule="auto"/>
              <w:ind w:firstLine="0" w:firstLineChars="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票面利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率</w:t>
            </w:r>
          </w:p>
        </w:tc>
        <w:tc>
          <w:tcPr>
            <w:tcW w:w="1451" w:type="dxa"/>
          </w:tcPr>
          <w:p w14:paraId="2D778ACC">
            <w:pPr>
              <w:widowControl/>
              <w:spacing w:line="240" w:lineRule="auto"/>
              <w:ind w:firstLine="0" w:firstLineChars="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本次调整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起息日</w:t>
            </w:r>
          </w:p>
        </w:tc>
      </w:tr>
      <w:tr w14:paraId="560D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dxa"/>
          </w:tcPr>
          <w:p w14:paraId="2ABF8ED7">
            <w:pPr>
              <w:widowControl/>
              <w:spacing w:line="240" w:lineRule="auto"/>
              <w:ind w:firstLine="0" w:firstLineChars="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</w:t>
            </w:r>
          </w:p>
        </w:tc>
        <w:tc>
          <w:tcPr>
            <w:tcW w:w="1470" w:type="dxa"/>
          </w:tcPr>
          <w:p w14:paraId="3AB82C4D">
            <w:pPr>
              <w:widowControl/>
              <w:spacing w:line="240" w:lineRule="auto"/>
              <w:ind w:firstLine="560" w:firstLineChars="200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85" w:type="dxa"/>
          </w:tcPr>
          <w:p w14:paraId="6D128E97">
            <w:pPr>
              <w:widowControl/>
              <w:spacing w:line="240" w:lineRule="auto"/>
              <w:ind w:firstLine="560" w:firstLineChars="200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725" w:type="dxa"/>
          </w:tcPr>
          <w:p w14:paraId="2F9AF540">
            <w:pPr>
              <w:widowControl/>
              <w:spacing w:line="240" w:lineRule="auto"/>
              <w:ind w:firstLine="560" w:firstLineChars="200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725" w:type="dxa"/>
          </w:tcPr>
          <w:p w14:paraId="46FDC632">
            <w:pPr>
              <w:widowControl/>
              <w:spacing w:line="240" w:lineRule="auto"/>
              <w:ind w:firstLine="560" w:firstLineChars="200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51" w:type="dxa"/>
          </w:tcPr>
          <w:p w14:paraId="59247438">
            <w:pPr>
              <w:widowControl/>
              <w:spacing w:line="240" w:lineRule="auto"/>
              <w:ind w:firstLine="560" w:firstLineChars="200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 w14:paraId="00DEA68A">
      <w:pPr>
        <w:widowControl/>
        <w:spacing w:line="240" w:lineRule="auto"/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</w:p>
    <w:p w14:paraId="4F3D4D95">
      <w:pPr>
        <w:widowControl/>
        <w:spacing w:line="400" w:lineRule="exact"/>
        <w:ind w:firstLine="0" w:firstLineChars="0"/>
        <w:jc w:val="left"/>
        <w:rPr>
          <w:rFonts w:hint="eastAsia" w:ascii="仿宋_GB2312" w:hAnsi="Times New Roman" w:eastAsia="仿宋_GB2312"/>
          <w:sz w:val="30"/>
          <w:szCs w:val="30"/>
        </w:rPr>
      </w:pPr>
    </w:p>
    <w:p w14:paraId="3F7A8F05">
      <w:pPr>
        <w:widowControl/>
        <w:numPr>
          <w:ilvl w:val="-1"/>
          <w:numId w:val="0"/>
        </w:numPr>
        <w:spacing w:line="400" w:lineRule="exact"/>
        <w:ind w:firstLine="600" w:firstLineChars="200"/>
        <w:jc w:val="left"/>
        <w:rPr>
          <w:rFonts w:hint="eastAsia" w:ascii="仿宋_GB2312" w:hAnsi="Times New Roman" w:eastAsia="仿宋_GB2312" w:cs="Times New Roman"/>
          <w:sz w:val="30"/>
          <w:szCs w:val="30"/>
          <w:lang w:eastAsia="zh-CN"/>
        </w:rPr>
      </w:pPr>
      <w:r>
        <w:rPr>
          <w:rFonts w:hint="eastAsia" w:hAnsi="Times New Roman"/>
          <w:sz w:val="30"/>
          <w:szCs w:val="30"/>
          <w:lang w:eastAsia="zh-CN"/>
        </w:rPr>
        <w:t>二</w:t>
      </w:r>
      <w:r>
        <w:rPr>
          <w:rFonts w:hint="eastAsia" w:ascii="仿宋_GB2312" w:hAnsi="Times New Roman" w:eastAsia="仿宋_GB2312"/>
          <w:sz w:val="30"/>
          <w:szCs w:val="30"/>
          <w:lang w:eastAsia="zh-CN"/>
        </w:rPr>
        <w:t>、</w:t>
      </w:r>
      <w:r>
        <w:rPr>
          <w:rFonts w:hint="eastAsia" w:ascii="仿宋_GB2312" w:hAnsi="Times New Roman" w:eastAsia="仿宋_GB2312" w:cs="Times New Roman"/>
          <w:sz w:val="30"/>
          <w:szCs w:val="30"/>
          <w:lang w:eastAsia="zh-CN"/>
        </w:rPr>
        <w:t>发行人承诺事项（仅下调票面利率需要）：</w:t>
      </w:r>
    </w:p>
    <w:p w14:paraId="4EB1F06A">
      <w:pPr>
        <w:widowControl/>
        <w:numPr>
          <w:ilvl w:val="-1"/>
          <w:numId w:val="0"/>
        </w:numPr>
        <w:spacing w:line="400" w:lineRule="exact"/>
        <w:ind w:firstLine="600" w:firstLineChars="200"/>
        <w:jc w:val="left"/>
        <w:rPr>
          <w:rFonts w:hint="eastAsia" w:ascii="仿宋_GB2312" w:hAnsi="Times New Roman" w:eastAsia="仿宋_GB2312" w:cs="Times New Roman"/>
          <w:sz w:val="30"/>
          <w:szCs w:val="30"/>
        </w:rPr>
      </w:pPr>
      <w:r>
        <w:rPr>
          <w:rFonts w:hint="eastAsia" w:ascii="仿宋_GB2312" w:hAnsi="Times New Roman" w:eastAsia="仿宋_GB2312" w:cs="Times New Roman"/>
          <w:sz w:val="30"/>
          <w:szCs w:val="30"/>
          <w:lang w:val="en-US" w:eastAsia="zh-CN"/>
        </w:rPr>
        <w:t>1.</w:t>
      </w:r>
      <w:r>
        <w:rPr>
          <w:rFonts w:hint="eastAsia" w:ascii="仿宋_GB2312" w:hAnsi="Times New Roman" w:eastAsia="仿宋_GB2312" w:cs="Times New Roman"/>
          <w:sz w:val="30"/>
          <w:szCs w:val="30"/>
        </w:rPr>
        <w:t>本次票面利率下调符合募集说明书约定；</w:t>
      </w:r>
    </w:p>
    <w:p w14:paraId="415E4676">
      <w:pPr>
        <w:widowControl/>
        <w:numPr>
          <w:ilvl w:val="-1"/>
          <w:numId w:val="0"/>
        </w:numPr>
        <w:spacing w:line="400" w:lineRule="exact"/>
        <w:ind w:firstLine="600" w:firstLineChars="200"/>
        <w:jc w:val="left"/>
        <w:rPr>
          <w:rFonts w:hint="eastAsia" w:ascii="仿宋_GB2312" w:hAnsi="Times New Roman" w:eastAsia="仿宋_GB2312" w:cs="Times New Roman"/>
          <w:sz w:val="30"/>
          <w:szCs w:val="30"/>
        </w:rPr>
      </w:pPr>
      <w:r>
        <w:rPr>
          <w:rFonts w:hint="eastAsia" w:ascii="仿宋_GB2312" w:hAnsi="Times New Roman" w:eastAsia="仿宋_GB2312" w:cs="Times New Roman"/>
          <w:sz w:val="30"/>
          <w:szCs w:val="30"/>
          <w:lang w:val="en-US" w:eastAsia="zh-CN"/>
        </w:rPr>
        <w:t>2.</w:t>
      </w:r>
      <w:r>
        <w:rPr>
          <w:rFonts w:hint="eastAsia" w:ascii="仿宋_GB2312" w:hAnsi="Times New Roman" w:eastAsia="仿宋_GB2312" w:cs="Times New Roman"/>
          <w:sz w:val="30"/>
          <w:szCs w:val="30"/>
        </w:rPr>
        <w:t>下调后的利率合理、公允；</w:t>
      </w:r>
    </w:p>
    <w:p w14:paraId="545C358E">
      <w:pPr>
        <w:widowControl/>
        <w:numPr>
          <w:ilvl w:val="-1"/>
          <w:numId w:val="0"/>
        </w:numPr>
        <w:spacing w:line="400" w:lineRule="exact"/>
        <w:ind w:firstLine="600" w:firstLineChars="200"/>
        <w:jc w:val="left"/>
        <w:rPr>
          <w:rFonts w:hint="eastAsia" w:ascii="仿宋_GB2312" w:hAnsi="Times New Roman" w:eastAsia="仿宋_GB2312" w:cs="Times New Roman"/>
          <w:sz w:val="30"/>
          <w:szCs w:val="30"/>
        </w:rPr>
      </w:pPr>
      <w:r>
        <w:rPr>
          <w:rFonts w:hint="eastAsia" w:ascii="仿宋_GB2312" w:hAnsi="Times New Roman" w:eastAsia="仿宋_GB2312" w:cs="Times New Roman"/>
          <w:sz w:val="30"/>
          <w:szCs w:val="30"/>
          <w:lang w:val="en-US" w:eastAsia="zh-CN"/>
        </w:rPr>
        <w:t>3.</w:t>
      </w:r>
      <w:r>
        <w:rPr>
          <w:rFonts w:hint="eastAsia" w:ascii="仿宋_GB2312" w:hAnsi="Times New Roman" w:eastAsia="仿宋_GB2312" w:cs="Times New Roman"/>
          <w:sz w:val="30"/>
          <w:szCs w:val="30"/>
        </w:rPr>
        <w:t>受托管理人已对前述事项核查并无异议。</w:t>
      </w:r>
    </w:p>
    <w:p w14:paraId="475DF4E4">
      <w:pPr>
        <w:widowControl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</w:p>
    <w:p w14:paraId="144B7BD6">
      <w:pPr>
        <w:widowControl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06E36C81">
      <w:pPr>
        <w:widowControl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特此公告。</w:t>
      </w:r>
    </w:p>
    <w:p w14:paraId="2483E0AF">
      <w:pPr>
        <w:widowControl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32EAC0C6">
      <w:pPr>
        <w:widowControl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77651E86">
      <w:pPr>
        <w:widowControl/>
        <w:spacing w:line="400" w:lineRule="exact"/>
        <w:ind w:firstLine="0" w:firstLineChars="0"/>
        <w:jc w:val="righ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XX公司</w:t>
      </w:r>
    </w:p>
    <w:p w14:paraId="603940A7">
      <w:pPr>
        <w:widowControl/>
        <w:spacing w:line="400" w:lineRule="exact"/>
        <w:ind w:firstLine="0" w:firstLineChars="0"/>
        <w:jc w:val="righ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2</w:t>
      </w:r>
      <w:r>
        <w:rPr>
          <w:rFonts w:ascii="仿宋_GB2312" w:hAnsi="Times New Roman" w:eastAsia="仿宋_GB2312"/>
          <w:sz w:val="30"/>
          <w:szCs w:val="30"/>
        </w:rPr>
        <w:t>0XX</w:t>
      </w:r>
      <w:r>
        <w:rPr>
          <w:rFonts w:hint="eastAsia" w:ascii="仿宋_GB2312" w:hAnsi="Times New Roman" w:eastAsia="仿宋_GB2312"/>
          <w:sz w:val="30"/>
          <w:szCs w:val="30"/>
        </w:rPr>
        <w:t>年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月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日</w:t>
      </w:r>
    </w:p>
    <w:p w14:paraId="0DC45A20">
      <w:pPr>
        <w:widowControl/>
        <w:spacing w:line="400" w:lineRule="exact"/>
        <w:ind w:firstLine="0" w:firstLineChars="0"/>
        <w:jc w:val="right"/>
        <w:rPr>
          <w:rFonts w:ascii="仿宋_GB2312" w:hAnsi="Times New Roman" w:eastAsia="仿宋_GB2312"/>
          <w:sz w:val="30"/>
          <w:szCs w:val="30"/>
        </w:rPr>
      </w:pPr>
    </w:p>
    <w:p w14:paraId="6B46FAF5">
      <w:pPr>
        <w:widowControl w:val="0"/>
        <w:spacing w:line="240" w:lineRule="auto"/>
        <w:ind w:firstLine="0" w:firstLineChars="0"/>
        <w:rPr>
          <w:rFonts w:ascii="Calibri" w:hAnsi="Calibri" w:eastAsia="宋体"/>
          <w:sz w:val="21"/>
          <w:szCs w:val="22"/>
        </w:rPr>
      </w:pPr>
      <w:bookmarkStart w:id="0" w:name="_GoBack"/>
      <w:bookmarkEnd w:id="0"/>
    </w:p>
    <w:p w14:paraId="2F565C2E">
      <w:pPr>
        <w:widowControl/>
        <w:numPr>
          <w:ilvl w:val="0"/>
          <w:numId w:val="0"/>
        </w:numPr>
        <w:spacing w:line="400" w:lineRule="exact"/>
        <w:ind w:right="301" w:rightChars="0" w:firstLine="640" w:firstLineChars="200"/>
        <w:jc w:val="left"/>
        <w:rPr>
          <w:rFonts w:ascii="仿宋_GB2312" w:hAnsi="Times New Roman" w:eastAsia="仿宋_GB2312" w:cstheme="minorBidi"/>
          <w:kern w:val="2"/>
          <w:sz w:val="32"/>
          <w:szCs w:val="32"/>
          <w:lang w:val="en-US" w:eastAsia="zh-CN" w:bidi="ar-SA"/>
        </w:rPr>
      </w:pPr>
    </w:p>
    <w:p w14:paraId="6082DA7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20" w:right="300" w:firstLine="0" w:firstLineChars="0"/>
        <w:jc w:val="left"/>
        <w:textAlignment w:val="auto"/>
        <w:rPr>
          <w:rFonts w:ascii="仿宋_GB2312" w:hAnsi="Times New Roman" w:eastAsia="仿宋_GB2312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theme="minorBidi"/>
          <w:kern w:val="2"/>
          <w:sz w:val="32"/>
          <w:szCs w:val="32"/>
          <w:lang w:val="en-US" w:eastAsia="zh-CN" w:bidi="ar-SA"/>
        </w:rPr>
        <w:t>注意事项：</w:t>
      </w:r>
    </w:p>
    <w:p w14:paraId="0B063CFD">
      <w:pPr>
        <w:widowControl/>
        <w:spacing w:line="400" w:lineRule="exact"/>
        <w:ind w:right="301" w:firstLine="640" w:firstLineChars="200"/>
        <w:jc w:val="left"/>
        <w:rPr>
          <w:rFonts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若为浮动利率债券，需要详细说明本期债券利率构成要素、各要素的确定方式以及确定过程。</w:t>
      </w:r>
    </w:p>
    <w:p w14:paraId="018A7F54">
      <w:pPr>
        <w:widowControl w:val="0"/>
        <w:spacing w:line="400" w:lineRule="exact"/>
        <w:ind w:firstLine="0" w:firstLineChars="0"/>
        <w:outlineLvl w:val="9"/>
        <w:rPr>
          <w:rFonts w:hint="eastAsia" w:ascii="仿宋_GB2312" w:hAnsi="宋体" w:eastAsia="仿宋_GB2312" w:cstheme="minorBidi"/>
          <w:b/>
          <w:sz w:val="32"/>
          <w:szCs w:val="32"/>
        </w:rPr>
        <w:sectPr>
          <w:footerReference r:id="rId5" w:type="default"/>
          <w:pgSz w:w="11906" w:h="16838"/>
          <w:pgMar w:top="2098" w:right="1474" w:bottom="1984" w:left="1587" w:header="851" w:footer="992" w:gutter="0"/>
          <w:pgNumType w:fmt="decimal"/>
          <w:cols w:space="425" w:num="1"/>
          <w:docGrid w:type="lines" w:linePitch="312" w:charSpace="0"/>
        </w:sectPr>
      </w:pPr>
    </w:p>
    <w:p w14:paraId="4F8E48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8AA3A">
    <w:pPr>
      <w:widowControl w:val="0"/>
      <w:snapToGrid w:val="0"/>
      <w:jc w:val="center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CC2B6E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CC2B6E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A273F0"/>
    <w:multiLevelType w:val="multilevel"/>
    <w:tmpl w:val="51A273F0"/>
    <w:lvl w:ilvl="0" w:tentative="0">
      <w:start w:val="1"/>
      <w:numFmt w:val="bullet"/>
      <w:lvlText w:val=""/>
      <w:lvlJc w:val="left"/>
      <w:pPr>
        <w:ind w:left="10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05B8F"/>
    <w:rsid w:val="54B0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line="560" w:lineRule="exact"/>
      <w:ind w:firstLine="640" w:firstLineChars="20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宋体" w:hAnsi="宋体" w:eastAsia="宋体"/>
      <w:sz w:val="28"/>
      <w:szCs w:val="18"/>
    </w:r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2026-01-03T15:27:00Z</dcterms:created>
  <dc:creator>Greengrape</dc:creator>
  <cp:lastModifiedBy>Greengrape</cp:lastModifiedBy>
  <dcterms:modified xsi:type="dcterms:W3CDTF">2026-01-03T15:27:45Z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EC41B5C77C2C4829AA9A91310F21B722_11</vt:lpwstr>
  </property>
  <property fmtid="{D5CDD505-2E9C-101B-9397-08002B2CF9AE}" pid="4" name="KSOTemplateDocerSaveRecord">
    <vt:lpwstr>eyJoZGlkIjoiMjBmZWY2ZDMxMThkYjMyN2ZkM2QyYWVlMmFkMDc0OTQiLCJ1c2VySWQiOiI3NzIxOTk4MjYifQ==</vt:lpwstr>
  </property>
</Properties>
</file>