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BAC5C">
      <w:pPr>
        <w:widowControl w:val="0"/>
        <w:spacing w:line="400" w:lineRule="exact"/>
        <w:ind w:firstLine="0" w:firstLineChars="0"/>
        <w:jc w:val="both"/>
        <w:rPr>
          <w:rFonts w:hint="eastAsia"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 xml:space="preserve">债券代码：                       债券简称： </w:t>
      </w:r>
      <w:bookmarkStart w:id="0" w:name="_GoBack"/>
      <w:bookmarkEnd w:id="0"/>
    </w:p>
    <w:p w14:paraId="56587A75">
      <w:pPr>
        <w:widowControl w:val="0"/>
        <w:spacing w:line="400" w:lineRule="exact"/>
        <w:ind w:firstLine="0" w:firstLineChars="0"/>
        <w:jc w:val="both"/>
        <w:rPr>
          <w:rFonts w:hint="eastAsia" w:ascii="仿宋_GB2312" w:hAnsi="Times New Roman" w:eastAsia="仿宋_GB2312"/>
          <w:sz w:val="30"/>
          <w:szCs w:val="30"/>
        </w:rPr>
      </w:pPr>
    </w:p>
    <w:p w14:paraId="013EF152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djustRightInd w:val="0"/>
        <w:snapToGrid w:val="0"/>
        <w:spacing w:line="240" w:lineRule="auto"/>
        <w:ind w:firstLine="0" w:firstLineChars="0"/>
        <w:jc w:val="center"/>
        <w:rPr>
          <w:rFonts w:hint="eastAsia" w:ascii="仿宋_GB2312" w:hAnsi="宋体" w:eastAsia="仿宋_GB2312" w:cs="Times New Roman"/>
          <w:b w:val="0"/>
          <w:bCs/>
          <w:sz w:val="30"/>
          <w:szCs w:val="30"/>
        </w:rPr>
      </w:pPr>
      <w:r>
        <w:rPr>
          <w:rFonts w:hint="eastAsia" w:ascii="仿宋_GB2312" w:hAnsi="宋体" w:eastAsia="仿宋_GB2312" w:cs="Times New Roman"/>
          <w:b w:val="0"/>
          <w:bCs/>
          <w:sz w:val="30"/>
          <w:szCs w:val="30"/>
        </w:rPr>
        <w:t>关于XXX公司XXX债券分期偿还本金公告</w:t>
      </w:r>
    </w:p>
    <w:p w14:paraId="23CFB69F">
      <w:pPr>
        <w:widowControl w:val="0"/>
        <w:spacing w:line="520" w:lineRule="exact"/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</w:p>
    <w:p w14:paraId="365B60F1">
      <w:pPr>
        <w:widowControl w:val="0"/>
        <w:spacing w:line="520" w:lineRule="exact"/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重要内容提示：</w:t>
      </w:r>
    </w:p>
    <w:p w14:paraId="2D5E236E">
      <w:pPr>
        <w:widowControl w:val="0"/>
        <w:numPr>
          <w:ilvl w:val="0"/>
          <w:numId w:val="1"/>
        </w:numPr>
        <w:snapToGrid w:val="0"/>
        <w:ind w:left="0" w:leftChars="0" w:firstLine="640" w:firstLineChars="200"/>
        <w:jc w:val="both"/>
        <w:rPr>
          <w:rFonts w:hint="eastAsia" w:ascii="仿宋_GB2312" w:hAnsi="Times New Roman" w:eastAsia="仿宋_GB2312" w:cs="Times New Roman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kern w:val="2"/>
          <w:sz w:val="32"/>
          <w:szCs w:val="32"/>
          <w:lang w:val="en-US" w:eastAsia="zh-CN" w:bidi="ar-SA"/>
        </w:rPr>
        <w:t>债权登记日：　　　</w:t>
      </w:r>
    </w:p>
    <w:p w14:paraId="58B1DB5A">
      <w:pPr>
        <w:widowControl w:val="0"/>
        <w:numPr>
          <w:ilvl w:val="0"/>
          <w:numId w:val="1"/>
        </w:numPr>
        <w:snapToGrid w:val="0"/>
        <w:ind w:left="0" w:leftChars="0" w:firstLine="640" w:firstLineChars="200"/>
        <w:jc w:val="both"/>
        <w:rPr>
          <w:rFonts w:hint="eastAsia" w:ascii="仿宋_GB2312" w:hAnsi="Times New Roman" w:eastAsia="仿宋_GB2312" w:cs="Times New Roman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kern w:val="2"/>
          <w:sz w:val="32"/>
          <w:szCs w:val="32"/>
          <w:lang w:val="en-US" w:eastAsia="zh-CN" w:bidi="ar-SA"/>
        </w:rPr>
        <w:t>本金偿还日：　　　</w:t>
      </w:r>
    </w:p>
    <w:p w14:paraId="6394613C">
      <w:pPr>
        <w:widowControl w:val="0"/>
        <w:numPr>
          <w:ilvl w:val="0"/>
          <w:numId w:val="1"/>
        </w:numPr>
        <w:snapToGrid w:val="0"/>
        <w:ind w:left="0" w:leftChars="0" w:firstLine="640" w:firstLineChars="200"/>
        <w:jc w:val="both"/>
        <w:rPr>
          <w:rFonts w:hint="eastAsia" w:ascii="仿宋_GB2312" w:hAnsi="Times New Roman" w:eastAsia="仿宋_GB2312" w:cs="Times New Roman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kern w:val="2"/>
          <w:sz w:val="32"/>
          <w:szCs w:val="32"/>
          <w:lang w:val="en-US" w:eastAsia="zh-CN" w:bidi="ar-SA"/>
        </w:rPr>
        <w:t>本次偿还比例：　　　%</w:t>
      </w:r>
    </w:p>
    <w:p w14:paraId="251F2BFE">
      <w:pPr>
        <w:widowControl w:val="0"/>
        <w:numPr>
          <w:ilvl w:val="-1"/>
          <w:numId w:val="0"/>
        </w:numPr>
        <w:snapToGrid w:val="0"/>
        <w:ind w:left="640" w:leftChars="200" w:firstLine="0" w:firstLineChars="0"/>
        <w:jc w:val="both"/>
        <w:rPr>
          <w:rFonts w:hint="eastAsia" w:ascii="仿宋_GB2312" w:hAnsi="Times New Roman" w:eastAsia="仿宋_GB2312" w:cs="Times New Roman"/>
          <w:b w:val="0"/>
          <w:kern w:val="2"/>
          <w:sz w:val="32"/>
          <w:szCs w:val="32"/>
          <w:lang w:val="en-US" w:eastAsia="zh-CN" w:bidi="ar-SA"/>
        </w:rPr>
      </w:pPr>
    </w:p>
    <w:p w14:paraId="39FCFBA1">
      <w:pPr>
        <w:widowControl/>
        <w:snapToGrid w:val="0"/>
        <w:spacing w:line="400" w:lineRule="exact"/>
        <w:ind w:firstLine="640" w:firstLineChars="200"/>
        <w:jc w:val="left"/>
        <w:rPr>
          <w:rFonts w:hint="eastAsia" w:ascii="仿宋_GB2312" w:hAnsi="Times New Roman" w:eastAsia="仿宋_GB2312" w:cs="Times New Roman"/>
          <w:b w:val="0"/>
          <w:sz w:val="32"/>
          <w:szCs w:val="32"/>
        </w:rPr>
      </w:pPr>
      <w:r>
        <w:rPr>
          <w:rFonts w:hint="eastAsia" w:ascii="仿宋_GB2312" w:hAnsi="Times New Roman" w:eastAsia="仿宋_GB2312" w:cs="Times New Roman"/>
          <w:b w:val="0"/>
          <w:sz w:val="32"/>
          <w:szCs w:val="32"/>
        </w:rPr>
        <w:t>发行人的相关证券分期偿还情况如下：</w:t>
      </w:r>
    </w:p>
    <w:p w14:paraId="35F8C2E2">
      <w:pPr>
        <w:widowControl/>
        <w:snapToGrid w:val="0"/>
        <w:spacing w:line="400" w:lineRule="exact"/>
        <w:ind w:firstLine="640" w:firstLineChars="200"/>
        <w:jc w:val="right"/>
        <w:rPr>
          <w:rFonts w:hint="eastAsia" w:ascii="仿宋_GB2312" w:hAnsi="Times New Roman" w:eastAsia="仿宋_GB2312" w:cs="Times New Roman"/>
          <w:b w:val="0"/>
          <w:sz w:val="32"/>
          <w:szCs w:val="32"/>
        </w:rPr>
      </w:pPr>
      <w:r>
        <w:rPr>
          <w:rFonts w:hint="eastAsia" w:ascii="仿宋_GB2312" w:hAnsi="Times New Roman" w:eastAsia="仿宋_GB2312" w:cs="Times New Roman"/>
          <w:b w:val="0"/>
          <w:sz w:val="32"/>
          <w:szCs w:val="32"/>
        </w:rPr>
        <w:t>单位：元</w:t>
      </w:r>
    </w:p>
    <w:tbl>
      <w:tblPr>
        <w:tblStyle w:val="4"/>
        <w:tblW w:w="89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916"/>
        <w:gridCol w:w="1724"/>
        <w:gridCol w:w="1620"/>
        <w:gridCol w:w="1930"/>
        <w:gridCol w:w="1750"/>
      </w:tblGrid>
      <w:tr w14:paraId="1674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Align w:val="center"/>
          </w:tcPr>
          <w:p w14:paraId="0931313B">
            <w:pPr>
              <w:widowControl/>
              <w:snapToGrid w:val="0"/>
              <w:spacing w:line="400" w:lineRule="exact"/>
              <w:ind w:firstLine="0" w:firstLineChars="0"/>
              <w:jc w:val="left"/>
              <w:rPr>
                <w:rFonts w:hint="eastAsia" w:ascii="仿宋_GB2312" w:hAnsi="Times New Roman" w:eastAsia="仿宋_GB2312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kern w:val="2"/>
                <w:sz w:val="32"/>
                <w:szCs w:val="32"/>
              </w:rPr>
              <w:t>证券代码</w:t>
            </w:r>
          </w:p>
        </w:tc>
        <w:tc>
          <w:tcPr>
            <w:tcW w:w="916" w:type="dxa"/>
            <w:vAlign w:val="center"/>
          </w:tcPr>
          <w:p w14:paraId="3275049F">
            <w:pPr>
              <w:widowControl/>
              <w:snapToGrid w:val="0"/>
              <w:spacing w:line="400" w:lineRule="exact"/>
              <w:ind w:firstLine="0" w:firstLineChars="0"/>
              <w:jc w:val="left"/>
              <w:rPr>
                <w:rFonts w:hint="eastAsia" w:ascii="仿宋_GB2312" w:hAnsi="Times New Roman" w:eastAsia="仿宋_GB2312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kern w:val="2"/>
                <w:sz w:val="32"/>
                <w:szCs w:val="32"/>
                <w:lang w:eastAsia="zh-CN"/>
              </w:rPr>
              <w:t>证券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kern w:val="2"/>
                <w:sz w:val="32"/>
                <w:szCs w:val="32"/>
              </w:rPr>
              <w:t>简称</w:t>
            </w:r>
          </w:p>
        </w:tc>
        <w:tc>
          <w:tcPr>
            <w:tcW w:w="1724" w:type="dxa"/>
            <w:vAlign w:val="center"/>
          </w:tcPr>
          <w:p w14:paraId="5826BAA5">
            <w:pPr>
              <w:widowControl/>
              <w:snapToGrid w:val="0"/>
              <w:spacing w:line="400" w:lineRule="exact"/>
              <w:ind w:firstLine="0" w:firstLineChars="0"/>
              <w:jc w:val="left"/>
              <w:rPr>
                <w:rFonts w:hint="eastAsia" w:ascii="仿宋_GB2312" w:hAnsi="Times New Roman" w:eastAsia="仿宋_GB2312" w:cs="Times New Roman"/>
                <w:b w:val="0"/>
                <w:bCs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sz w:val="32"/>
                <w:szCs w:val="32"/>
              </w:rPr>
              <w:t>调整前债券面值</w:t>
            </w:r>
          </w:p>
        </w:tc>
        <w:tc>
          <w:tcPr>
            <w:tcW w:w="1620" w:type="dxa"/>
            <w:vAlign w:val="center"/>
          </w:tcPr>
          <w:p w14:paraId="69301799">
            <w:pPr>
              <w:widowControl/>
              <w:snapToGrid w:val="0"/>
              <w:spacing w:line="400" w:lineRule="exact"/>
              <w:ind w:firstLine="0" w:firstLineChars="0"/>
              <w:jc w:val="left"/>
              <w:rPr>
                <w:rFonts w:hint="eastAsia" w:ascii="仿宋_GB2312" w:hAnsi="Times New Roman" w:eastAsia="仿宋_GB2312" w:cs="Times New Roman"/>
                <w:b w:val="0"/>
                <w:bCs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sz w:val="32"/>
                <w:szCs w:val="32"/>
              </w:rPr>
              <w:t>调整后</w:t>
            </w:r>
            <w:r>
              <w:rPr>
                <w:rFonts w:hint="eastAsia" w:ascii="仿宋_GB2312" w:hAnsi="Times New Roman" w:eastAsia="仿宋_GB2312" w:cs="Times New Roman"/>
                <w:b w:val="0"/>
                <w:sz w:val="32"/>
                <w:szCs w:val="32"/>
                <w:lang w:eastAsia="zh-CN"/>
              </w:rPr>
              <w:t>债券</w:t>
            </w:r>
            <w:r>
              <w:rPr>
                <w:rFonts w:hint="eastAsia" w:ascii="仿宋_GB2312" w:hAnsi="Times New Roman" w:eastAsia="仿宋_GB2312" w:cs="Times New Roman"/>
                <w:b w:val="0"/>
                <w:sz w:val="32"/>
                <w:szCs w:val="32"/>
              </w:rPr>
              <w:t>面值生效日</w:t>
            </w:r>
          </w:p>
        </w:tc>
        <w:tc>
          <w:tcPr>
            <w:tcW w:w="1930" w:type="dxa"/>
            <w:vAlign w:val="center"/>
          </w:tcPr>
          <w:p w14:paraId="06DC52B7">
            <w:pPr>
              <w:widowControl/>
              <w:snapToGrid w:val="0"/>
              <w:spacing w:line="400" w:lineRule="exact"/>
              <w:ind w:firstLine="0" w:firstLineChars="0"/>
              <w:jc w:val="left"/>
              <w:rPr>
                <w:rFonts w:hint="eastAsia" w:ascii="仿宋_GB2312" w:hAnsi="Times New Roman" w:eastAsia="仿宋_GB2312" w:cs="Times New Roman"/>
                <w:b w:val="0"/>
                <w:bCs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sz w:val="32"/>
                <w:szCs w:val="32"/>
              </w:rPr>
              <w:t>调整后债券面值</w:t>
            </w:r>
            <w:r>
              <w:rPr>
                <w:rFonts w:hint="eastAsia" w:ascii="仿宋_GB2312" w:hAnsi="Times New Roman" w:eastAsia="仿宋_GB2312" w:cs="Times New Roman"/>
                <w:b w:val="0"/>
                <w:sz w:val="32"/>
                <w:szCs w:val="32"/>
              </w:rPr>
              <w:tab/>
            </w:r>
          </w:p>
        </w:tc>
        <w:tc>
          <w:tcPr>
            <w:tcW w:w="1750" w:type="dxa"/>
            <w:vAlign w:val="center"/>
          </w:tcPr>
          <w:p w14:paraId="7463A7E5">
            <w:pPr>
              <w:widowControl/>
              <w:snapToGrid w:val="0"/>
              <w:spacing w:line="400" w:lineRule="exact"/>
              <w:ind w:firstLine="0" w:firstLineChars="0"/>
              <w:jc w:val="left"/>
              <w:rPr>
                <w:rFonts w:hint="eastAsia" w:ascii="仿宋_GB2312" w:hAnsi="Times New Roman" w:eastAsia="仿宋_GB2312" w:cs="Times New Roman"/>
                <w:b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sz w:val="32"/>
                <w:szCs w:val="32"/>
              </w:rPr>
              <w:t>本次偿还比例（%）</w:t>
            </w:r>
          </w:p>
          <w:p w14:paraId="5AF3FA60">
            <w:pPr>
              <w:widowControl/>
              <w:snapToGrid w:val="0"/>
              <w:spacing w:line="400" w:lineRule="exact"/>
              <w:ind w:firstLine="640" w:firstLineChars="200"/>
              <w:jc w:val="left"/>
              <w:rPr>
                <w:rFonts w:hint="eastAsia" w:ascii="仿宋_GB2312" w:hAnsi="Times New Roman" w:eastAsia="仿宋_GB2312" w:cs="Times New Roman"/>
                <w:b w:val="0"/>
                <w:bCs w:val="0"/>
                <w:sz w:val="32"/>
                <w:szCs w:val="32"/>
                <w:lang w:eastAsia="zh-CN"/>
              </w:rPr>
            </w:pPr>
          </w:p>
        </w:tc>
      </w:tr>
      <w:tr w14:paraId="20E6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Align w:val="center"/>
          </w:tcPr>
          <w:p w14:paraId="002DAD99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</w:rPr>
            </w:pPr>
          </w:p>
        </w:tc>
        <w:tc>
          <w:tcPr>
            <w:tcW w:w="916" w:type="dxa"/>
            <w:vAlign w:val="center"/>
          </w:tcPr>
          <w:p w14:paraId="7396BF12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</w:rPr>
            </w:pPr>
          </w:p>
        </w:tc>
        <w:tc>
          <w:tcPr>
            <w:tcW w:w="1724" w:type="dxa"/>
            <w:vAlign w:val="center"/>
          </w:tcPr>
          <w:p w14:paraId="25AB9A00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 w14:paraId="42B558E6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</w:rPr>
            </w:pPr>
          </w:p>
        </w:tc>
        <w:tc>
          <w:tcPr>
            <w:tcW w:w="1930" w:type="dxa"/>
            <w:vAlign w:val="center"/>
          </w:tcPr>
          <w:p w14:paraId="6B767563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</w:rPr>
            </w:pPr>
          </w:p>
        </w:tc>
        <w:tc>
          <w:tcPr>
            <w:tcW w:w="1750" w:type="dxa"/>
            <w:vAlign w:val="center"/>
          </w:tcPr>
          <w:p w14:paraId="162C46EB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</w:rPr>
            </w:pPr>
          </w:p>
        </w:tc>
      </w:tr>
    </w:tbl>
    <w:p w14:paraId="3E08B695">
      <w:pPr>
        <w:widowControl w:val="0"/>
        <w:spacing w:line="400" w:lineRule="exact"/>
        <w:ind w:firstLine="0" w:firstLineChars="0"/>
        <w:rPr>
          <w:rFonts w:hint="eastAsia" w:ascii="仿宋_GB2312" w:hAnsi="宋体" w:eastAsia="仿宋_GB2312" w:cstheme="minorBidi"/>
          <w:b/>
          <w:sz w:val="30"/>
          <w:szCs w:val="30"/>
        </w:rPr>
      </w:pPr>
    </w:p>
    <w:p w14:paraId="77FE05E3">
      <w:pPr>
        <w:widowControl/>
        <w:snapToGrid w:val="0"/>
        <w:spacing w:line="400" w:lineRule="exact"/>
        <w:ind w:firstLine="640" w:firstLineChars="200"/>
        <w:jc w:val="left"/>
        <w:rPr>
          <w:rFonts w:hint="eastAsia" w:ascii="仿宋_GB2312" w:hAnsi="Times New Roman" w:eastAsia="仿宋_GB2312" w:cs="Times New Roman"/>
          <w:b w:val="0"/>
          <w:sz w:val="32"/>
          <w:szCs w:val="32"/>
        </w:rPr>
      </w:pPr>
    </w:p>
    <w:p w14:paraId="4114A274">
      <w:pPr>
        <w:widowControl/>
        <w:snapToGrid w:val="0"/>
        <w:spacing w:line="400" w:lineRule="exact"/>
        <w:jc w:val="left"/>
        <w:rPr>
          <w:rFonts w:hint="eastAsia" w:ascii="仿宋_GB2312" w:hAnsi="宋体" w:eastAsia="仿宋_GB2312" w:cstheme="minorBidi"/>
          <w:b/>
          <w:sz w:val="30"/>
          <w:szCs w:val="30"/>
        </w:rPr>
        <w:sectPr>
          <w:footerReference r:id="rId5" w:type="default"/>
          <w:pgSz w:w="11906" w:h="16838"/>
          <w:pgMar w:top="2098" w:right="1474" w:bottom="1984" w:left="1587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仿宋_GB2312" w:hAnsi="Times New Roman" w:eastAsia="仿宋_GB2312" w:cs="Times New Roman"/>
          <w:b w:val="0"/>
          <w:sz w:val="32"/>
          <w:szCs w:val="32"/>
        </w:rPr>
        <w:t>特此公告</w:t>
      </w:r>
    </w:p>
    <w:p w14:paraId="7DF31EB8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9B7DB">
    <w:pPr>
      <w:widowControl w:val="0"/>
      <w:snapToGrid w:val="0"/>
      <w:jc w:val="center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847699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847699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83ED3"/>
    <w:multiLevelType w:val="singleLevel"/>
    <w:tmpl w:val="FDF83E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37494"/>
    <w:rsid w:val="7F43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line="560" w:lineRule="exact"/>
      <w:ind w:firstLine="640" w:firstLineChars="20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宋体" w:hAnsi="宋体" w:eastAsia="宋体"/>
      <w:sz w:val="28"/>
      <w:szCs w:val="18"/>
    </w:r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2026-01-03T15:26:00Z</dcterms:created>
  <dc:creator>Greengrape</dc:creator>
  <cp:lastModifiedBy>Greengrape</cp:lastModifiedBy>
  <dcterms:modified xsi:type="dcterms:W3CDTF">2026-01-03T15:27:02Z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F57A009734A74AFFAB480F85E7F60EF7_11</vt:lpwstr>
  </property>
  <property fmtid="{D5CDD505-2E9C-101B-9397-08002B2CF9AE}" pid="4" name="KSOTemplateDocerSaveRecord">
    <vt:lpwstr>eyJoZGlkIjoiMjBmZWY2ZDMxMThkYjMyN2ZkM2QyYWVlMmFkMDc0OTQiLCJ1c2VySWQiOiI3NzIxOTk4MjYifQ==</vt:lpwstr>
  </property>
</Properties>
</file>