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25B10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            </w:t>
      </w:r>
    </w:p>
    <w:p w14:paraId="7ED98FF6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hint="eastAsia" w:ascii="仿宋_GB2312" w:hAnsi="宋体" w:eastAsia="仿宋_GB2312"/>
          <w:bCs/>
          <w:sz w:val="30"/>
          <w:szCs w:val="30"/>
        </w:rPr>
      </w:pPr>
    </w:p>
    <w:p w14:paraId="72910BB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/>
          <w:color w:val="000000"/>
          <w:sz w:val="30"/>
          <w:szCs w:val="30"/>
        </w:rPr>
      </w:pPr>
      <w:r>
        <w:rPr>
          <w:rFonts w:hint="eastAsia" w:ascii="仿宋_GB2312" w:hAnsi="宋体" w:eastAsia="仿宋_GB2312"/>
          <w:bCs w:val="0"/>
          <w:color w:val="000000"/>
          <w:sz w:val="30"/>
          <w:szCs w:val="30"/>
        </w:rPr>
        <w:t>XX公司债券20XX年提前摘牌公告</w:t>
      </w:r>
    </w:p>
    <w:p w14:paraId="7D37D907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2A258048">
      <w:pPr>
        <w:widowControl w:val="0"/>
        <w:snapToGrid w:val="0"/>
        <w:spacing w:line="400" w:lineRule="exact"/>
        <w:ind w:firstLine="0" w:firstLineChars="0"/>
        <w:rPr>
          <w:rFonts w:hint="eastAsia" w:ascii="仿宋_GB2312" w:hAnsi="宋体" w:eastAsia="仿宋_GB2312" w:cstheme="minorBidi"/>
          <w:b/>
          <w:sz w:val="32"/>
          <w:szCs w:val="32"/>
        </w:rPr>
      </w:pPr>
    </w:p>
    <w:p w14:paraId="64CD7A4A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eastAsia="zh-CN"/>
        </w:rPr>
      </w:pPr>
      <w:r>
        <w:rPr>
          <w:rFonts w:hint="eastAsia" w:ascii="仿宋_GB2312" w:hAnsi="Times New Roman" w:eastAsia="仿宋_GB2312"/>
          <w:sz w:val="30"/>
          <w:szCs w:val="30"/>
        </w:rPr>
        <w:t>本期债券</w:t>
      </w:r>
      <w:r>
        <w:rPr>
          <w:rFonts w:hint="eastAsia" w:hAnsi="Times New Roman"/>
          <w:sz w:val="30"/>
          <w:szCs w:val="30"/>
          <w:lang w:eastAsia="zh-CN"/>
        </w:rPr>
        <w:t>提前摘牌</w:t>
      </w:r>
      <w:r>
        <w:rPr>
          <w:rFonts w:hint="eastAsia" w:ascii="仿宋_GB2312" w:hAnsi="Times New Roman" w:eastAsia="仿宋_GB2312"/>
          <w:sz w:val="30"/>
          <w:szCs w:val="30"/>
        </w:rPr>
        <w:t>情况</w:t>
      </w:r>
      <w:r>
        <w:rPr>
          <w:rFonts w:hint="eastAsia" w:hAnsi="Times New Roman"/>
          <w:sz w:val="30"/>
          <w:szCs w:val="30"/>
          <w:lang w:eastAsia="zh-CN"/>
        </w:rPr>
        <w:t>如下：</w:t>
      </w:r>
    </w:p>
    <w:p w14:paraId="53269497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1、债券代码：</w:t>
      </w:r>
    </w:p>
    <w:p w14:paraId="75DA1355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2、债券简称： </w:t>
      </w:r>
    </w:p>
    <w:p w14:paraId="65179CD4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3、</w:t>
      </w:r>
      <w:r>
        <w:rPr>
          <w:rFonts w:hint="eastAsia" w:ascii="仿宋_GB2312" w:hAnsi="Times New Roman" w:eastAsia="仿宋_GB2312"/>
          <w:sz w:val="30"/>
          <w:szCs w:val="30"/>
        </w:rPr>
        <w:t>提前摘牌原因</w:t>
      </w:r>
      <w:r>
        <w:rPr>
          <w:rFonts w:hint="eastAsia" w:hAnsi="Times New Roman"/>
          <w:sz w:val="30"/>
          <w:szCs w:val="30"/>
          <w:lang w:eastAsia="zh-CN"/>
        </w:rPr>
        <w:t>：</w:t>
      </w:r>
      <w:r>
        <w:rPr>
          <w:rFonts w:hint="eastAsia" w:ascii="仿宋_GB2312" w:hAnsi="Times New Roman" w:eastAsia="仿宋_GB2312"/>
          <w:sz w:val="30"/>
          <w:szCs w:val="30"/>
        </w:rPr>
        <w:t>需包含回售实施结果</w:t>
      </w:r>
      <w:r>
        <w:rPr>
          <w:rFonts w:hint="eastAsia" w:hAnsi="Times New Roman"/>
          <w:sz w:val="30"/>
          <w:szCs w:val="30"/>
          <w:lang w:eastAsia="zh-CN"/>
        </w:rPr>
        <w:t>，根据募集约定、持有人会议决议等提前偿付，</w:t>
      </w:r>
      <w:r>
        <w:rPr>
          <w:rFonts w:hint="eastAsia" w:ascii="仿宋_GB2312" w:hAnsi="Times New Roman" w:eastAsia="仿宋_GB2312"/>
          <w:sz w:val="30"/>
          <w:szCs w:val="30"/>
        </w:rPr>
        <w:t>可交债全额换股情等况详细内容。</w:t>
      </w:r>
    </w:p>
    <w:p w14:paraId="116F5E06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4、</w:t>
      </w:r>
      <w:r>
        <w:rPr>
          <w:rFonts w:hint="eastAsia" w:ascii="仿宋_GB2312" w:hAnsi="Times New Roman" w:eastAsia="仿宋_GB2312"/>
          <w:sz w:val="30"/>
          <w:szCs w:val="30"/>
        </w:rPr>
        <w:t>原债券到期日：</w:t>
      </w:r>
    </w:p>
    <w:p w14:paraId="3C6C659C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5、</w:t>
      </w:r>
      <w:r>
        <w:rPr>
          <w:rFonts w:hint="eastAsia" w:ascii="仿宋_GB2312" w:hAnsi="Times New Roman" w:eastAsia="仿宋_GB2312"/>
          <w:sz w:val="30"/>
          <w:szCs w:val="30"/>
        </w:rPr>
        <w:t>债权登记日：</w:t>
      </w:r>
    </w:p>
    <w:p w14:paraId="030B3D55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val="en-US" w:eastAsia="zh-CN"/>
        </w:rPr>
      </w:pPr>
      <w:r>
        <w:rPr>
          <w:rFonts w:hint="eastAsia" w:hAnsi="Times New Roman"/>
          <w:sz w:val="30"/>
          <w:szCs w:val="30"/>
          <w:lang w:val="en-US" w:eastAsia="zh-CN"/>
        </w:rPr>
        <w:t>6、</w:t>
      </w:r>
      <w:r>
        <w:rPr>
          <w:rFonts w:hint="eastAsia" w:ascii="仿宋_GB2312" w:hAnsi="Times New Roman" w:eastAsia="仿宋_GB2312"/>
          <w:sz w:val="30"/>
          <w:szCs w:val="30"/>
        </w:rPr>
        <w:t>提前摘牌日：</w:t>
      </w:r>
    </w:p>
    <w:p w14:paraId="0482FEFF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7</w:t>
      </w:r>
      <w:r>
        <w:rPr>
          <w:rFonts w:hint="eastAsia" w:ascii="仿宋_GB2312" w:hAnsi="Times New Roman" w:eastAsia="仿宋_GB2312"/>
          <w:sz w:val="30"/>
          <w:szCs w:val="30"/>
        </w:rPr>
        <w:t>、本年度计息期限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（仅提前偿付适用）</w:t>
      </w:r>
      <w:r>
        <w:rPr>
          <w:rFonts w:hint="eastAsia" w:ascii="仿宋_GB2312" w:hAnsi="Times New Roman" w:eastAsia="仿宋_GB2312"/>
          <w:sz w:val="30"/>
          <w:szCs w:val="30"/>
        </w:rPr>
        <w:t>：20XX年X月X日至20XX年X月X日。</w:t>
      </w:r>
    </w:p>
    <w:p w14:paraId="05BDF519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8</w:t>
      </w:r>
      <w:r>
        <w:rPr>
          <w:rFonts w:hint="eastAsia" w:ascii="仿宋_GB2312" w:hAnsi="Times New Roman" w:eastAsia="仿宋_GB2312"/>
          <w:sz w:val="30"/>
          <w:szCs w:val="30"/>
        </w:rPr>
        <w:t>、票面利率及兑付金额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（仅提前偿付适用）</w:t>
      </w:r>
      <w:r>
        <w:rPr>
          <w:rFonts w:hint="eastAsia" w:ascii="仿宋_GB2312" w:hAnsi="Times New Roman" w:eastAsia="仿宋_GB2312"/>
          <w:sz w:val="30"/>
          <w:szCs w:val="30"/>
        </w:rPr>
        <w:t>：本期债券票面利率（计息年利率）为X%，每手本期债券兑付本金为XX元，派发利息为XX元（含税）。</w:t>
      </w:r>
    </w:p>
    <w:p w14:paraId="51C63167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highlight w:val="none"/>
        </w:rPr>
      </w:pPr>
      <w:r>
        <w:rPr>
          <w:rFonts w:hint="eastAsia" w:hAnsi="Times New Roman"/>
          <w:sz w:val="30"/>
          <w:szCs w:val="30"/>
          <w:highlight w:val="none"/>
          <w:lang w:val="en-US" w:eastAsia="zh-CN"/>
        </w:rPr>
        <w:t>9</w:t>
      </w:r>
      <w:r>
        <w:rPr>
          <w:rFonts w:hint="eastAsia" w:ascii="仿宋_GB2312" w:hAnsi="Times New Roman" w:eastAsia="仿宋_GB2312"/>
          <w:sz w:val="30"/>
          <w:szCs w:val="30"/>
          <w:highlight w:val="none"/>
        </w:rPr>
        <w:t>、实际提前到期日：</w:t>
      </w:r>
    </w:p>
    <w:p w14:paraId="7730DFE6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10</w:t>
      </w:r>
      <w:r>
        <w:rPr>
          <w:rFonts w:hint="eastAsia" w:ascii="仿宋_GB2312" w:hAnsi="Times New Roman" w:eastAsia="仿宋_GB2312"/>
          <w:sz w:val="30"/>
          <w:szCs w:val="30"/>
        </w:rPr>
        <w:t>、资金兑付日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（</w:t>
      </w:r>
      <w:r>
        <w:rPr>
          <w:rFonts w:hint="eastAsia" w:hAnsi="Times New Roman"/>
          <w:sz w:val="30"/>
          <w:szCs w:val="30"/>
          <w:lang w:eastAsia="zh-CN"/>
        </w:rPr>
        <w:t>全额回售、</w:t>
      </w:r>
      <w:r>
        <w:rPr>
          <w:rFonts w:hint="eastAsia" w:ascii="仿宋_GB2312" w:hAnsi="Times New Roman" w:eastAsia="仿宋_GB2312"/>
          <w:sz w:val="30"/>
          <w:szCs w:val="30"/>
          <w:lang w:eastAsia="zh-CN"/>
        </w:rPr>
        <w:t>提前偿付适用）</w:t>
      </w:r>
      <w:r>
        <w:rPr>
          <w:rFonts w:hint="eastAsia" w:ascii="仿宋_GB2312" w:hAnsi="Times New Roman" w:eastAsia="仿宋_GB2312"/>
          <w:sz w:val="30"/>
          <w:szCs w:val="30"/>
        </w:rPr>
        <w:t>：</w:t>
      </w:r>
    </w:p>
    <w:p w14:paraId="2C3502DD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48D4B2DB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特此公告。</w:t>
      </w:r>
    </w:p>
    <w:p w14:paraId="3982F970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53EE5682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66C792D6">
      <w:pPr>
        <w:widowControl/>
        <w:snapToGrid w:val="0"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XX公司</w:t>
      </w:r>
    </w:p>
    <w:p w14:paraId="5B446BFA">
      <w:r>
        <w:rPr>
          <w:rFonts w:hint="eastAsia" w:ascii="仿宋_GB2312" w:hAnsi="Times New Roman" w:eastAsia="仿宋_GB2312"/>
          <w:sz w:val="30"/>
          <w:szCs w:val="30"/>
        </w:rPr>
        <w:t>2</w:t>
      </w:r>
      <w:r>
        <w:rPr>
          <w:rFonts w:ascii="仿宋_GB2312" w:hAnsi="Times New Roman" w:eastAsia="仿宋_GB2312"/>
          <w:sz w:val="30"/>
          <w:szCs w:val="30"/>
        </w:rPr>
        <w:t>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D2ACC"/>
    <w:rsid w:val="44DD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2026-01-03T15:30:00Z</dcterms:created>
  <dc:creator>Greengrape</dc:creator>
  <cp:lastModifiedBy>Greengrape</cp:lastModifiedBy>
  <dcterms:modified xsi:type="dcterms:W3CDTF">2026-01-03T15:30:42Z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8F6A1A364FFA4F1698DADD86BCF6A8D3_11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