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Layout w:type="fixed"/>
        <w:tblLook w:val="01E0" w:firstRow="1" w:lastRow="1" w:firstColumn="1" w:lastColumn="1" w:noHBand="0" w:noVBand="0"/>
      </w:tblPr>
      <w:tblGrid>
        <w:gridCol w:w="3870"/>
        <w:gridCol w:w="6840"/>
      </w:tblGrid>
      <w:tr w:rsidR="00556177" w14:paraId="579A860E" w14:textId="77777777" w:rsidTr="00556177">
        <w:tc>
          <w:tcPr>
            <w:tcW w:w="10710" w:type="dxa"/>
            <w:gridSpan w:val="2"/>
            <w:shd w:val="clear" w:color="auto" w:fill="003399"/>
            <w:hideMark/>
          </w:tcPr>
          <w:p w14:paraId="2D2AA221" w14:textId="77777777" w:rsidR="00556177" w:rsidRDefault="00556177">
            <w:pPr>
              <w:spacing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z w:val="20"/>
                <w:szCs w:val="20"/>
              </w:rPr>
              <w:t>For internal use only.  Not for distribution.</w:t>
            </w:r>
          </w:p>
        </w:tc>
      </w:tr>
      <w:tr w:rsidR="00556177" w14:paraId="033AE2B1" w14:textId="77777777" w:rsidTr="00556177">
        <w:trPr>
          <w:trHeight w:val="1440"/>
        </w:trPr>
        <w:tc>
          <w:tcPr>
            <w:tcW w:w="10710" w:type="dxa"/>
            <w:gridSpan w:val="2"/>
            <w:vAlign w:val="center"/>
            <w:hideMark/>
          </w:tcPr>
          <w:p w14:paraId="5E15BE85" w14:textId="61DCDCFB" w:rsidR="00556177" w:rsidRDefault="00556177">
            <w:pPr>
              <w:jc w:val="center"/>
              <w:rPr>
                <w:rFonts w:ascii="Trebuchet MS" w:hAnsi="Trebuchet MS"/>
                <w:color w:val="0066CC"/>
                <w:sz w:val="60"/>
                <w:szCs w:val="60"/>
              </w:rPr>
            </w:pPr>
            <w:r>
              <w:rPr>
                <w:noProof/>
              </w:rPr>
              <w:drawing>
                <wp:inline distT="0" distB="0" distL="0" distR="0" wp14:anchorId="4ED71AC4" wp14:editId="20185E0D">
                  <wp:extent cx="4657725" cy="1733550"/>
                  <wp:effectExtent l="0" t="0" r="0" b="0"/>
                  <wp:docPr id="1" name="Picture 1" descr="MIIRA-logo-wa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IRA-logo-wat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16" b="8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177" w14:paraId="68694852" w14:textId="77777777" w:rsidTr="00556177">
        <w:tc>
          <w:tcPr>
            <w:tcW w:w="10710" w:type="dxa"/>
            <w:gridSpan w:val="2"/>
            <w:shd w:val="clear" w:color="auto" w:fill="003399"/>
            <w:hideMark/>
          </w:tcPr>
          <w:p w14:paraId="051742C6" w14:textId="77777777" w:rsidR="00556177" w:rsidRDefault="00556177">
            <w:pPr>
              <w:tabs>
                <w:tab w:val="right" w:pos="10210"/>
              </w:tabs>
              <w:spacing w:before="120" w:after="12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WATCH</w:t>
            </w:r>
          </w:p>
        </w:tc>
      </w:tr>
      <w:tr w:rsidR="00556177" w14:paraId="5FD0C6ED" w14:textId="77777777" w:rsidTr="00556177">
        <w:tc>
          <w:tcPr>
            <w:tcW w:w="3870" w:type="dxa"/>
            <w:shd w:val="clear" w:color="auto" w:fill="ACB9CA" w:themeFill="text2" w:themeFillTint="66"/>
          </w:tcPr>
          <w:p w14:paraId="2A0870EF" w14:textId="77777777" w:rsidR="00556177" w:rsidRDefault="00556177">
            <w:pPr>
              <w:spacing w:before="240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Key</w:t>
            </w:r>
          </w:p>
          <w:p w14:paraId="20E154BF" w14:textId="77777777" w:rsidR="00556177" w:rsidRDefault="00556177" w:rsidP="00556177">
            <w:pPr>
              <w:numPr>
                <w:ilvl w:val="0"/>
                <w:numId w:val="2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Summary from Source</w:t>
            </w:r>
          </w:p>
          <w:p w14:paraId="7F7CE7A5" w14:textId="77777777" w:rsidR="00556177" w:rsidRDefault="00556177" w:rsidP="00556177">
            <w:pPr>
              <w:numPr>
                <w:ilvl w:val="0"/>
                <w:numId w:val="29"/>
              </w:num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Gilead’s analysis for internal use only</w:t>
            </w:r>
          </w:p>
          <w:p w14:paraId="75CF90FC" w14:textId="77777777" w:rsidR="00556177" w:rsidRDefault="00556177" w:rsidP="00556177">
            <w:pPr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Reactive response to unsolicited inquiries, unless otherwise noted</w:t>
            </w:r>
          </w:p>
          <w:p w14:paraId="36FA110D" w14:textId="77777777" w:rsidR="00556177" w:rsidRDefault="00556177">
            <w:pPr>
              <w:spacing w:before="240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Rheum Resources</w:t>
            </w:r>
          </w:p>
          <w:p w14:paraId="326D0327" w14:textId="77777777" w:rsidR="00556177" w:rsidRDefault="00556177">
            <w:pPr>
              <w:tabs>
                <w:tab w:val="left" w:pos="720"/>
              </w:tabs>
              <w:spacing w:after="120"/>
              <w:ind w:left="216" w:hanging="216"/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en-GB"/>
              </w:rPr>
              <w:t>External Materials – Now Available</w:t>
            </w:r>
          </w:p>
          <w:p w14:paraId="1B1ECA6F" w14:textId="6C91C9EF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1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Response to FDA CRL GRD</w:t>
              </w:r>
            </w:hyperlink>
            <w:r w:rsidR="00556177">
              <w:rPr>
                <w:rStyle w:val="Hyperlink"/>
                <w:rFonts w:asciiTheme="minorHAnsi" w:hAnsiTheme="minorHAnsi" w:cstheme="minorHAnsi"/>
                <w:lang w:eastAsia="en-GB"/>
              </w:rPr>
              <w:t xml:space="preserve"> </w:t>
            </w:r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(update)</w:t>
            </w:r>
          </w:p>
          <w:p w14:paraId="0748C0F2" w14:textId="77777777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2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Status of PENGUIN, SEA LION, and Humboldt Clinical Trials GRD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(update)</w:t>
            </w:r>
          </w:p>
          <w:p w14:paraId="0D1EB55F" w14:textId="77777777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3" w:history="1">
              <w:proofErr w:type="spellStart"/>
              <w:r w:rsidR="00556177">
                <w:rPr>
                  <w:rStyle w:val="Hyperlink"/>
                  <w:rFonts w:asciiTheme="minorHAnsi" w:hAnsiTheme="minorHAnsi" w:cstheme="minorHAnsi"/>
                </w:rPr>
                <w:t>Veklury</w:t>
              </w:r>
              <w:proofErr w:type="spellEnd"/>
              <w:r w:rsidR="00556177">
                <w:rPr>
                  <w:rStyle w:val="Hyperlink"/>
                  <w:rFonts w:asciiTheme="minorHAnsi" w:hAnsiTheme="minorHAnsi" w:cstheme="minorHAnsi"/>
                </w:rPr>
                <w:t xml:space="preserve"> and Use with Filgotinib GRD</w:t>
              </w:r>
            </w:hyperlink>
            <w:r w:rsidR="00556177">
              <w:rPr>
                <w:rStyle w:val="Hyperlink"/>
                <w:rFonts w:asciiTheme="minorHAnsi" w:hAnsiTheme="minorHAnsi" w:cstheme="minorHAnsi"/>
              </w:rPr>
              <w:t xml:space="preserve"> </w:t>
            </w:r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(new)</w:t>
            </w:r>
          </w:p>
          <w:p w14:paraId="6E20AC7D" w14:textId="77777777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4" w:history="1">
              <w:proofErr w:type="spellStart"/>
              <w:r w:rsidR="00556177">
                <w:rPr>
                  <w:rStyle w:val="Hyperlink"/>
                  <w:rFonts w:asciiTheme="minorHAnsi" w:hAnsiTheme="minorHAnsi" w:cstheme="minorHAnsi"/>
                </w:rPr>
                <w:t>Coadmin</w:t>
              </w:r>
              <w:proofErr w:type="spellEnd"/>
              <w:r w:rsidR="00556177">
                <w:rPr>
                  <w:rStyle w:val="Hyperlink"/>
                  <w:rFonts w:asciiTheme="minorHAnsi" w:hAnsiTheme="minorHAnsi" w:cstheme="minorHAnsi"/>
                </w:rPr>
                <w:t xml:space="preserve"> with Vaccines GRD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</w:rPr>
              <w:t>* (update)</w:t>
            </w:r>
          </w:p>
          <w:p w14:paraId="76863357" w14:textId="77777777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5" w:history="1">
              <w:r w:rsidR="00556177">
                <w:rPr>
                  <w:rStyle w:val="Hyperlink"/>
                  <w:rFonts w:asciiTheme="minorHAnsi" w:hAnsiTheme="minorHAnsi" w:cstheme="minorHAnsi"/>
                </w:rPr>
                <w:t>Use for COVID-19 GRD</w:t>
              </w:r>
            </w:hyperlink>
            <w:r w:rsidR="00556177">
              <w:rPr>
                <w:rStyle w:val="Hyperlink"/>
                <w:rFonts w:asciiTheme="minorHAnsi" w:hAnsiTheme="minorHAnsi" w:cstheme="minorHAnsi"/>
              </w:rPr>
              <w:t xml:space="preserve"> </w:t>
            </w:r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(new)</w:t>
            </w:r>
          </w:p>
          <w:p w14:paraId="156C7B3B" w14:textId="2159E3E6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6" w:history="1">
              <w:r w:rsidR="00556177">
                <w:rPr>
                  <w:rStyle w:val="Hyperlink"/>
                  <w:rFonts w:asciiTheme="minorHAnsi" w:hAnsiTheme="minorHAnsi" w:cstheme="minorHAnsi"/>
                </w:rPr>
                <w:t>Safety in RA GRD</w:t>
              </w:r>
            </w:hyperlink>
            <w:r w:rsidR="00556177">
              <w:rPr>
                <w:sz w:val="22"/>
                <w:szCs w:val="22"/>
              </w:rPr>
              <w:t>*</w:t>
            </w:r>
            <w:r w:rsidR="00556177">
              <w:t xml:space="preserve"> </w:t>
            </w:r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(update)</w:t>
            </w:r>
          </w:p>
          <w:p w14:paraId="7DC04C30" w14:textId="1EFC0A32" w:rsidR="00556177" w:rsidRDefault="00F55887" w:rsidP="00556177">
            <w:pPr>
              <w:numPr>
                <w:ilvl w:val="0"/>
                <w:numId w:val="30"/>
              </w:numPr>
              <w:spacing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17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Malignancy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*, </w:t>
            </w:r>
            <w:hyperlink r:id="rId18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Infections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*, and </w:t>
            </w:r>
            <w:hyperlink r:id="rId19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Deat</w:t>
              </w:r>
              <w:bookmarkStart w:id="0" w:name="_GoBack"/>
              <w:bookmarkEnd w:id="0"/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h</w:t>
              </w:r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s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in RA GRDs (update)</w:t>
            </w:r>
          </w:p>
          <w:p w14:paraId="5537D1C3" w14:textId="77777777" w:rsidR="00556177" w:rsidRDefault="00556177">
            <w:pPr>
              <w:spacing w:line="252" w:lineRule="auto"/>
              <w:rPr>
                <w:rFonts w:asciiTheme="minorHAnsi" w:hAnsiTheme="minorHAnsi" w:cstheme="minorHAnsi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GB"/>
              </w:rPr>
              <w:t>(*localized version required before sending externally; please contact Medical Information)</w:t>
            </w:r>
          </w:p>
          <w:p w14:paraId="5976F749" w14:textId="77777777" w:rsidR="00556177" w:rsidRDefault="00556177">
            <w:pPr>
              <w:tabs>
                <w:tab w:val="left" w:pos="720"/>
              </w:tabs>
              <w:spacing w:after="120" w:line="252" w:lineRule="auto"/>
              <w:rPr>
                <w:rFonts w:ascii="Calibri" w:hAnsi="Calibri" w:cs="Calibri"/>
                <w:b/>
                <w:sz w:val="32"/>
                <w:szCs w:val="32"/>
              </w:rPr>
            </w:pPr>
          </w:p>
          <w:p w14:paraId="43F9965E" w14:textId="77777777" w:rsidR="00556177" w:rsidRDefault="00556177">
            <w:pPr>
              <w:tabs>
                <w:tab w:val="left" w:pos="720"/>
              </w:tabs>
              <w:spacing w:after="120" w:line="252" w:lineRule="auto"/>
              <w:rPr>
                <w:rFonts w:ascii="Calibri" w:eastAsia="Calibri" w:hAnsi="Calibri" w:cs="Calibri"/>
                <w:sz w:val="32"/>
                <w:szCs w:val="32"/>
                <w:lang w:val="en-GB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IBD Resources</w:t>
            </w:r>
          </w:p>
          <w:p w14:paraId="590A6EBC" w14:textId="77777777" w:rsidR="00556177" w:rsidRDefault="00556177">
            <w:pPr>
              <w:tabs>
                <w:tab w:val="left" w:pos="720"/>
              </w:tabs>
              <w:spacing w:after="120"/>
              <w:ind w:left="216" w:hanging="216"/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en-GB"/>
              </w:rPr>
              <w:t>External Materials – Now Available</w:t>
            </w:r>
          </w:p>
          <w:p w14:paraId="0047134B" w14:textId="77777777" w:rsidR="00556177" w:rsidRDefault="00F55887" w:rsidP="00556177">
            <w:pPr>
              <w:numPr>
                <w:ilvl w:val="0"/>
                <w:numId w:val="30"/>
              </w:numPr>
              <w:spacing w:after="120" w:line="252" w:lineRule="auto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20" w:history="1">
              <w:r w:rsidR="00556177">
                <w:rPr>
                  <w:rStyle w:val="Hyperlink"/>
                  <w:rFonts w:asciiTheme="minorHAnsi" w:hAnsiTheme="minorHAnsi" w:cstheme="minorHAnsi"/>
                </w:rPr>
                <w:t>SELECTION GRD</w:t>
              </w:r>
            </w:hyperlink>
          </w:p>
          <w:p w14:paraId="41BBD46D" w14:textId="77777777" w:rsidR="00556177" w:rsidRDefault="00556177">
            <w:pPr>
              <w:tabs>
                <w:tab w:val="left" w:pos="720"/>
              </w:tabs>
              <w:spacing w:after="120"/>
              <w:ind w:left="216" w:hanging="216"/>
              <w:rPr>
                <w:rFonts w:ascii="Calibri" w:hAnsi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eastAsia="en-GB"/>
              </w:rPr>
              <w:t>External Materials – Upcoming</w:t>
            </w:r>
          </w:p>
          <w:p w14:paraId="5DD12B92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rFonts w:asciiTheme="minorHAnsi" w:hAnsiTheme="minorHAnsi" w:cstheme="minorBid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SELECTION Core Slide Deck</w:t>
            </w:r>
          </w:p>
          <w:p w14:paraId="3C815D53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Unmet Needs in UC Slide Deck</w:t>
            </w:r>
          </w:p>
          <w:p w14:paraId="49E61876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Symposia Toolbox</w:t>
            </w:r>
          </w:p>
          <w:p w14:paraId="1B454282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Conferences Toolbox</w:t>
            </w:r>
          </w:p>
          <w:p w14:paraId="4B152E52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Ad Board Toolbox</w:t>
            </w:r>
          </w:p>
          <w:p w14:paraId="069EE95E" w14:textId="77777777" w:rsidR="00556177" w:rsidRDefault="00556177">
            <w:pPr>
              <w:tabs>
                <w:tab w:val="left" w:pos="720"/>
              </w:tabs>
              <w:spacing w:before="120" w:after="120"/>
              <w:ind w:left="216" w:hanging="216"/>
              <w:rPr>
                <w:rFonts w:ascii="Calibri" w:hAnsi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en-GB"/>
              </w:rPr>
              <w:t>Internal Materials - Upcoming</w:t>
            </w:r>
          </w:p>
          <w:p w14:paraId="196B6C01" w14:textId="77777777" w:rsidR="00556177" w:rsidRDefault="00556177" w:rsidP="00556177">
            <w:pPr>
              <w:numPr>
                <w:ilvl w:val="0"/>
                <w:numId w:val="30"/>
              </w:numPr>
              <w:spacing w:after="120" w:line="252" w:lineRule="auto"/>
              <w:rPr>
                <w:rFonts w:asciiTheme="minorHAnsi" w:hAnsiTheme="minorHAnsi" w:cstheme="minorBid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lastRenderedPageBreak/>
              <w:t>IBD Lexicon</w:t>
            </w:r>
          </w:p>
          <w:p w14:paraId="491B2653" w14:textId="77777777" w:rsidR="00556177" w:rsidRDefault="00556177">
            <w:pPr>
              <w:tabs>
                <w:tab w:val="left" w:pos="720"/>
              </w:tabs>
              <w:spacing w:after="120"/>
              <w:ind w:left="216" w:hanging="216"/>
              <w:rPr>
                <w:rFonts w:ascii="Calibri" w:hAnsi="Calibri"/>
                <w:sz w:val="20"/>
                <w:szCs w:val="20"/>
                <w:lang w:val="en-GB" w:eastAsia="en-GB"/>
              </w:rPr>
            </w:pPr>
          </w:p>
          <w:p w14:paraId="319A0E54" w14:textId="77777777" w:rsidR="00556177" w:rsidRDefault="00556177">
            <w:pPr>
              <w:rPr>
                <w:rFonts w:ascii="Calibri" w:hAnsi="Calibri"/>
                <w:color w:val="99CCFF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For questions or suggestions/comments on future MIIRA communications, please contact: </w:t>
            </w:r>
            <w:hyperlink r:id="rId21" w:history="1">
              <w:r>
                <w:rPr>
                  <w:rStyle w:val="Hyperlink"/>
                  <w:rFonts w:ascii="Calibri" w:hAnsi="Calibri"/>
                </w:rPr>
                <w:t>miira@gilead.com</w:t>
              </w:r>
            </w:hyperlink>
          </w:p>
          <w:p w14:paraId="7E246DA0" w14:textId="77777777" w:rsidR="00556177" w:rsidRDefault="00556177">
            <w:pPr>
              <w:rPr>
                <w:color w:val="99CCFF"/>
              </w:rPr>
            </w:pPr>
          </w:p>
          <w:p w14:paraId="568E8D68" w14:textId="77777777" w:rsidR="00556177" w:rsidRDefault="005561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past MIIRA issues, please visit </w:t>
            </w:r>
            <w:hyperlink r:id="rId22" w:history="1">
              <w:r>
                <w:rPr>
                  <w:rStyle w:val="Hyperlink"/>
                  <w:rFonts w:ascii="Calibri" w:hAnsi="Calibri" w:cs="Calibri"/>
                </w:rPr>
                <w:t>FILGOOD</w:t>
              </w:r>
            </w:hyperlink>
            <w:r>
              <w:rPr>
                <w:rFonts w:ascii="Calibri" w:hAnsi="Calibri" w:cs="Calibri"/>
                <w:color w:val="99CCFF"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</w:tcPr>
          <w:p w14:paraId="35D3B968" w14:textId="77777777" w:rsidR="00556177" w:rsidRDefault="00556177">
            <w:pPr>
              <w:spacing w:before="240"/>
              <w:rPr>
                <w:rFonts w:ascii="Trebuchet MS" w:hAnsi="Trebuchet MS"/>
                <w:b/>
                <w:color w:val="FFFF9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lastRenderedPageBreak/>
              <w:t>In This Issue…</w:t>
            </w:r>
          </w:p>
          <w:p w14:paraId="167C9078" w14:textId="77777777" w:rsidR="00556177" w:rsidRDefault="00556177">
            <w:pPr>
              <w:tabs>
                <w:tab w:val="left" w:pos="720"/>
              </w:tabs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color w:val="1F3864"/>
                <w:sz w:val="20"/>
                <w:szCs w:val="20"/>
                <w:lang w:eastAsia="en-GB"/>
              </w:rPr>
              <w:t>General Inflammation</w:t>
            </w:r>
          </w:p>
          <w:p w14:paraId="43BEFC39" w14:textId="77777777" w:rsidR="00556177" w:rsidRDefault="00556177" w:rsidP="00556177">
            <w:pPr>
              <w:numPr>
                <w:ilvl w:val="0"/>
                <w:numId w:val="31"/>
              </w:numPr>
              <w:tabs>
                <w:tab w:val="left" w:pos="720"/>
              </w:tabs>
              <w:ind w:left="70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BARI + RDV for Hospitalized Adults with COVID-19 (ACTT-2 Trial) Published in NEJM (Eli Lilly)</w:t>
            </w:r>
          </w:p>
          <w:p w14:paraId="10DEEC21" w14:textId="77777777" w:rsidR="00556177" w:rsidRDefault="00556177" w:rsidP="00556177">
            <w:pPr>
              <w:numPr>
                <w:ilvl w:val="0"/>
                <w:numId w:val="31"/>
              </w:numPr>
              <w:tabs>
                <w:tab w:val="left" w:pos="720"/>
              </w:tabs>
              <w:ind w:left="70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Humira biosimilar, CT-P17, is recommended for approval by Europe’s CHMP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Celltrion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)</w:t>
            </w:r>
          </w:p>
          <w:p w14:paraId="53156429" w14:textId="77777777" w:rsidR="00556177" w:rsidRDefault="00556177">
            <w:pPr>
              <w:tabs>
                <w:tab w:val="left" w:pos="720"/>
              </w:tabs>
              <w:rPr>
                <w:rFonts w:ascii="Calibri" w:hAnsi="Calibri" w:cs="Calibri"/>
                <w:b/>
                <w:color w:val="76923C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color w:val="76923C"/>
                <w:sz w:val="20"/>
                <w:szCs w:val="20"/>
                <w:lang w:eastAsia="en-GB"/>
              </w:rPr>
              <w:t>Rheumatology</w:t>
            </w:r>
          </w:p>
          <w:p w14:paraId="76B05F3E" w14:textId="77777777" w:rsidR="00556177" w:rsidRDefault="00556177" w:rsidP="00556177">
            <w:pPr>
              <w:numPr>
                <w:ilvl w:val="0"/>
                <w:numId w:val="31"/>
              </w:numPr>
              <w:tabs>
                <w:tab w:val="left" w:pos="720"/>
              </w:tabs>
              <w:ind w:left="70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Rinvoq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upadacitinib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) is recommended for approval for treatment of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PsA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and AS by Europe’s CHMP (AbbVie)</w:t>
            </w:r>
          </w:p>
          <w:p w14:paraId="6742D25F" w14:textId="77777777" w:rsidR="00556177" w:rsidRDefault="00556177">
            <w:pPr>
              <w:tabs>
                <w:tab w:val="left" w:pos="72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b/>
                <w:color w:val="7030A0"/>
                <w:sz w:val="20"/>
                <w:szCs w:val="20"/>
              </w:rPr>
              <w:t xml:space="preserve">IBD  </w:t>
            </w:r>
          </w:p>
          <w:p w14:paraId="098D624D" w14:textId="77777777" w:rsidR="00556177" w:rsidRDefault="00556177" w:rsidP="00556177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ind w:left="705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Rinvoq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45 mg QD Met Primary and Ranked Secondary Endpoints in a Phase 3 Induction Study in Ulcerative Colitis (AbbVie)</w:t>
            </w:r>
          </w:p>
          <w:p w14:paraId="1000EB02" w14:textId="77777777" w:rsidR="00556177" w:rsidRDefault="00556177" w:rsidP="00556177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ind w:left="705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Target recruitment reached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etrasimod’s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phase 3 ELEVATE UC 52 trial (Arena)</w:t>
            </w:r>
          </w:p>
          <w:p w14:paraId="0E4466B3" w14:textId="77777777" w:rsidR="00556177" w:rsidRDefault="00556177">
            <w:pPr>
              <w:keepNext/>
              <w:pBdr>
                <w:top w:val="single" w:sz="18" w:space="6" w:color="003399"/>
              </w:pBdr>
              <w:spacing w:before="240"/>
              <w:outlineLvl w:val="1"/>
              <w:rPr>
                <w:rFonts w:ascii="Calibri" w:hAnsi="Calibri" w:cs="Calibri"/>
                <w:b/>
                <w:color w:val="1F3864"/>
                <w:kern w:val="32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color w:val="1F3864"/>
                <w:kern w:val="32"/>
                <w:sz w:val="32"/>
                <w:szCs w:val="32"/>
              </w:rPr>
              <w:t>GENERAL INFLAMMATION</w:t>
            </w:r>
          </w:p>
          <w:p w14:paraId="712492A1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</w:p>
          <w:p w14:paraId="231A0DC5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>BARI + RDV for Hospitalized Adults with COVID-19 (ACTT-2 Trial) Published in NEJM (Eli Lilly)</w:t>
            </w:r>
          </w:p>
          <w:p w14:paraId="398F0BF8" w14:textId="77777777" w:rsidR="00556177" w:rsidRDefault="00556177" w:rsidP="00556177">
            <w:pPr>
              <w:numPr>
                <w:ilvl w:val="0"/>
                <w:numId w:val="32"/>
              </w:num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ACTT-2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was a double-blind, randomized, placebo-controlled trial evaluating BARI + RDV in hospitalized adults with Covid-19. All the patients randomized 1:1 to RDV and either BARI 4 mg or PBO. Primary outcome was the time to recovery. </w:t>
            </w:r>
          </w:p>
          <w:p w14:paraId="3FCAF4EC" w14:textId="77777777" w:rsidR="00556177" w:rsidRDefault="00556177" w:rsidP="00556177">
            <w:pPr>
              <w:numPr>
                <w:ilvl w:val="0"/>
                <w:numId w:val="32"/>
              </w:num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BARI + RDV was superior to RDV alone in reducing recovery time and accelerating improvement in clinical status among patients with COVID-19, notably among those receiving high-flow oxygen or noninvasive ventilation. </w:t>
            </w:r>
          </w:p>
          <w:p w14:paraId="6822D4AE" w14:textId="77777777" w:rsidR="00556177" w:rsidRDefault="00556177" w:rsidP="00556177">
            <w:pPr>
              <w:numPr>
                <w:ilvl w:val="0"/>
                <w:numId w:val="32"/>
              </w:num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BARI + RDV had a significantly lower incidence of AEs, AEs leading to discontinuation of the trial drug, SAEs, SAEs with a fatal outcome, and infection-related AEs than patients who received RDV alone.</w:t>
            </w:r>
          </w:p>
          <w:p w14:paraId="1B45F3FA" w14:textId="77777777" w:rsidR="00556177" w:rsidRDefault="00556177" w:rsidP="00556177">
            <w:pPr>
              <w:numPr>
                <w:ilvl w:val="0"/>
                <w:numId w:val="33"/>
              </w:numPr>
              <w:spacing w:line="280" w:lineRule="exac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BARI 4 mg was recently granted Emergency Use Authorization (EUA) by the FDA for use in combination with RDV for the treatment of COVID-19 (</w:t>
            </w:r>
            <w:hyperlink r:id="rId23" w:history="1">
              <w:r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link</w:t>
              </w:r>
            </w:hyperlink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)</w:t>
            </w:r>
          </w:p>
          <w:p w14:paraId="65AD6C59" w14:textId="77777777" w:rsidR="00556177" w:rsidRDefault="00556177" w:rsidP="00556177">
            <w:pPr>
              <w:numPr>
                <w:ilvl w:val="0"/>
                <w:numId w:val="34"/>
              </w:numPr>
              <w:spacing w:line="280" w:lineRule="exac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Additional information is available in the recent </w:t>
            </w:r>
            <w:hyperlink r:id="rId24" w:history="1">
              <w:r>
                <w:rPr>
                  <w:rStyle w:val="Hyperlink"/>
                  <w:rFonts w:asciiTheme="minorHAnsi" w:hAnsiTheme="minorHAnsi" w:cstheme="minorHAnsi"/>
                  <w:i/>
                  <w:iCs/>
                </w:rPr>
                <w:t>RA and IBD Pub Alert</w:t>
              </w:r>
            </w:hyperlink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49228AD1" w14:textId="77777777" w:rsidR="00556177" w:rsidRDefault="00F55887">
            <w:p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5" w:history="1">
              <w:r w:rsidR="00556177">
                <w:rPr>
                  <w:rStyle w:val="Hyperlink"/>
                  <w:rFonts w:asciiTheme="minorHAnsi" w:hAnsiTheme="minorHAnsi" w:cstheme="minorHAnsi"/>
                </w:rPr>
                <w:t>Source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="00556177">
              <w:rPr>
                <w:rFonts w:asciiTheme="minorHAnsi" w:hAnsiTheme="minorHAnsi" w:cstheme="minorHAnsi"/>
                <w:sz w:val="20"/>
                <w:szCs w:val="20"/>
              </w:rPr>
              <w:t>Kalil</w:t>
            </w:r>
            <w:proofErr w:type="spellEnd"/>
            <w:r w:rsidR="00556177">
              <w:rPr>
                <w:rFonts w:asciiTheme="minorHAnsi" w:hAnsiTheme="minorHAnsi" w:cstheme="minorHAnsi"/>
                <w:sz w:val="20"/>
                <w:szCs w:val="20"/>
              </w:rPr>
              <w:t xml:space="preserve"> et al., NEJM, December 2020</w:t>
            </w:r>
          </w:p>
          <w:p w14:paraId="4D3450C3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</w:pPr>
          </w:p>
          <w:p w14:paraId="6B0B24B3" w14:textId="77777777" w:rsidR="00556177" w:rsidRDefault="00556177">
            <w:pPr>
              <w:tabs>
                <w:tab w:val="left" w:pos="720"/>
              </w:tabs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lastRenderedPageBreak/>
              <w:t xml:space="preserve">Humira biosimilar, CT-P17, is recommended for approval by Europe’s CHMP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Celltrion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lang w:eastAsia="en-GB"/>
              </w:rPr>
              <w:t>)</w:t>
            </w:r>
          </w:p>
          <w:p w14:paraId="258BDB65" w14:textId="77777777" w:rsidR="00556177" w:rsidRDefault="00556177" w:rsidP="00556177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The Committee for Medicinal Products for Human Use (CHMP) has adopted a positive opinion of CT-P17 (adalimumab biosimilar) for the treatment of multiple chronic inflammatory diseases, including RA, AS, </w:t>
            </w: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PsA</w:t>
            </w:r>
            <w:proofErr w:type="spellEnd"/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, CD, and UC</w:t>
            </w:r>
          </w:p>
          <w:p w14:paraId="016C689E" w14:textId="77777777" w:rsidR="00556177" w:rsidRDefault="00556177" w:rsidP="00556177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A decision regarding approval is expected in the first quarter of 2021.</w:t>
            </w:r>
          </w:p>
          <w:p w14:paraId="36F62E58" w14:textId="77777777" w:rsidR="00556177" w:rsidRDefault="00556177" w:rsidP="00556177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</w:tabs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If approved, CT-P17 would be the first biosimilar with high concentration (100mg/mL) and citrate-free formulation.</w:t>
            </w:r>
          </w:p>
          <w:p w14:paraId="1D5CC19C" w14:textId="77777777" w:rsidR="00556177" w:rsidRDefault="00F55887">
            <w:pPr>
              <w:tabs>
                <w:tab w:val="left" w:pos="360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hyperlink r:id="rId26" w:history="1">
              <w:r w:rsidR="00556177">
                <w:rPr>
                  <w:rStyle w:val="Hyperlink"/>
                  <w:rFonts w:ascii="Calibri" w:hAnsi="Calibri" w:cs="Calibri"/>
                  <w:bCs/>
                  <w:lang w:eastAsia="en-GB"/>
                </w:rPr>
                <w:t>Source:</w:t>
              </w:r>
            </w:hyperlink>
            <w:r w:rsidR="00556177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556177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Celltrion</w:t>
            </w:r>
            <w:proofErr w:type="spellEnd"/>
            <w:r w:rsidR="00556177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press release, Dec 10, 2020</w:t>
            </w:r>
          </w:p>
          <w:p w14:paraId="0A7C423C" w14:textId="77777777" w:rsidR="00556177" w:rsidRDefault="00556177">
            <w:pPr>
              <w:keepNext/>
              <w:pBdr>
                <w:top w:val="single" w:sz="18" w:space="6" w:color="003399"/>
              </w:pBdr>
              <w:spacing w:before="240"/>
              <w:outlineLvl w:val="1"/>
              <w:rPr>
                <w:rFonts w:ascii="Calibri" w:hAnsi="Calibri" w:cs="Arial"/>
                <w:b/>
                <w:color w:val="7030A0"/>
                <w:kern w:val="32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color w:val="76923C"/>
                <w:kern w:val="32"/>
                <w:sz w:val="32"/>
                <w:szCs w:val="32"/>
              </w:rPr>
              <w:t>RHEUMATOLOGY</w:t>
            </w:r>
          </w:p>
          <w:p w14:paraId="5C05B2FD" w14:textId="77777777" w:rsidR="00556177" w:rsidRDefault="00556177">
            <w:p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</w:pPr>
          </w:p>
          <w:p w14:paraId="61B080C7" w14:textId="77777777" w:rsidR="00556177" w:rsidRDefault="00556177">
            <w:p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>Rinvoq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>upadacitinib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 xml:space="preserve">) is recommended for approval for treatment of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>PsA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 xml:space="preserve"> and AS by Europe’s CHMP (AbbVie)</w:t>
            </w:r>
          </w:p>
          <w:p w14:paraId="4B494F93" w14:textId="77777777" w:rsidR="00556177" w:rsidRDefault="00556177" w:rsidP="00556177">
            <w:pPr>
              <w:pStyle w:val="ListParagraph"/>
              <w:numPr>
                <w:ilvl w:val="0"/>
                <w:numId w:val="37"/>
              </w:numPr>
              <w:tabs>
                <w:tab w:val="left" w:pos="70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Europe’s CHMP adopted a positive opinion recommending a change to the terms of the marketing authorization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Rinvoq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15mg to expand its use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PsA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and AS, in addition to its current indication in RA.</w:t>
            </w:r>
          </w:p>
          <w:p w14:paraId="567E88DA" w14:textId="77777777" w:rsidR="00556177" w:rsidRDefault="00556177" w:rsidP="00556177">
            <w:pPr>
              <w:pStyle w:val="ListParagraph"/>
              <w:numPr>
                <w:ilvl w:val="0"/>
                <w:numId w:val="37"/>
              </w:numPr>
              <w:tabs>
                <w:tab w:val="left" w:pos="70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Decisions for both indications are anticipated in early 2021.</w:t>
            </w:r>
          </w:p>
          <w:p w14:paraId="4F54F3DA" w14:textId="77777777" w:rsidR="00556177" w:rsidRDefault="00556177" w:rsidP="00556177">
            <w:pPr>
              <w:pStyle w:val="ListParagraph"/>
              <w:numPr>
                <w:ilvl w:val="0"/>
                <w:numId w:val="38"/>
              </w:numPr>
              <w:tabs>
                <w:tab w:val="left" w:pos="70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eastAsia="en-GB"/>
              </w:rPr>
              <w:t xml:space="preserve">If approved, </w:t>
            </w:r>
            <w:proofErr w:type="spellStart"/>
            <w:r>
              <w:rPr>
                <w:rFonts w:ascii="Calibri" w:hAnsi="Calibri" w:cs="Calibri"/>
                <w:i/>
                <w:iCs/>
                <w:sz w:val="20"/>
                <w:szCs w:val="20"/>
                <w:lang w:eastAsia="en-GB"/>
              </w:rPr>
              <w:t>Rinvoq</w:t>
            </w:r>
            <w:proofErr w:type="spellEnd"/>
            <w:r>
              <w:rPr>
                <w:rFonts w:ascii="Calibri" w:hAnsi="Calibri" w:cs="Calibri"/>
                <w:i/>
                <w:iCs/>
                <w:sz w:val="20"/>
                <w:szCs w:val="20"/>
                <w:lang w:eastAsia="en-GB"/>
              </w:rPr>
              <w:t xml:space="preserve"> would be the first oral JAK inhibitor to be approved for three rheumatologic indications in Europe</w:t>
            </w:r>
          </w:p>
          <w:p w14:paraId="091BD82D" w14:textId="77777777" w:rsidR="00556177" w:rsidRDefault="00F55887">
            <w:p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27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Source: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AbbVie press release, Dec 11, 2020</w:t>
            </w:r>
          </w:p>
          <w:p w14:paraId="0C40F1FE" w14:textId="77777777" w:rsidR="00556177" w:rsidRDefault="00F55887">
            <w:pPr>
              <w:tabs>
                <w:tab w:val="left" w:pos="720"/>
              </w:tabs>
              <w:ind w:left="216" w:hanging="216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hyperlink r:id="rId28" w:history="1">
              <w:r w:rsidR="00556177">
                <w:rPr>
                  <w:rStyle w:val="Hyperlink"/>
                  <w:rFonts w:asciiTheme="minorHAnsi" w:hAnsiTheme="minorHAnsi" w:cstheme="minorHAnsi"/>
                  <w:lang w:eastAsia="en-GB"/>
                </w:rPr>
                <w:t>Source: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EMA CHMP </w:t>
            </w:r>
            <w:proofErr w:type="spellStart"/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PsA</w:t>
            </w:r>
            <w:proofErr w:type="spellEnd"/>
            <w:r w:rsidR="00556177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and AS recommendation, Dec 10, 2020</w:t>
            </w:r>
          </w:p>
          <w:p w14:paraId="3290673B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8D5009F" w14:textId="77777777" w:rsidR="00556177" w:rsidRDefault="00556177">
            <w:pPr>
              <w:keepNext/>
              <w:pBdr>
                <w:top w:val="single" w:sz="18" w:space="6" w:color="003399"/>
              </w:pBdr>
              <w:spacing w:before="240"/>
              <w:outlineLvl w:val="1"/>
              <w:rPr>
                <w:rFonts w:ascii="Calibri" w:hAnsi="Calibri" w:cs="Arial"/>
                <w:b/>
                <w:color w:val="7030A0"/>
                <w:kern w:val="32"/>
                <w:sz w:val="32"/>
                <w:szCs w:val="32"/>
              </w:rPr>
            </w:pPr>
            <w:r>
              <w:rPr>
                <w:rFonts w:ascii="Calibri" w:hAnsi="Calibri" w:cs="Arial"/>
                <w:b/>
                <w:color w:val="7030A0"/>
                <w:kern w:val="32"/>
                <w:sz w:val="32"/>
                <w:szCs w:val="32"/>
              </w:rPr>
              <w:t>INFLAMMATORY BOWEL DISEASE</w:t>
            </w:r>
          </w:p>
          <w:p w14:paraId="4E85CAD2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b/>
                <w:color w:val="7030A0"/>
                <w:sz w:val="20"/>
                <w:szCs w:val="20"/>
              </w:rPr>
            </w:pPr>
          </w:p>
          <w:p w14:paraId="7DC2CC2D" w14:textId="77777777" w:rsidR="00556177" w:rsidRDefault="00556177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Rinvoq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upadacitinib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[UPA]) 45 mg QD Met Primary and Ranked Secondary Endpoints in a Phase 3 Induction Study in Ulcerative Colitis (AbbVie)</w:t>
            </w:r>
          </w:p>
          <w:p w14:paraId="351FDE26" w14:textId="77777777" w:rsidR="00556177" w:rsidRDefault="00556177" w:rsidP="00556177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On December 9, AbbVie announced that UPA 45 mg QD met the primary endpoint of clinical remission, and all ranked secondary endpoints, at Week 8 in the Phase 3 study of U-ACHIEVE, 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 ongoing Phase 2b/3 multicenter, randomized, double-blind, placebo-controlled study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in adult patients with moderate to severe UC</w:t>
            </w:r>
          </w:p>
          <w:p w14:paraId="229A1EC4" w14:textId="77777777" w:rsidR="00556177" w:rsidRDefault="00556177" w:rsidP="00556177">
            <w:pPr>
              <w:pStyle w:val="ListParagraph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26% on UPA vs 5% on PBO achieved clinical remission (p&lt;0.001)</w:t>
            </w:r>
          </w:p>
          <w:p w14:paraId="0D9AF935" w14:textId="77777777" w:rsidR="00556177" w:rsidRDefault="00556177" w:rsidP="00556177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Clinical response, </w:t>
            </w:r>
            <w:r>
              <w:rPr>
                <w:rStyle w:val="prnewsspan"/>
                <w:rFonts w:asciiTheme="minorHAnsi" w:hAnsiTheme="minorHAnsi" w:cstheme="minorHAnsi"/>
                <w:sz w:val="20"/>
                <w:szCs w:val="20"/>
              </w:rPr>
              <w:t xml:space="preserve">endoscopic improvement, and histologic-endoscopic mucosal improvement results are below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(all p&lt;0.001)</w:t>
            </w:r>
          </w:p>
          <w:tbl>
            <w:tblPr>
              <w:tblStyle w:val="ListTable3"/>
              <w:tblW w:w="6555" w:type="dxa"/>
              <w:tblInd w:w="754" w:type="dxa"/>
              <w:tblLayout w:type="fixed"/>
              <w:tblLook w:val="04A0" w:firstRow="1" w:lastRow="0" w:firstColumn="1" w:lastColumn="0" w:noHBand="0" w:noVBand="1"/>
            </w:tblPr>
            <w:tblGrid>
              <w:gridCol w:w="4126"/>
              <w:gridCol w:w="1276"/>
              <w:gridCol w:w="1153"/>
            </w:tblGrid>
            <w:tr w:rsidR="00556177" w14:paraId="61D928B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558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  <w:hideMark/>
                </w:tcPr>
                <w:p w14:paraId="0D571BFB" w14:textId="77777777" w:rsidR="00556177" w:rsidRDefault="00556177">
                  <w:pPr>
                    <w:pStyle w:val="prnewsp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U-ACHIEVE Efficacy Results at Week 8</w:t>
                  </w:r>
                </w:p>
              </w:tc>
            </w:tr>
            <w:tr w:rsidR="00556177" w14:paraId="21F9F25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28" w:type="dxa"/>
                  <w:tcBorders>
                    <w:left w:val="single" w:sz="4" w:space="0" w:color="000000" w:themeColor="text1"/>
                  </w:tcBorders>
                  <w:hideMark/>
                </w:tcPr>
                <w:p w14:paraId="62FC386B" w14:textId="77777777" w:rsidR="00556177" w:rsidRDefault="00556177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7" w:type="dxa"/>
                  <w:tcBorders>
                    <w:left w:val="nil"/>
                    <w:right w:val="nil"/>
                  </w:tcBorders>
                  <w:hideMark/>
                </w:tcPr>
                <w:p w14:paraId="010D3A57" w14:textId="77777777" w:rsidR="00556177" w:rsidRDefault="00556177">
                  <w:pPr>
                    <w:pStyle w:val="prnewsp"/>
                    <w:spacing w:before="0" w:before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UPA 45 mg 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(n=319)</w:t>
                  </w:r>
                </w:p>
              </w:tc>
              <w:tc>
                <w:tcPr>
                  <w:tcW w:w="1153" w:type="dxa"/>
                  <w:tcBorders>
                    <w:left w:val="nil"/>
                    <w:right w:val="single" w:sz="4" w:space="0" w:color="000000" w:themeColor="text1"/>
                  </w:tcBorders>
                  <w:hideMark/>
                </w:tcPr>
                <w:p w14:paraId="7383CA6F" w14:textId="77777777" w:rsidR="00556177" w:rsidRDefault="00556177">
                  <w:pPr>
                    <w:pStyle w:val="prnewsp"/>
                    <w:spacing w:before="0" w:before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Placebo 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(n=154)</w:t>
                  </w:r>
                </w:p>
              </w:tc>
            </w:tr>
            <w:tr w:rsidR="00556177" w14:paraId="22E0228D" w14:textId="77777777">
              <w:trPr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28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hideMark/>
                </w:tcPr>
                <w:p w14:paraId="0CD20BAF" w14:textId="77777777" w:rsidR="00556177" w:rsidRDefault="00556177">
                  <w:pPr>
                    <w:pStyle w:val="prnewsp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 xml:space="preserve">Clinical remission (Adapted Mayo </w:t>
                  </w:r>
                  <w:proofErr w:type="gramStart"/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Score)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a</w:t>
                  </w:r>
                  <w:proofErr w:type="gramEnd"/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16EE85" w14:textId="77777777" w:rsidR="00556177" w:rsidRDefault="00556177">
                  <w:pPr>
                    <w:pStyle w:val="prnews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26%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hideMark/>
                </w:tcPr>
                <w:p w14:paraId="17C95C21" w14:textId="77777777" w:rsidR="00556177" w:rsidRDefault="00556177">
                  <w:pPr>
                    <w:pStyle w:val="prnews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5%</w:t>
                  </w:r>
                </w:p>
              </w:tc>
            </w:tr>
            <w:tr w:rsidR="00556177" w14:paraId="39E941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28" w:type="dxa"/>
                  <w:tcBorders>
                    <w:left w:val="single" w:sz="4" w:space="0" w:color="000000" w:themeColor="text1"/>
                  </w:tcBorders>
                  <w:hideMark/>
                </w:tcPr>
                <w:p w14:paraId="0B9A366B" w14:textId="77777777" w:rsidR="00556177" w:rsidRDefault="00556177">
                  <w:pPr>
                    <w:pStyle w:val="prnewsp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 xml:space="preserve">Clinical response (Adapted Mayo </w:t>
                  </w:r>
                  <w:proofErr w:type="gramStart"/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Score)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b</w:t>
                  </w:r>
                  <w:proofErr w:type="gramEnd"/>
                </w:p>
              </w:tc>
              <w:tc>
                <w:tcPr>
                  <w:tcW w:w="1277" w:type="dxa"/>
                  <w:tcBorders>
                    <w:left w:val="nil"/>
                    <w:right w:val="nil"/>
                  </w:tcBorders>
                  <w:hideMark/>
                </w:tcPr>
                <w:p w14:paraId="36266D61" w14:textId="77777777" w:rsidR="00556177" w:rsidRDefault="00556177">
                  <w:pPr>
                    <w:pStyle w:val="prnews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73%</w:t>
                  </w:r>
                </w:p>
              </w:tc>
              <w:tc>
                <w:tcPr>
                  <w:tcW w:w="1153" w:type="dxa"/>
                  <w:tcBorders>
                    <w:left w:val="nil"/>
                    <w:right w:val="single" w:sz="4" w:space="0" w:color="000000" w:themeColor="text1"/>
                  </w:tcBorders>
                  <w:hideMark/>
                </w:tcPr>
                <w:p w14:paraId="7B3EF927" w14:textId="77777777" w:rsidR="00556177" w:rsidRDefault="00556177">
                  <w:pPr>
                    <w:pStyle w:val="prnews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27%</w:t>
                  </w:r>
                </w:p>
              </w:tc>
            </w:tr>
            <w:tr w:rsidR="00556177" w14:paraId="1D1A2260" w14:textId="77777777">
              <w:trPr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28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hideMark/>
                </w:tcPr>
                <w:p w14:paraId="44951AEB" w14:textId="77777777" w:rsidR="00556177" w:rsidRDefault="00556177">
                  <w:pPr>
                    <w:pStyle w:val="prnewsp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 xml:space="preserve">Endoscopic </w:t>
                  </w:r>
                  <w:proofErr w:type="spellStart"/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improvement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c</w:t>
                  </w:r>
                  <w:proofErr w:type="spellEnd"/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366FF5" w14:textId="77777777" w:rsidR="00556177" w:rsidRDefault="00556177">
                  <w:pPr>
                    <w:pStyle w:val="prnews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36%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hideMark/>
                </w:tcPr>
                <w:p w14:paraId="6E71C186" w14:textId="77777777" w:rsidR="00556177" w:rsidRDefault="00556177">
                  <w:pPr>
                    <w:pStyle w:val="prnewsp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7%</w:t>
                  </w:r>
                </w:p>
              </w:tc>
            </w:tr>
            <w:tr w:rsidR="00556177" w14:paraId="6DFAD0E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28" w:type="dxa"/>
                  <w:tcBorders>
                    <w:left w:val="single" w:sz="4" w:space="0" w:color="000000" w:themeColor="text1"/>
                  </w:tcBorders>
                  <w:hideMark/>
                </w:tcPr>
                <w:p w14:paraId="0EA5778C" w14:textId="77777777" w:rsidR="00556177" w:rsidRDefault="00556177">
                  <w:pPr>
                    <w:pStyle w:val="prnewsp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 xml:space="preserve">Histologic-endoscopic mucosal </w:t>
                  </w:r>
                  <w:proofErr w:type="spellStart"/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improvement</w:t>
                  </w: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d</w:t>
                  </w:r>
                  <w:proofErr w:type="spellEnd"/>
                </w:p>
              </w:tc>
              <w:tc>
                <w:tcPr>
                  <w:tcW w:w="1277" w:type="dxa"/>
                  <w:tcBorders>
                    <w:left w:val="nil"/>
                    <w:right w:val="nil"/>
                  </w:tcBorders>
                  <w:hideMark/>
                </w:tcPr>
                <w:p w14:paraId="7CE7F1F3" w14:textId="77777777" w:rsidR="00556177" w:rsidRDefault="00556177">
                  <w:pPr>
                    <w:pStyle w:val="prnews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30%</w:t>
                  </w:r>
                </w:p>
              </w:tc>
              <w:tc>
                <w:tcPr>
                  <w:tcW w:w="1153" w:type="dxa"/>
                  <w:tcBorders>
                    <w:left w:val="nil"/>
                    <w:right w:val="single" w:sz="4" w:space="0" w:color="000000" w:themeColor="text1"/>
                  </w:tcBorders>
                  <w:hideMark/>
                </w:tcPr>
                <w:p w14:paraId="6939EB0A" w14:textId="77777777" w:rsidR="00556177" w:rsidRDefault="00556177">
                  <w:pPr>
                    <w:pStyle w:val="prnewsp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Style w:val="prnewsspan"/>
                      <w:rFonts w:asciiTheme="minorHAnsi" w:hAnsiTheme="minorHAnsi" w:cstheme="minorHAnsi"/>
                      <w:sz w:val="20"/>
                      <w:szCs w:val="20"/>
                    </w:rPr>
                    <w:t>7%</w:t>
                  </w:r>
                </w:p>
              </w:tc>
            </w:tr>
          </w:tbl>
          <w:p w14:paraId="4A2CE178" w14:textId="77777777" w:rsidR="00556177" w:rsidRDefault="00556177">
            <w:pPr>
              <w:pStyle w:val="prnewsp"/>
              <w:spacing w:before="0" w:beforeAutospacing="0" w:after="0" w:afterAutospacing="0"/>
              <w:ind w:left="720"/>
              <w:rPr>
                <w:rStyle w:val="prnewsspan"/>
                <w:rFonts w:cstheme="minorHAnsi"/>
                <w:sz w:val="16"/>
                <w:szCs w:val="16"/>
              </w:rPr>
            </w:pP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  <w:vertAlign w:val="superscript"/>
              </w:rPr>
              <w:t>a</w:t>
            </w:r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Clinical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remission per Adapted Mayo Score is defined as stool frequency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subscore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(SFS) ≤1 and not greater than baseline, rectal bleeding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subscore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(RBS) of 0 and endoscopic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subscore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≤1.</w:t>
            </w:r>
          </w:p>
          <w:p w14:paraId="36D2913C" w14:textId="77777777" w:rsidR="00556177" w:rsidRDefault="00556177">
            <w:pPr>
              <w:pStyle w:val="prnewsp"/>
              <w:spacing w:before="0" w:beforeAutospacing="0" w:after="0" w:afterAutospacing="0"/>
              <w:ind w:left="720"/>
            </w:pPr>
            <w:r>
              <w:rPr>
                <w:rStyle w:val="prnewsspan"/>
                <w:rFonts w:asciiTheme="minorHAnsi" w:hAnsiTheme="minorHAnsi" w:cstheme="minorHAnsi"/>
                <w:sz w:val="16"/>
                <w:szCs w:val="16"/>
                <w:vertAlign w:val="superscript"/>
              </w:rPr>
              <w:t>b </w:t>
            </w:r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Clinical response per Adapted Mayo Score is defined as a decrease from baseline in the Adapted Mayo score ≥2 points and ≥30 percent from baseline, plus a decrease in RBS ≥1 or an absolute RBS ≤1.</w:t>
            </w:r>
          </w:p>
          <w:p w14:paraId="471A8011" w14:textId="77777777" w:rsidR="00556177" w:rsidRDefault="00556177">
            <w:pPr>
              <w:pStyle w:val="prnewsp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  <w:vertAlign w:val="superscript"/>
              </w:rPr>
              <w:t>c</w:t>
            </w:r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Endoscopic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improvement is defined as endoscopic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subscore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≤1.</w:t>
            </w:r>
          </w:p>
          <w:p w14:paraId="5EAFDAC6" w14:textId="77777777" w:rsidR="00556177" w:rsidRDefault="00556177">
            <w:pPr>
              <w:pStyle w:val="prnewsp"/>
              <w:spacing w:before="0" w:beforeAutospacing="0" w:after="0" w:afterAutospacing="0"/>
              <w:ind w:left="720"/>
              <w:rPr>
                <w:rStyle w:val="prnewsspan"/>
              </w:rPr>
            </w:pP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  <w:vertAlign w:val="superscript"/>
              </w:rPr>
              <w:t>d</w:t>
            </w:r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Histologic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-endoscopic mucosal improvement is defined as endoscopic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subscore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of 0 or 1 and </w:t>
            </w:r>
            <w:proofErr w:type="spellStart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>Geboes</w:t>
            </w:r>
            <w:proofErr w:type="spellEnd"/>
            <w:r>
              <w:rPr>
                <w:rStyle w:val="prnewsspan"/>
                <w:rFonts w:asciiTheme="minorHAnsi" w:hAnsiTheme="minorHAnsi" w:cstheme="minorHAnsi"/>
                <w:sz w:val="16"/>
                <w:szCs w:val="16"/>
              </w:rPr>
              <w:t xml:space="preserve"> score ≤3.1</w:t>
            </w:r>
          </w:p>
          <w:p w14:paraId="1B68CC87" w14:textId="77777777" w:rsidR="00556177" w:rsidRDefault="00556177">
            <w:pPr>
              <w:pStyle w:val="prnewsp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E7B0E6B" w14:textId="77777777" w:rsidR="00556177" w:rsidRDefault="00556177" w:rsidP="00556177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Safety was consistent with safety findings in previous studies across indications, with no new safety risks observed</w:t>
            </w:r>
          </w:p>
          <w:p w14:paraId="71E4DB43" w14:textId="77777777" w:rsidR="00556177" w:rsidRDefault="00556177" w:rsidP="00556177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Most common AEs: acne, blood creatine phosphokinase increase (no cases of rhabdomyolysis), and nasopharyngitis.</w:t>
            </w:r>
          </w:p>
          <w:p w14:paraId="73BC829C" w14:textId="77777777" w:rsidR="00556177" w:rsidRDefault="00556177" w:rsidP="00556177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SAEs: UPA (2.5%) vs PBO (5.8%); Serious infections: UPA (1.6%) vs PBO (1.3%)</w:t>
            </w:r>
          </w:p>
          <w:p w14:paraId="21EBA2D2" w14:textId="77777777" w:rsidR="00556177" w:rsidRDefault="00556177" w:rsidP="00556177">
            <w:pPr>
              <w:pStyle w:val="ListParagraph"/>
              <w:numPr>
                <w:ilvl w:val="0"/>
                <w:numId w:val="40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deaths, GI perforation, malignancy, MACE or VTE were reported.</w:t>
            </w:r>
          </w:p>
          <w:p w14:paraId="67D20769" w14:textId="77777777" w:rsidR="00556177" w:rsidRDefault="00556177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733F07" w14:textId="77777777" w:rsidR="00556177" w:rsidRDefault="00556177" w:rsidP="0055617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Overall, these data are positive for the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>JAKi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 class, adding to the growing evidence of the efficacy and safety of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>JAKis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 in patients with UC</w:t>
            </w:r>
          </w:p>
          <w:p w14:paraId="0345E15D" w14:textId="77777777" w:rsidR="00556177" w:rsidRDefault="00556177" w:rsidP="0055617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The data were expected and consistent with UPA 45 mg 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>esults from the Phase 2b part of U-ACHIEVE (announced in </w:t>
            </w:r>
            <w:hyperlink r:id="rId29" w:tgtFrame="_blank" w:history="1">
              <w:r>
                <w:rPr>
                  <w:rStyle w:val="Hyperlink"/>
                  <w:rFonts w:asciiTheme="minorHAnsi" w:hAnsiTheme="minorHAnsi"/>
                  <w:i/>
                  <w:iCs/>
                  <w:color w:val="0082BA"/>
                </w:rPr>
                <w:t>October 2018</w:t>
              </w:r>
            </w:hyperlink>
            <w:r>
              <w:rPr>
                <w:rFonts w:asciiTheme="minorHAnsi" w:hAnsiTheme="minorHAnsi"/>
                <w:i/>
                <w:iCs/>
                <w:color w:val="0082BA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AE35CF7" w14:textId="77777777" w:rsidR="00556177" w:rsidRDefault="00556177" w:rsidP="0055617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In the induction phase, UPA 45 mg QD efficacy data are strong and appear to show better induction efficacy than currently marketed products.  However,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>durability of maintenance therapy will also be important, especially when UPA is dose decrease in the maintenance phase to 15 mg and 30 mg.</w:t>
            </w:r>
          </w:p>
          <w:p w14:paraId="6F7241B4" w14:textId="77777777" w:rsidR="00556177" w:rsidRDefault="00556177" w:rsidP="0055617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Long-term safety is still outstanding.  Currently, UPA 15 mg is the only approved dose.  In RA, there was a noticeable dose-response in infections, SI, and HZ with UPA 15 mg vs UPA 30mg. </w:t>
            </w:r>
          </w:p>
          <w:p w14:paraId="0D4F7C4C" w14:textId="77777777" w:rsidR="00556177" w:rsidRDefault="00556177" w:rsidP="0055617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U-ACHIEVE is the first of two Phase 3 induction studies. U-ACCOMPLISH induction data are expected in 1H21. Maintenance data from U-ACHIEVE are expected mid-2021</w:t>
            </w:r>
          </w:p>
          <w:p w14:paraId="3D602449" w14:textId="77777777" w:rsidR="00556177" w:rsidRDefault="00F55887">
            <w:pPr>
              <w:tabs>
                <w:tab w:val="left" w:pos="7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hyperlink r:id="rId30" w:history="1">
              <w:r w:rsidR="00556177">
                <w:rPr>
                  <w:rStyle w:val="Hyperlink"/>
                  <w:rFonts w:asciiTheme="minorHAnsi" w:hAnsiTheme="minorHAnsi" w:cstheme="minorHAnsi"/>
                </w:rPr>
                <w:t>Source: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</w:rPr>
              <w:t xml:space="preserve"> AbbVie press release, December 9, 2020</w:t>
            </w:r>
          </w:p>
          <w:p w14:paraId="2C5CD299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07F567" w14:textId="77777777" w:rsidR="00556177" w:rsidRDefault="00556177">
            <w:pPr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 xml:space="preserve">Target recruitment reached in phase 3 ELEVATE UC 52 trial of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>etrasimod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GB"/>
              </w:rPr>
              <w:t xml:space="preserve"> (Arena)</w:t>
            </w:r>
          </w:p>
          <w:p w14:paraId="4C5E1E46" w14:textId="77777777" w:rsidR="00556177" w:rsidRDefault="00556177" w:rsidP="00556177">
            <w:pPr>
              <w:pStyle w:val="ListParagraph"/>
              <w:numPr>
                <w:ilvl w:val="0"/>
                <w:numId w:val="42"/>
              </w:numPr>
              <w:tabs>
                <w:tab w:val="left" w:pos="72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Arena has achieved its target accrual goal of 372 patients in the phase 3 ELEVATE UC 52 trial evaluating the safety and efficacy of once-daily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etrasimod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2mg in moderately-to-severely active UC</w:t>
            </w:r>
          </w:p>
          <w:p w14:paraId="51BC4390" w14:textId="77777777" w:rsidR="00556177" w:rsidRDefault="00556177" w:rsidP="00556177">
            <w:pPr>
              <w:pStyle w:val="ListParagraph"/>
              <w:numPr>
                <w:ilvl w:val="0"/>
                <w:numId w:val="42"/>
              </w:numPr>
              <w:tabs>
                <w:tab w:val="left" w:pos="720"/>
              </w:tabs>
              <w:rPr>
                <w:rFonts w:ascii="Calibri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ELEVATE UC 52 is the first of two phase 3 trials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etrasimod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 in UC. The induction plus maintenance study is evaluating clinical remission (Mayo component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>subscores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en-GB"/>
              </w:rPr>
              <w:t xml:space="preserve">) at Weeks 12 and 52, respectively, as the primary endpoints. </w:t>
            </w:r>
          </w:p>
          <w:p w14:paraId="3E78D483" w14:textId="77777777" w:rsidR="00556177" w:rsidRDefault="00556177" w:rsidP="00556177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>Etrasimod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 is expected to be the 2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perscript"/>
                <w:lang w:eastAsia="en-GB"/>
              </w:rPr>
              <w:t>nd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 S1P inhibitor to market, following ozanimod</w:t>
            </w:r>
          </w:p>
          <w:p w14:paraId="3C7D8054" w14:textId="77777777" w:rsidR="00556177" w:rsidRDefault="00556177" w:rsidP="00556177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ELEVATE UC 12 is the 2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 Phase 3 pivotal trial assessing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etrasimod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 2 mg for induction therapy in UC.</w:t>
            </w:r>
            <w:r>
              <w:rPr>
                <w:i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en-GB"/>
              </w:rPr>
              <w:t xml:space="preserve">Both studies are expected to run through November 2021 (primary and study completion dates). </w:t>
            </w:r>
          </w:p>
          <w:p w14:paraId="35B0EF15" w14:textId="77777777" w:rsidR="00556177" w:rsidRDefault="00F55887">
            <w:pPr>
              <w:tabs>
                <w:tab w:val="left" w:pos="720"/>
              </w:tabs>
              <w:ind w:left="216" w:hanging="216"/>
              <w:rPr>
                <w:rFonts w:ascii="Calibri" w:hAnsi="Calibri" w:cs="Calibri"/>
                <w:sz w:val="20"/>
                <w:szCs w:val="20"/>
                <w:lang w:eastAsia="en-GB"/>
              </w:rPr>
            </w:pPr>
            <w:hyperlink r:id="rId31" w:history="1">
              <w:r w:rsidR="00556177">
                <w:rPr>
                  <w:rStyle w:val="Hyperlink"/>
                  <w:rFonts w:asciiTheme="minorHAnsi" w:hAnsiTheme="minorHAnsi" w:cstheme="minorHAnsi"/>
                </w:rPr>
                <w:t>Source:</w:t>
              </w:r>
            </w:hyperlink>
            <w:r w:rsidR="00556177">
              <w:rPr>
                <w:rFonts w:asciiTheme="minorHAnsi" w:hAnsiTheme="minorHAnsi" w:cstheme="minorHAnsi"/>
                <w:sz w:val="20"/>
                <w:szCs w:val="20"/>
              </w:rPr>
              <w:t xml:space="preserve"> Arena Pharmaceuticals press release, Dec 8, 2020</w:t>
            </w:r>
          </w:p>
        </w:tc>
      </w:tr>
    </w:tbl>
    <w:p w14:paraId="48758DF7" w14:textId="218C3E6F" w:rsidR="006B5CAB" w:rsidRDefault="006B5CAB" w:rsidP="005F0E06"/>
    <w:sectPr w:rsidR="006B5CAB" w:rsidSect="00CB547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E49D" w14:textId="77777777" w:rsidR="004C627A" w:rsidRDefault="004C627A">
      <w:r>
        <w:separator/>
      </w:r>
    </w:p>
  </w:endnote>
  <w:endnote w:type="continuationSeparator" w:id="0">
    <w:p w14:paraId="757822AA" w14:textId="77777777" w:rsidR="004C627A" w:rsidRDefault="004C627A">
      <w:r>
        <w:continuationSeparator/>
      </w:r>
    </w:p>
  </w:endnote>
  <w:endnote w:type="continuationNotice" w:id="1">
    <w:p w14:paraId="75BCD67F" w14:textId="77777777" w:rsidR="004C627A" w:rsidRDefault="004C6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8F1CB" w14:textId="77777777" w:rsidR="004C627A" w:rsidRDefault="004C627A">
      <w:r>
        <w:separator/>
      </w:r>
    </w:p>
  </w:footnote>
  <w:footnote w:type="continuationSeparator" w:id="0">
    <w:p w14:paraId="619CD123" w14:textId="77777777" w:rsidR="004C627A" w:rsidRDefault="004C627A">
      <w:r>
        <w:continuationSeparator/>
      </w:r>
    </w:p>
  </w:footnote>
  <w:footnote w:type="continuationNotice" w:id="1">
    <w:p w14:paraId="7989AC11" w14:textId="77777777" w:rsidR="004C627A" w:rsidRDefault="004C62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5BD"/>
    <w:multiLevelType w:val="hybridMultilevel"/>
    <w:tmpl w:val="0994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177B"/>
    <w:multiLevelType w:val="hybridMultilevel"/>
    <w:tmpl w:val="E3A011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55237"/>
    <w:multiLevelType w:val="hybridMultilevel"/>
    <w:tmpl w:val="E676EA4A"/>
    <w:lvl w:ilvl="0" w:tplc="AF422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427"/>
    <w:multiLevelType w:val="hybridMultilevel"/>
    <w:tmpl w:val="CF0C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1243"/>
    <w:multiLevelType w:val="hybridMultilevel"/>
    <w:tmpl w:val="83828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2A83"/>
    <w:multiLevelType w:val="hybridMultilevel"/>
    <w:tmpl w:val="6B92621A"/>
    <w:lvl w:ilvl="0" w:tplc="FE4EAE9A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059A1"/>
    <w:multiLevelType w:val="hybridMultilevel"/>
    <w:tmpl w:val="5C42AC0C"/>
    <w:lvl w:ilvl="0" w:tplc="0409000B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644"/>
    <w:multiLevelType w:val="hybridMultilevel"/>
    <w:tmpl w:val="28FA5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C2658"/>
    <w:multiLevelType w:val="hybridMultilevel"/>
    <w:tmpl w:val="60D8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4A8"/>
    <w:multiLevelType w:val="hybridMultilevel"/>
    <w:tmpl w:val="89B46214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E1F24"/>
    <w:multiLevelType w:val="hybridMultilevel"/>
    <w:tmpl w:val="C7B4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B1D1A"/>
    <w:multiLevelType w:val="hybridMultilevel"/>
    <w:tmpl w:val="5EF40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108EF"/>
    <w:multiLevelType w:val="hybridMultilevel"/>
    <w:tmpl w:val="0D024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D37E00"/>
    <w:multiLevelType w:val="hybridMultilevel"/>
    <w:tmpl w:val="4B1CC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D4E06"/>
    <w:multiLevelType w:val="hybridMultilevel"/>
    <w:tmpl w:val="80E6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347A4"/>
    <w:multiLevelType w:val="hybridMultilevel"/>
    <w:tmpl w:val="68DC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2F46"/>
    <w:multiLevelType w:val="hybridMultilevel"/>
    <w:tmpl w:val="A1F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B0093"/>
    <w:multiLevelType w:val="hybridMultilevel"/>
    <w:tmpl w:val="8BA6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81B"/>
    <w:multiLevelType w:val="hybridMultilevel"/>
    <w:tmpl w:val="DB90D43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 w15:restartNumberingAfterBreak="0">
    <w:nsid w:val="6EDC3973"/>
    <w:multiLevelType w:val="hybridMultilevel"/>
    <w:tmpl w:val="86E8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918F9"/>
    <w:multiLevelType w:val="hybridMultilevel"/>
    <w:tmpl w:val="C326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8728CF"/>
    <w:multiLevelType w:val="hybridMultilevel"/>
    <w:tmpl w:val="8B408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8E60EE"/>
    <w:multiLevelType w:val="hybridMultilevel"/>
    <w:tmpl w:val="A74E008A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42602"/>
    <w:multiLevelType w:val="hybridMultilevel"/>
    <w:tmpl w:val="C73AAF08"/>
    <w:lvl w:ilvl="0" w:tplc="0409000B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5" w15:restartNumberingAfterBreak="0">
    <w:nsid w:val="7A847E1F"/>
    <w:multiLevelType w:val="hybridMultilevel"/>
    <w:tmpl w:val="7E92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3"/>
  </w:num>
  <w:num w:numId="5">
    <w:abstractNumId w:val="21"/>
  </w:num>
  <w:num w:numId="6">
    <w:abstractNumId w:val="22"/>
  </w:num>
  <w:num w:numId="7">
    <w:abstractNumId w:val="25"/>
  </w:num>
  <w:num w:numId="8">
    <w:abstractNumId w:val="15"/>
  </w:num>
  <w:num w:numId="9">
    <w:abstractNumId w:val="19"/>
  </w:num>
  <w:num w:numId="10">
    <w:abstractNumId w:val="18"/>
  </w:num>
  <w:num w:numId="11">
    <w:abstractNumId w:val="13"/>
  </w:num>
  <w:num w:numId="12">
    <w:abstractNumId w:val="20"/>
  </w:num>
  <w:num w:numId="13">
    <w:abstractNumId w:val="4"/>
  </w:num>
  <w:num w:numId="14">
    <w:abstractNumId w:val="7"/>
  </w:num>
  <w:num w:numId="15">
    <w:abstractNumId w:val="12"/>
  </w:num>
  <w:num w:numId="16">
    <w:abstractNumId w:val="24"/>
  </w:num>
  <w:num w:numId="17">
    <w:abstractNumId w:val="2"/>
  </w:num>
  <w:num w:numId="18">
    <w:abstractNumId w:val="11"/>
  </w:num>
  <w:num w:numId="19">
    <w:abstractNumId w:val="8"/>
  </w:num>
  <w:num w:numId="20">
    <w:abstractNumId w:val="17"/>
  </w:num>
  <w:num w:numId="21">
    <w:abstractNumId w:val="1"/>
  </w:num>
  <w:num w:numId="22">
    <w:abstractNumId w:val="3"/>
  </w:num>
  <w:num w:numId="23">
    <w:abstractNumId w:val="3"/>
  </w:num>
  <w:num w:numId="24">
    <w:abstractNumId w:val="14"/>
  </w:num>
  <w:num w:numId="25">
    <w:abstractNumId w:val="5"/>
  </w:num>
  <w:num w:numId="26">
    <w:abstractNumId w:val="16"/>
  </w:num>
  <w:num w:numId="27">
    <w:abstractNumId w:val="9"/>
  </w:num>
  <w:num w:numId="28">
    <w:abstractNumId w:val="23"/>
  </w:num>
  <w:num w:numId="29">
    <w:abstractNumId w:val="7"/>
  </w:num>
  <w:num w:numId="30">
    <w:abstractNumId w:val="6"/>
  </w:num>
  <w:num w:numId="31">
    <w:abstractNumId w:val="21"/>
  </w:num>
  <w:num w:numId="32">
    <w:abstractNumId w:val="3"/>
  </w:num>
  <w:num w:numId="33">
    <w:abstractNumId w:val="14"/>
  </w:num>
  <w:num w:numId="34">
    <w:abstractNumId w:val="9"/>
  </w:num>
  <w:num w:numId="35">
    <w:abstractNumId w:val="20"/>
  </w:num>
  <w:num w:numId="36">
    <w:abstractNumId w:val="12"/>
  </w:num>
  <w:num w:numId="37">
    <w:abstractNumId w:val="19"/>
  </w:num>
  <w:num w:numId="38">
    <w:abstractNumId w:val="24"/>
  </w:num>
  <w:num w:numId="39">
    <w:abstractNumId w:val="1"/>
  </w:num>
  <w:num w:numId="40">
    <w:abstractNumId w:val="17"/>
  </w:num>
  <w:num w:numId="41">
    <w:abstractNumId w:val="8"/>
  </w:num>
  <w:num w:numId="42">
    <w:abstractNumId w:val="16"/>
  </w:num>
  <w:num w:numId="4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72581"/>
    <w:rsid w:val="000034C8"/>
    <w:rsid w:val="000074D4"/>
    <w:rsid w:val="000120E3"/>
    <w:rsid w:val="00013EF5"/>
    <w:rsid w:val="00037900"/>
    <w:rsid w:val="00047AD9"/>
    <w:rsid w:val="000503D9"/>
    <w:rsid w:val="00052691"/>
    <w:rsid w:val="00053060"/>
    <w:rsid w:val="00054D9C"/>
    <w:rsid w:val="00064ABB"/>
    <w:rsid w:val="00065015"/>
    <w:rsid w:val="0006720A"/>
    <w:rsid w:val="00067E25"/>
    <w:rsid w:val="0007269A"/>
    <w:rsid w:val="00083067"/>
    <w:rsid w:val="0008500C"/>
    <w:rsid w:val="000861BA"/>
    <w:rsid w:val="0009036F"/>
    <w:rsid w:val="0009172F"/>
    <w:rsid w:val="0009752E"/>
    <w:rsid w:val="000A0174"/>
    <w:rsid w:val="000A615C"/>
    <w:rsid w:val="000B05C7"/>
    <w:rsid w:val="000B6C1E"/>
    <w:rsid w:val="000C0606"/>
    <w:rsid w:val="000C27D3"/>
    <w:rsid w:val="000C2F7C"/>
    <w:rsid w:val="000D333F"/>
    <w:rsid w:val="000F011D"/>
    <w:rsid w:val="000F3F5D"/>
    <w:rsid w:val="000F759E"/>
    <w:rsid w:val="00120412"/>
    <w:rsid w:val="00134E01"/>
    <w:rsid w:val="00136C7A"/>
    <w:rsid w:val="00142C1D"/>
    <w:rsid w:val="00147ABC"/>
    <w:rsid w:val="00152026"/>
    <w:rsid w:val="00164E13"/>
    <w:rsid w:val="00166952"/>
    <w:rsid w:val="00170123"/>
    <w:rsid w:val="0018091B"/>
    <w:rsid w:val="00185854"/>
    <w:rsid w:val="001A0764"/>
    <w:rsid w:val="001A0862"/>
    <w:rsid w:val="001A44E6"/>
    <w:rsid w:val="001A73A5"/>
    <w:rsid w:val="001B385A"/>
    <w:rsid w:val="001B3D9E"/>
    <w:rsid w:val="001B5312"/>
    <w:rsid w:val="001B5A4B"/>
    <w:rsid w:val="001C12CA"/>
    <w:rsid w:val="001C43EE"/>
    <w:rsid w:val="001C513D"/>
    <w:rsid w:val="001D4540"/>
    <w:rsid w:val="001E3843"/>
    <w:rsid w:val="001E6C69"/>
    <w:rsid w:val="001F268A"/>
    <w:rsid w:val="001F3DA2"/>
    <w:rsid w:val="001F47CD"/>
    <w:rsid w:val="00202691"/>
    <w:rsid w:val="002043F4"/>
    <w:rsid w:val="00205897"/>
    <w:rsid w:val="00207A3F"/>
    <w:rsid w:val="0021610C"/>
    <w:rsid w:val="002261A3"/>
    <w:rsid w:val="002452CC"/>
    <w:rsid w:val="00256107"/>
    <w:rsid w:val="00261777"/>
    <w:rsid w:val="00266C15"/>
    <w:rsid w:val="00282899"/>
    <w:rsid w:val="00291047"/>
    <w:rsid w:val="00291142"/>
    <w:rsid w:val="002913A0"/>
    <w:rsid w:val="0029152A"/>
    <w:rsid w:val="00292145"/>
    <w:rsid w:val="00296DCD"/>
    <w:rsid w:val="002A1EC9"/>
    <w:rsid w:val="002B3226"/>
    <w:rsid w:val="002C2D89"/>
    <w:rsid w:val="002D08DA"/>
    <w:rsid w:val="002D2A29"/>
    <w:rsid w:val="002D7912"/>
    <w:rsid w:val="002E6676"/>
    <w:rsid w:val="002E724C"/>
    <w:rsid w:val="002F339C"/>
    <w:rsid w:val="002F68C2"/>
    <w:rsid w:val="00307B01"/>
    <w:rsid w:val="00311C43"/>
    <w:rsid w:val="00313C56"/>
    <w:rsid w:val="00320568"/>
    <w:rsid w:val="003218DF"/>
    <w:rsid w:val="00323944"/>
    <w:rsid w:val="0033010D"/>
    <w:rsid w:val="003337EC"/>
    <w:rsid w:val="003343C1"/>
    <w:rsid w:val="00345B00"/>
    <w:rsid w:val="003470BE"/>
    <w:rsid w:val="00355832"/>
    <w:rsid w:val="00366EC1"/>
    <w:rsid w:val="003744FC"/>
    <w:rsid w:val="00391865"/>
    <w:rsid w:val="0039630B"/>
    <w:rsid w:val="00397097"/>
    <w:rsid w:val="003A3113"/>
    <w:rsid w:val="003A5E4C"/>
    <w:rsid w:val="003A63CB"/>
    <w:rsid w:val="003C102B"/>
    <w:rsid w:val="003C15C1"/>
    <w:rsid w:val="003C22EC"/>
    <w:rsid w:val="003C2D2C"/>
    <w:rsid w:val="003C4004"/>
    <w:rsid w:val="003C54FF"/>
    <w:rsid w:val="003D26EA"/>
    <w:rsid w:val="003E4292"/>
    <w:rsid w:val="003F131A"/>
    <w:rsid w:val="004058E6"/>
    <w:rsid w:val="004063EE"/>
    <w:rsid w:val="004112CF"/>
    <w:rsid w:val="004210E6"/>
    <w:rsid w:val="00423F30"/>
    <w:rsid w:val="0043306C"/>
    <w:rsid w:val="00435C8C"/>
    <w:rsid w:val="004372A5"/>
    <w:rsid w:val="00437363"/>
    <w:rsid w:val="004430F4"/>
    <w:rsid w:val="004431C3"/>
    <w:rsid w:val="00445DFF"/>
    <w:rsid w:val="0045018B"/>
    <w:rsid w:val="00461DD5"/>
    <w:rsid w:val="00467D0D"/>
    <w:rsid w:val="00472581"/>
    <w:rsid w:val="00476A3C"/>
    <w:rsid w:val="00477881"/>
    <w:rsid w:val="00481C05"/>
    <w:rsid w:val="00487680"/>
    <w:rsid w:val="004920DF"/>
    <w:rsid w:val="004973B2"/>
    <w:rsid w:val="004A24B3"/>
    <w:rsid w:val="004A2C53"/>
    <w:rsid w:val="004A364D"/>
    <w:rsid w:val="004A6BD8"/>
    <w:rsid w:val="004B0FFC"/>
    <w:rsid w:val="004B5A78"/>
    <w:rsid w:val="004C627A"/>
    <w:rsid w:val="004C79D1"/>
    <w:rsid w:val="004D0949"/>
    <w:rsid w:val="004D1C31"/>
    <w:rsid w:val="004D4B22"/>
    <w:rsid w:val="004E1877"/>
    <w:rsid w:val="004E3F32"/>
    <w:rsid w:val="0050638D"/>
    <w:rsid w:val="005119E1"/>
    <w:rsid w:val="005163B6"/>
    <w:rsid w:val="00526B3B"/>
    <w:rsid w:val="005321A5"/>
    <w:rsid w:val="0053525C"/>
    <w:rsid w:val="00553550"/>
    <w:rsid w:val="00555A2C"/>
    <w:rsid w:val="00556177"/>
    <w:rsid w:val="00557DF7"/>
    <w:rsid w:val="00562553"/>
    <w:rsid w:val="00566BDC"/>
    <w:rsid w:val="00576AA3"/>
    <w:rsid w:val="00576E81"/>
    <w:rsid w:val="00580874"/>
    <w:rsid w:val="00583F92"/>
    <w:rsid w:val="005859CA"/>
    <w:rsid w:val="00590301"/>
    <w:rsid w:val="00592C3C"/>
    <w:rsid w:val="00595350"/>
    <w:rsid w:val="005A5248"/>
    <w:rsid w:val="005A7A4A"/>
    <w:rsid w:val="005B07C4"/>
    <w:rsid w:val="005B2A8F"/>
    <w:rsid w:val="005B348A"/>
    <w:rsid w:val="005B7D74"/>
    <w:rsid w:val="005C13AE"/>
    <w:rsid w:val="005C2472"/>
    <w:rsid w:val="005C29E9"/>
    <w:rsid w:val="005C2FB6"/>
    <w:rsid w:val="005C5C43"/>
    <w:rsid w:val="005F0E06"/>
    <w:rsid w:val="005F19A9"/>
    <w:rsid w:val="005F3A7F"/>
    <w:rsid w:val="00607AB7"/>
    <w:rsid w:val="00614D9A"/>
    <w:rsid w:val="0061731F"/>
    <w:rsid w:val="0062037E"/>
    <w:rsid w:val="006218B1"/>
    <w:rsid w:val="006238D4"/>
    <w:rsid w:val="006301A9"/>
    <w:rsid w:val="00640310"/>
    <w:rsid w:val="00641B4A"/>
    <w:rsid w:val="006503F5"/>
    <w:rsid w:val="0065629C"/>
    <w:rsid w:val="00664B6C"/>
    <w:rsid w:val="00667E38"/>
    <w:rsid w:val="006723A8"/>
    <w:rsid w:val="006740B0"/>
    <w:rsid w:val="006748DD"/>
    <w:rsid w:val="006764F4"/>
    <w:rsid w:val="00681072"/>
    <w:rsid w:val="00692567"/>
    <w:rsid w:val="006B2964"/>
    <w:rsid w:val="006B5CAB"/>
    <w:rsid w:val="006B6176"/>
    <w:rsid w:val="006D36A5"/>
    <w:rsid w:val="006E2B39"/>
    <w:rsid w:val="006F0389"/>
    <w:rsid w:val="006F435B"/>
    <w:rsid w:val="006F4B3E"/>
    <w:rsid w:val="0070669B"/>
    <w:rsid w:val="00706858"/>
    <w:rsid w:val="00707C6C"/>
    <w:rsid w:val="00720BDF"/>
    <w:rsid w:val="00726506"/>
    <w:rsid w:val="0072757D"/>
    <w:rsid w:val="00730C41"/>
    <w:rsid w:val="0073765B"/>
    <w:rsid w:val="00741133"/>
    <w:rsid w:val="007506C7"/>
    <w:rsid w:val="007526F6"/>
    <w:rsid w:val="007540F2"/>
    <w:rsid w:val="0076099C"/>
    <w:rsid w:val="00761BE1"/>
    <w:rsid w:val="007674AE"/>
    <w:rsid w:val="00767E79"/>
    <w:rsid w:val="0078088F"/>
    <w:rsid w:val="00785129"/>
    <w:rsid w:val="007854B9"/>
    <w:rsid w:val="007A0235"/>
    <w:rsid w:val="007A0AA9"/>
    <w:rsid w:val="007A2079"/>
    <w:rsid w:val="007A3085"/>
    <w:rsid w:val="007B77C1"/>
    <w:rsid w:val="007C0C18"/>
    <w:rsid w:val="007C6452"/>
    <w:rsid w:val="007C6982"/>
    <w:rsid w:val="007D0A4D"/>
    <w:rsid w:val="007D1C93"/>
    <w:rsid w:val="007D635A"/>
    <w:rsid w:val="007E09B0"/>
    <w:rsid w:val="007E3997"/>
    <w:rsid w:val="007F6618"/>
    <w:rsid w:val="007F6DD0"/>
    <w:rsid w:val="00800FAF"/>
    <w:rsid w:val="008019A5"/>
    <w:rsid w:val="00803EA2"/>
    <w:rsid w:val="0081094A"/>
    <w:rsid w:val="008148B9"/>
    <w:rsid w:val="00820316"/>
    <w:rsid w:val="0082031B"/>
    <w:rsid w:val="008235F4"/>
    <w:rsid w:val="0083159C"/>
    <w:rsid w:val="0084122A"/>
    <w:rsid w:val="00852E58"/>
    <w:rsid w:val="00872263"/>
    <w:rsid w:val="00873E08"/>
    <w:rsid w:val="00873EF1"/>
    <w:rsid w:val="00882EFF"/>
    <w:rsid w:val="0089173E"/>
    <w:rsid w:val="0089496D"/>
    <w:rsid w:val="008966A3"/>
    <w:rsid w:val="00896FA1"/>
    <w:rsid w:val="008B4BDA"/>
    <w:rsid w:val="008B5090"/>
    <w:rsid w:val="008B5298"/>
    <w:rsid w:val="008C02E2"/>
    <w:rsid w:val="008C213A"/>
    <w:rsid w:val="008D501A"/>
    <w:rsid w:val="008D762F"/>
    <w:rsid w:val="008E13E0"/>
    <w:rsid w:val="008E2125"/>
    <w:rsid w:val="008E3623"/>
    <w:rsid w:val="008E395A"/>
    <w:rsid w:val="008E478D"/>
    <w:rsid w:val="008F1309"/>
    <w:rsid w:val="008F374D"/>
    <w:rsid w:val="008F6855"/>
    <w:rsid w:val="008F7D2C"/>
    <w:rsid w:val="00902ABA"/>
    <w:rsid w:val="00913D0B"/>
    <w:rsid w:val="00915F1A"/>
    <w:rsid w:val="0093052A"/>
    <w:rsid w:val="009365D1"/>
    <w:rsid w:val="00937B06"/>
    <w:rsid w:val="00942957"/>
    <w:rsid w:val="00952616"/>
    <w:rsid w:val="00953064"/>
    <w:rsid w:val="00973C81"/>
    <w:rsid w:val="00974264"/>
    <w:rsid w:val="0097426E"/>
    <w:rsid w:val="00974D83"/>
    <w:rsid w:val="00977E9B"/>
    <w:rsid w:val="00980DB3"/>
    <w:rsid w:val="0099517E"/>
    <w:rsid w:val="009A287F"/>
    <w:rsid w:val="009A33AD"/>
    <w:rsid w:val="009A6E2A"/>
    <w:rsid w:val="009C2358"/>
    <w:rsid w:val="009C3D36"/>
    <w:rsid w:val="009D15C9"/>
    <w:rsid w:val="009E0CBB"/>
    <w:rsid w:val="009E7F2B"/>
    <w:rsid w:val="009F0B59"/>
    <w:rsid w:val="009F5796"/>
    <w:rsid w:val="00A01022"/>
    <w:rsid w:val="00A0122F"/>
    <w:rsid w:val="00A02073"/>
    <w:rsid w:val="00A0659B"/>
    <w:rsid w:val="00A1109B"/>
    <w:rsid w:val="00A12AFC"/>
    <w:rsid w:val="00A162F4"/>
    <w:rsid w:val="00A25FCD"/>
    <w:rsid w:val="00A30A52"/>
    <w:rsid w:val="00A30AD6"/>
    <w:rsid w:val="00A31337"/>
    <w:rsid w:val="00A55198"/>
    <w:rsid w:val="00A81C8F"/>
    <w:rsid w:val="00A82927"/>
    <w:rsid w:val="00A8364A"/>
    <w:rsid w:val="00A97DB8"/>
    <w:rsid w:val="00AA7542"/>
    <w:rsid w:val="00AC7623"/>
    <w:rsid w:val="00AD2CDC"/>
    <w:rsid w:val="00AD33DA"/>
    <w:rsid w:val="00AD79FF"/>
    <w:rsid w:val="00AE748B"/>
    <w:rsid w:val="00AE7CF6"/>
    <w:rsid w:val="00AF03CB"/>
    <w:rsid w:val="00AF0B0F"/>
    <w:rsid w:val="00AF775C"/>
    <w:rsid w:val="00B07C77"/>
    <w:rsid w:val="00B10FF9"/>
    <w:rsid w:val="00B174C0"/>
    <w:rsid w:val="00B21077"/>
    <w:rsid w:val="00B251F8"/>
    <w:rsid w:val="00B277D4"/>
    <w:rsid w:val="00B3116E"/>
    <w:rsid w:val="00B3583B"/>
    <w:rsid w:val="00B54975"/>
    <w:rsid w:val="00B65C47"/>
    <w:rsid w:val="00B70D3A"/>
    <w:rsid w:val="00B76CE9"/>
    <w:rsid w:val="00B77B0A"/>
    <w:rsid w:val="00B86BE1"/>
    <w:rsid w:val="00B9083B"/>
    <w:rsid w:val="00B91AF5"/>
    <w:rsid w:val="00BA0ACB"/>
    <w:rsid w:val="00BA2643"/>
    <w:rsid w:val="00BA4CEB"/>
    <w:rsid w:val="00BA7BEF"/>
    <w:rsid w:val="00BB0397"/>
    <w:rsid w:val="00BB0A32"/>
    <w:rsid w:val="00BB494C"/>
    <w:rsid w:val="00BB7A40"/>
    <w:rsid w:val="00BC513E"/>
    <w:rsid w:val="00BD0675"/>
    <w:rsid w:val="00BD39BE"/>
    <w:rsid w:val="00BD6D7E"/>
    <w:rsid w:val="00BE227B"/>
    <w:rsid w:val="00BE6DBE"/>
    <w:rsid w:val="00BF10D6"/>
    <w:rsid w:val="00BF40C4"/>
    <w:rsid w:val="00BF520E"/>
    <w:rsid w:val="00C05296"/>
    <w:rsid w:val="00C070B3"/>
    <w:rsid w:val="00C10A31"/>
    <w:rsid w:val="00C11EDD"/>
    <w:rsid w:val="00C11F3F"/>
    <w:rsid w:val="00C16D32"/>
    <w:rsid w:val="00C23EB7"/>
    <w:rsid w:val="00C2699F"/>
    <w:rsid w:val="00C32345"/>
    <w:rsid w:val="00C340F5"/>
    <w:rsid w:val="00C352E7"/>
    <w:rsid w:val="00C412F5"/>
    <w:rsid w:val="00C438E7"/>
    <w:rsid w:val="00C43AA4"/>
    <w:rsid w:val="00C43D00"/>
    <w:rsid w:val="00C43D6F"/>
    <w:rsid w:val="00C5790D"/>
    <w:rsid w:val="00C61E85"/>
    <w:rsid w:val="00C6225B"/>
    <w:rsid w:val="00C65005"/>
    <w:rsid w:val="00C81327"/>
    <w:rsid w:val="00C91C53"/>
    <w:rsid w:val="00C948A1"/>
    <w:rsid w:val="00CA471C"/>
    <w:rsid w:val="00CB547E"/>
    <w:rsid w:val="00CB71C9"/>
    <w:rsid w:val="00CC35E1"/>
    <w:rsid w:val="00CC42D6"/>
    <w:rsid w:val="00CD0123"/>
    <w:rsid w:val="00CE0C4C"/>
    <w:rsid w:val="00CE0EFE"/>
    <w:rsid w:val="00CE5702"/>
    <w:rsid w:val="00CE6266"/>
    <w:rsid w:val="00CF3C05"/>
    <w:rsid w:val="00D02F61"/>
    <w:rsid w:val="00D03826"/>
    <w:rsid w:val="00D1016B"/>
    <w:rsid w:val="00D144AC"/>
    <w:rsid w:val="00D168C1"/>
    <w:rsid w:val="00D17E01"/>
    <w:rsid w:val="00D206D4"/>
    <w:rsid w:val="00D403D2"/>
    <w:rsid w:val="00D438BD"/>
    <w:rsid w:val="00D50B45"/>
    <w:rsid w:val="00D52DD7"/>
    <w:rsid w:val="00D55B0D"/>
    <w:rsid w:val="00D608D8"/>
    <w:rsid w:val="00D60A91"/>
    <w:rsid w:val="00D62473"/>
    <w:rsid w:val="00D721AC"/>
    <w:rsid w:val="00D729F1"/>
    <w:rsid w:val="00D7361C"/>
    <w:rsid w:val="00D75AF0"/>
    <w:rsid w:val="00D87E49"/>
    <w:rsid w:val="00D952AE"/>
    <w:rsid w:val="00DA165D"/>
    <w:rsid w:val="00DA3D17"/>
    <w:rsid w:val="00DA3DAB"/>
    <w:rsid w:val="00DB6D94"/>
    <w:rsid w:val="00DB7461"/>
    <w:rsid w:val="00DC6084"/>
    <w:rsid w:val="00DD0F66"/>
    <w:rsid w:val="00DD773E"/>
    <w:rsid w:val="00DE79E5"/>
    <w:rsid w:val="00DF5B56"/>
    <w:rsid w:val="00DF7E5F"/>
    <w:rsid w:val="00E04BD6"/>
    <w:rsid w:val="00E10530"/>
    <w:rsid w:val="00E10A9A"/>
    <w:rsid w:val="00E128EF"/>
    <w:rsid w:val="00E14FE2"/>
    <w:rsid w:val="00E269C5"/>
    <w:rsid w:val="00E27281"/>
    <w:rsid w:val="00E41697"/>
    <w:rsid w:val="00E440F7"/>
    <w:rsid w:val="00E45672"/>
    <w:rsid w:val="00E515F0"/>
    <w:rsid w:val="00E53425"/>
    <w:rsid w:val="00E6045D"/>
    <w:rsid w:val="00E63888"/>
    <w:rsid w:val="00E647C2"/>
    <w:rsid w:val="00E656D8"/>
    <w:rsid w:val="00E74ACC"/>
    <w:rsid w:val="00E75105"/>
    <w:rsid w:val="00E76B80"/>
    <w:rsid w:val="00E7703B"/>
    <w:rsid w:val="00E8006C"/>
    <w:rsid w:val="00E806F5"/>
    <w:rsid w:val="00E83C04"/>
    <w:rsid w:val="00E849EC"/>
    <w:rsid w:val="00EA4464"/>
    <w:rsid w:val="00EA794E"/>
    <w:rsid w:val="00EB6D72"/>
    <w:rsid w:val="00EB76B8"/>
    <w:rsid w:val="00ED1814"/>
    <w:rsid w:val="00ED33BD"/>
    <w:rsid w:val="00ED3723"/>
    <w:rsid w:val="00ED7518"/>
    <w:rsid w:val="00EE2A96"/>
    <w:rsid w:val="00EF49CF"/>
    <w:rsid w:val="00EF667A"/>
    <w:rsid w:val="00EF7792"/>
    <w:rsid w:val="00EF7AB2"/>
    <w:rsid w:val="00F02BD1"/>
    <w:rsid w:val="00F03986"/>
    <w:rsid w:val="00F0582C"/>
    <w:rsid w:val="00F2424A"/>
    <w:rsid w:val="00F26866"/>
    <w:rsid w:val="00F4396F"/>
    <w:rsid w:val="00F54792"/>
    <w:rsid w:val="00F55887"/>
    <w:rsid w:val="00F55F76"/>
    <w:rsid w:val="00F62395"/>
    <w:rsid w:val="00F64079"/>
    <w:rsid w:val="00F657BB"/>
    <w:rsid w:val="00F65907"/>
    <w:rsid w:val="00F661D1"/>
    <w:rsid w:val="00F66A59"/>
    <w:rsid w:val="00F71A42"/>
    <w:rsid w:val="00F77854"/>
    <w:rsid w:val="00F815BF"/>
    <w:rsid w:val="00F81DFE"/>
    <w:rsid w:val="00F84925"/>
    <w:rsid w:val="00F920D5"/>
    <w:rsid w:val="00FA47F3"/>
    <w:rsid w:val="00FA7029"/>
    <w:rsid w:val="00FB13B5"/>
    <w:rsid w:val="00FE6222"/>
    <w:rsid w:val="00FF299F"/>
    <w:rsid w:val="010A9A08"/>
    <w:rsid w:val="01110E8A"/>
    <w:rsid w:val="01C3AAB5"/>
    <w:rsid w:val="023A3DAE"/>
    <w:rsid w:val="02A2F1DB"/>
    <w:rsid w:val="058D3328"/>
    <w:rsid w:val="05C48674"/>
    <w:rsid w:val="07D7F31F"/>
    <w:rsid w:val="0C300F59"/>
    <w:rsid w:val="0CAEFF57"/>
    <w:rsid w:val="0ECEAF71"/>
    <w:rsid w:val="0FB99502"/>
    <w:rsid w:val="1604518D"/>
    <w:rsid w:val="1ACCAA7B"/>
    <w:rsid w:val="1BC00118"/>
    <w:rsid w:val="218BD59D"/>
    <w:rsid w:val="219CE6B5"/>
    <w:rsid w:val="2248425F"/>
    <w:rsid w:val="269F44FF"/>
    <w:rsid w:val="27A26169"/>
    <w:rsid w:val="2A0776D4"/>
    <w:rsid w:val="2AABD576"/>
    <w:rsid w:val="2AD38F5F"/>
    <w:rsid w:val="2B022078"/>
    <w:rsid w:val="2B6D7FC3"/>
    <w:rsid w:val="2BDA9B92"/>
    <w:rsid w:val="2E881536"/>
    <w:rsid w:val="3023C087"/>
    <w:rsid w:val="32659351"/>
    <w:rsid w:val="34297576"/>
    <w:rsid w:val="34B18D28"/>
    <w:rsid w:val="3BB67253"/>
    <w:rsid w:val="3E5D32C9"/>
    <w:rsid w:val="40041417"/>
    <w:rsid w:val="41195E9C"/>
    <w:rsid w:val="4246DE8E"/>
    <w:rsid w:val="475AA195"/>
    <w:rsid w:val="4A684A73"/>
    <w:rsid w:val="4E5734F0"/>
    <w:rsid w:val="4EFC4D06"/>
    <w:rsid w:val="506D8361"/>
    <w:rsid w:val="50770882"/>
    <w:rsid w:val="51667F98"/>
    <w:rsid w:val="5433CE15"/>
    <w:rsid w:val="589906F4"/>
    <w:rsid w:val="59829983"/>
    <w:rsid w:val="605F5D53"/>
    <w:rsid w:val="61518287"/>
    <w:rsid w:val="62990BB7"/>
    <w:rsid w:val="64A3CB03"/>
    <w:rsid w:val="66AB318E"/>
    <w:rsid w:val="67C3F46E"/>
    <w:rsid w:val="6CFD2043"/>
    <w:rsid w:val="6D9D42D4"/>
    <w:rsid w:val="6F67F909"/>
    <w:rsid w:val="7077F33A"/>
    <w:rsid w:val="716CCD44"/>
    <w:rsid w:val="717FD08C"/>
    <w:rsid w:val="71BB509B"/>
    <w:rsid w:val="7224607F"/>
    <w:rsid w:val="73CB4A37"/>
    <w:rsid w:val="77027C97"/>
    <w:rsid w:val="79F59D93"/>
    <w:rsid w:val="7A0B8C40"/>
    <w:rsid w:val="7B936965"/>
    <w:rsid w:val="7BB37E2B"/>
    <w:rsid w:val="7CC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381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link w:val="Heading2Char"/>
    <w:qFormat/>
    <w:rsid w:val="007B77C1"/>
    <w:pPr>
      <w:pBdr>
        <w:top w:val="single" w:sz="18" w:space="6" w:color="003399"/>
      </w:pBd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25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uiPriority w:val="99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E84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472581"/>
    <w:pPr>
      <w:ind w:left="720"/>
    </w:pPr>
  </w:style>
  <w:style w:type="character" w:customStyle="1" w:styleId="Heading3Char">
    <w:name w:val="Heading 3 Char"/>
    <w:basedOn w:val="DefaultParagraphFont"/>
    <w:link w:val="Heading3"/>
    <w:semiHidden/>
    <w:rsid w:val="00472581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472581"/>
    <w:rPr>
      <w:rFonts w:eastAsia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CommentTextChar">
    <w:name w:val="Comment Text Char"/>
    <w:link w:val="CommentText"/>
    <w:uiPriority w:val="99"/>
    <w:semiHidden/>
    <w:rsid w:val="00707C6C"/>
  </w:style>
  <w:style w:type="table" w:styleId="GridTable4">
    <w:name w:val="Grid Table 4"/>
    <w:basedOn w:val="TableNormal"/>
    <w:uiPriority w:val="49"/>
    <w:rsid w:val="003A31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7B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A44E6"/>
    <w:rPr>
      <w:rFonts w:ascii="Trebuchet MS" w:hAnsi="Trebuchet MS" w:cs="Arial"/>
      <w:color w:val="0066CC"/>
      <w:kern w:val="32"/>
      <w:sz w:val="36"/>
      <w:szCs w:val="38"/>
    </w:rPr>
  </w:style>
  <w:style w:type="character" w:customStyle="1" w:styleId="BodyTextChar">
    <w:name w:val="Body Text Char"/>
    <w:basedOn w:val="DefaultParagraphFont"/>
    <w:link w:val="BodyText"/>
    <w:rsid w:val="001A44E6"/>
    <w:rPr>
      <w:rFonts w:ascii="Verdana" w:hAnsi="Verdana"/>
    </w:rPr>
  </w:style>
  <w:style w:type="character" w:customStyle="1" w:styleId="st">
    <w:name w:val="st"/>
    <w:basedOn w:val="DefaultParagraphFont"/>
    <w:rsid w:val="00142C1D"/>
  </w:style>
  <w:style w:type="paragraph" w:styleId="Revision">
    <w:name w:val="Revision"/>
    <w:hidden/>
    <w:uiPriority w:val="99"/>
    <w:semiHidden/>
    <w:rsid w:val="00BF520E"/>
    <w:rPr>
      <w:sz w:val="24"/>
      <w:szCs w:val="24"/>
    </w:rPr>
  </w:style>
  <w:style w:type="character" w:customStyle="1" w:styleId="normaltextrun">
    <w:name w:val="normaltextrun"/>
    <w:basedOn w:val="DefaultParagraphFont"/>
    <w:rsid w:val="002F339C"/>
  </w:style>
  <w:style w:type="paragraph" w:customStyle="1" w:styleId="prnewsp">
    <w:name w:val="prnews_p"/>
    <w:basedOn w:val="Normal"/>
    <w:rsid w:val="00B07C77"/>
    <w:pPr>
      <w:spacing w:before="100" w:beforeAutospacing="1" w:after="100" w:afterAutospacing="1"/>
    </w:pPr>
  </w:style>
  <w:style w:type="character" w:customStyle="1" w:styleId="prnewsspan">
    <w:name w:val="prnews_span"/>
    <w:basedOn w:val="DefaultParagraphFont"/>
    <w:rsid w:val="00B07C77"/>
  </w:style>
  <w:style w:type="table" w:styleId="ListTable3">
    <w:name w:val="List Table 3"/>
    <w:basedOn w:val="TableNormal"/>
    <w:uiPriority w:val="48"/>
    <w:rsid w:val="00B07C7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rsid w:val="00585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9CA"/>
    <w:rPr>
      <w:sz w:val="24"/>
      <w:szCs w:val="24"/>
    </w:rPr>
  </w:style>
  <w:style w:type="paragraph" w:styleId="Footer">
    <w:name w:val="footer"/>
    <w:basedOn w:val="Normal"/>
    <w:link w:val="FooterChar"/>
    <w:rsid w:val="00585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59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lead.egnyte.com/navigate/file/d94ecbe4-547d-46a6-a4d8-699572117c12" TargetMode="External"/><Relationship Id="rId18" Type="http://schemas.openxmlformats.org/officeDocument/2006/relationships/hyperlink" Target="https://gilead.egnyte.com/navigate/file/97cd726d-8590-4e24-9a36-6d4bdee6d48e" TargetMode="External"/><Relationship Id="rId26" Type="http://schemas.openxmlformats.org/officeDocument/2006/relationships/hyperlink" Target="https://www.celltrionhealthcare.com/en-us/board/newsdetail?modify_key=422&amp;pagenumber=1&amp;keyword=&amp;keyword_type=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miira@gilead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lead.egnyte.com/navigate/file/6017f3cc-99d6-4ab4-b239-670980a48160" TargetMode="External"/><Relationship Id="rId17" Type="http://schemas.openxmlformats.org/officeDocument/2006/relationships/hyperlink" Target="https://gilead.egnyte.com/navigate/file/25fdadf7-7ebe-454f-a873-16ee0df5cf81" TargetMode="External"/><Relationship Id="rId25" Type="http://schemas.openxmlformats.org/officeDocument/2006/relationships/hyperlink" Target="https://pubmed.ncbi.nlm.nih.gov/33306283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lead.egnyte.com/navigate/file/8bfb3815-2046-4b0b-a220-117e4cbe42b1" TargetMode="External"/><Relationship Id="rId20" Type="http://schemas.openxmlformats.org/officeDocument/2006/relationships/hyperlink" Target="https://gilead.egnyte.com/navigate/file/865f6f6b-5992-456d-8ace-8547a6081f81" TargetMode="External"/><Relationship Id="rId29" Type="http://schemas.openxmlformats.org/officeDocument/2006/relationships/hyperlink" Target="https://c212.net/c/link/?t=0&amp;l=en&amp;o=3006919-1&amp;h=393885423&amp;u=https%3A%2F%2Fnews.abbvie.com%2Fnews%2Fpress-releases%2Fpositive-phase-2b-data-for-abbvies-upadacitinib-show-significant-induction-clinical-remission-and-response-in-patients-with-ulcerative-colitis.htm&amp;a=October+201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lead.egnyte.com/navigate/file/6f6ece51-5056-463a-9751-3c6c73a5cde4" TargetMode="External"/><Relationship Id="rId24" Type="http://schemas.openxmlformats.org/officeDocument/2006/relationships/hyperlink" Target="https://gileadconnect.sharepoint.com/Sites/GPART-FILGOOD/MEDICAL1/Forms/AllItems.aspx?RootFolder=%2FSites%2FGPART%2DFILGOOD%2FMEDICAL1%2F1%2E%20RA%2FTRAINING%2F4%2E%20PubAlerts%2FBaricitinib%20plus%20remdesivir&amp;FolderCTID=0x0120005A2D798FEDB5214DB4F9AE539B291E46&amp;View=%7B7FA8C7B6%2D6E3A%2D4C8B%2DB494%2D1361745A885B%7D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lead.egnyte.com/navigate/file/72194dab-11fe-404c-bb00-8fd424cb58a8" TargetMode="External"/><Relationship Id="rId23" Type="http://schemas.openxmlformats.org/officeDocument/2006/relationships/hyperlink" Target="https://urldefense.com/v3/__https:/www.fda.gov/news-events/press-announcements/coronavirus-covid-19-update-fda-authorizes-drug-combination-treatment-covid-19?utm_medium=email&amp;utm_source=govdelivery__;!!Dq7g1IpY!06vPmV5h4ZaCzLYXadZyOk2Usuy6uKMQbd-BlWwQPvm-2jc7odIH-URYYaHlTIY2arU$" TargetMode="External"/><Relationship Id="rId28" Type="http://schemas.openxmlformats.org/officeDocument/2006/relationships/hyperlink" Target="https://www.ema.europa.eu/en/medicines/human/summaries-opinion/rinvoq-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lead.egnyte.com/navigate/file/1ded6704-c9c4-4fc6-864d-af0d94bbcb6c" TargetMode="External"/><Relationship Id="rId31" Type="http://schemas.openxmlformats.org/officeDocument/2006/relationships/hyperlink" Target="https://www.prnewswire.com/news-releases/arena-pharmaceuticals-achieves-target-enrollment-for-etrasimod-phase-3-elevate-uc-52-trial-301187942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lead.egnyte.com/navigate/file/7604c9cc-b9a2-48d9-acb9-042eeae77891" TargetMode="External"/><Relationship Id="rId22" Type="http://schemas.openxmlformats.org/officeDocument/2006/relationships/hyperlink" Target="https://gileadconnect.sharepoint.com/Sites/GPART-FILGOOD/MEDICAL1/Forms/AllItems.aspx?RootFolder=%2FSites%2FGPART%2DFILGOOD%2FMEDICAL1%2FGENERAL%2F2%2E%20MIIRA&amp;View=%7B7FA8C7B6%2D6E3A%2D4C8B%2DB494%2D1361745A885B%7D" TargetMode="External"/><Relationship Id="rId27" Type="http://schemas.openxmlformats.org/officeDocument/2006/relationships/hyperlink" Target="https://www.prnewswire.com/news-releases/chmp-recommends-the-approvals-of-rinvoq-upadacitinib-for-the-treatment-of-adults-with-active-psoriatic-arthritis-and-ankylosing-spondylitis-301191192.html" TargetMode="External"/><Relationship Id="rId30" Type="http://schemas.openxmlformats.org/officeDocument/2006/relationships/hyperlink" Target="https://news.abbvie.com/news/press-releases/upadacitinib-rinvoq-meets-primary-and-all-ranked-secondary-endpoints-in-first-phase-3-induction-study-in-ulcerative-coliti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8C78AB8B3B4BA5D94249D9695186" ma:contentTypeVersion="12" ma:contentTypeDescription="Create a new document." ma:contentTypeScope="" ma:versionID="04d294dd4a6504b8c496d5bc47ea9150">
  <xsd:schema xmlns:xsd="http://www.w3.org/2001/XMLSchema" xmlns:xs="http://www.w3.org/2001/XMLSchema" xmlns:p="http://schemas.microsoft.com/office/2006/metadata/properties" xmlns:ns2="6c0ffe43-9cad-4427-b553-0f38c5580b94" xmlns:ns3="3cb7c5ec-336f-4665-bb0f-d4b9fe1adbd3" targetNamespace="http://schemas.microsoft.com/office/2006/metadata/properties" ma:root="true" ma:fieldsID="ecd8b159ad09c74c54e4c33ca5e93da7" ns2:_="" ns3:_="">
    <xsd:import namespace="6c0ffe43-9cad-4427-b553-0f38c5580b94"/>
    <xsd:import namespace="3cb7c5ec-336f-4665-bb0f-d4b9fe1ad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ffe43-9cad-4427-b553-0f38c558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7c5ec-336f-4665-bb0f-d4b9fe1ad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C5568C-22E4-4266-9D36-277981784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ffe43-9cad-4427-b553-0f38c5580b94"/>
    <ds:schemaRef ds:uri="3cb7c5ec-336f-4665-bb0f-d4b9fe1ad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E4A112-B76C-4FF7-82F8-8886E1E8DA65}">
  <ds:schemaRefs>
    <ds:schemaRef ds:uri="http://purl.org/dc/elements/1.1/"/>
    <ds:schemaRef ds:uri="http://schemas.microsoft.com/office/2006/metadata/properties"/>
    <ds:schemaRef ds:uri="3cb7c5ec-336f-4665-bb0f-d4b9fe1adbd3"/>
    <ds:schemaRef ds:uri="6c0ffe43-9cad-4427-b553-0f38c5580b9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EDF626-8FB3-49D0-BC17-D1DC0A881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1156</Words>
  <Characters>9163</Characters>
  <Application>Microsoft Office Word</Application>
  <DocSecurity>0</DocSecurity>
  <Lines>76</Lines>
  <Paragraphs>20</Paragraphs>
  <ScaleCrop>false</ScaleCrop>
  <Manager/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2003-07-31T17:56:00Z</cp:lastPrinted>
  <dcterms:created xsi:type="dcterms:W3CDTF">2020-12-15T20:48:00Z</dcterms:created>
  <dcterms:modified xsi:type="dcterms:W3CDTF">2021-01-04T23:45:00Z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  <property fmtid="{D5CDD505-2E9C-101B-9397-08002B2CF9AE}" pid="3" name="ContentTypeId">
    <vt:lpwstr>0x0101000D028C78AB8B3B4BA5D94249D9695186</vt:lpwstr>
  </property>
</Properties>
</file>