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B98EB">
      <w:pPr>
        <w:ind w:firstLine="0"/>
      </w:pPr>
      <w:r>
        <w:rPr>
          <w:rFonts w:ascii="宋体" w:hAnsi="宋体" w:eastAsia="宋体"/>
          <w:b w:val="0"/>
          <w:sz w:val="21"/>
        </w:rPr>
        <w:t>中图分类号：　　　　　　　　　　　　　　　</w:t>
      </w:r>
    </w:p>
    <w:p w14:paraId="34480DA7"/>
    <w:tbl>
      <w:tblPr>
        <w:tblStyle w:val="35"/>
        <w:tblW w:w="0" w:type="auto"/>
        <w:jc w:val="center"/>
        <w:tblLayout w:type="autofit"/>
        <w:tblCellMar>
          <w:top w:w="0" w:type="dxa"/>
          <w:left w:w="108" w:type="dxa"/>
          <w:bottom w:w="0" w:type="dxa"/>
          <w:right w:w="108" w:type="dxa"/>
        </w:tblCellMar>
      </w:tblPr>
      <w:tblGrid>
        <w:gridCol w:w="4252"/>
        <w:gridCol w:w="4252"/>
      </w:tblGrid>
      <w:tr w14:paraId="741E62D2">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54FDE100">
            <w:pPr>
              <w:spacing w:line="360" w:lineRule="auto"/>
              <w:ind w:firstLine="0"/>
              <w:jc w:val="center"/>
            </w:pPr>
            <w:r>
              <w:rPr>
                <w:rFonts w:ascii="宋体" w:hAnsi="宋体" w:eastAsia="宋体"/>
                <w:b/>
                <w:sz w:val="24"/>
              </w:rPr>
              <w:t>论文类型</w:t>
            </w:r>
          </w:p>
        </w:tc>
        <w:tc>
          <w:tcPr>
            <w:tcW w:w="4252" w:type="dxa"/>
            <w:tcBorders>
              <w:top w:val="single" w:color="000000" w:sz="6" w:space="0"/>
              <w:bottom w:val="single" w:color="000000" w:sz="6" w:space="0"/>
            </w:tcBorders>
          </w:tcPr>
          <w:p w14:paraId="288E1251">
            <w:pPr>
              <w:spacing w:line="360" w:lineRule="auto"/>
              <w:ind w:firstLine="0"/>
              <w:jc w:val="left"/>
            </w:pPr>
            <w:r>
              <w:rPr>
                <w:rFonts w:ascii="宋体" w:hAnsi="宋体" w:eastAsia="宋体"/>
                <w:b w:val="0"/>
                <w:sz w:val="24"/>
              </w:rPr>
              <w:t>专题研究类论文</w:t>
            </w:r>
          </w:p>
        </w:tc>
      </w:tr>
      <w:tr w14:paraId="0FB1A8E4">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5280FD9A">
            <w:pPr>
              <w:spacing w:line="360" w:lineRule="auto"/>
              <w:ind w:firstLine="0"/>
              <w:jc w:val="center"/>
            </w:pPr>
            <w:r>
              <w:rPr>
                <w:rFonts w:ascii="宋体" w:hAnsi="宋体" w:eastAsia="宋体"/>
                <w:b/>
                <w:sz w:val="24"/>
              </w:rPr>
              <w:t>题目</w:t>
            </w:r>
          </w:p>
        </w:tc>
        <w:tc>
          <w:tcPr>
            <w:tcW w:w="4252" w:type="dxa"/>
            <w:tcBorders>
              <w:top w:val="single" w:color="000000" w:sz="6" w:space="0"/>
              <w:bottom w:val="single" w:color="000000" w:sz="6" w:space="0"/>
            </w:tcBorders>
          </w:tcPr>
          <w:p w14:paraId="42FDF6DE">
            <w:pPr>
              <w:spacing w:line="360" w:lineRule="auto"/>
              <w:ind w:firstLine="0"/>
              <w:jc w:val="left"/>
            </w:pPr>
            <w:r>
              <w:rPr>
                <w:rFonts w:ascii="宋体" w:hAnsi="宋体" w:eastAsia="宋体"/>
                <w:b w:val="0"/>
                <w:sz w:val="24"/>
              </w:rPr>
              <w:t>Z公司</w:t>
            </w:r>
            <w:r>
              <w:rPr>
                <w:rFonts w:hint="eastAsia"/>
                <w:b w:val="0"/>
                <w:sz w:val="24"/>
                <w:lang w:eastAsia="zh-CN"/>
              </w:rPr>
              <w:t>招标代理</w:t>
            </w:r>
            <w:r>
              <w:rPr>
                <w:rFonts w:ascii="宋体" w:hAnsi="宋体" w:eastAsia="宋体"/>
                <w:b w:val="0"/>
                <w:sz w:val="24"/>
              </w:rPr>
              <w:t>工作流程数字化再造研究</w:t>
            </w:r>
          </w:p>
        </w:tc>
      </w:tr>
      <w:tr w14:paraId="1D3F6EA2">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208D7AA9">
            <w:pPr>
              <w:spacing w:line="360" w:lineRule="auto"/>
              <w:ind w:firstLine="0"/>
              <w:jc w:val="center"/>
            </w:pPr>
            <w:r>
              <w:rPr>
                <w:rFonts w:ascii="宋体" w:hAnsi="宋体" w:eastAsia="宋体"/>
                <w:b/>
                <w:sz w:val="24"/>
              </w:rPr>
              <w:t>专业或领域</w:t>
            </w:r>
          </w:p>
        </w:tc>
        <w:tc>
          <w:tcPr>
            <w:tcW w:w="4252" w:type="dxa"/>
            <w:tcBorders>
              <w:top w:val="single" w:color="000000" w:sz="6" w:space="0"/>
              <w:bottom w:val="single" w:color="000000" w:sz="6" w:space="0"/>
            </w:tcBorders>
          </w:tcPr>
          <w:p w14:paraId="3FB3A165">
            <w:pPr>
              <w:spacing w:line="360" w:lineRule="auto"/>
              <w:ind w:firstLine="0"/>
              <w:jc w:val="left"/>
            </w:pPr>
            <w:r>
              <w:rPr>
                <w:rFonts w:ascii="宋体" w:hAnsi="宋体" w:eastAsia="宋体"/>
                <w:b w:val="0"/>
                <w:sz w:val="24"/>
              </w:rPr>
              <w:t>工商管理</w:t>
            </w:r>
          </w:p>
        </w:tc>
      </w:tr>
      <w:tr w14:paraId="2C8B374E">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0B3D55C3">
            <w:pPr>
              <w:spacing w:line="360" w:lineRule="auto"/>
              <w:ind w:firstLine="0"/>
              <w:jc w:val="center"/>
            </w:pPr>
            <w:r>
              <w:rPr>
                <w:rFonts w:ascii="宋体" w:hAnsi="宋体" w:eastAsia="宋体"/>
                <w:b/>
                <w:sz w:val="24"/>
              </w:rPr>
              <w:t>研究方向</w:t>
            </w:r>
          </w:p>
        </w:tc>
        <w:tc>
          <w:tcPr>
            <w:tcW w:w="4252" w:type="dxa"/>
            <w:tcBorders>
              <w:top w:val="single" w:color="000000" w:sz="6" w:space="0"/>
              <w:bottom w:val="single" w:color="000000" w:sz="6" w:space="0"/>
            </w:tcBorders>
          </w:tcPr>
          <w:p w14:paraId="4CD3E489">
            <w:pPr>
              <w:spacing w:line="360" w:lineRule="auto"/>
              <w:ind w:firstLine="0"/>
              <w:jc w:val="left"/>
            </w:pPr>
          </w:p>
        </w:tc>
      </w:tr>
      <w:tr w14:paraId="12B49245">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6B75FD22">
            <w:pPr>
              <w:spacing w:line="360" w:lineRule="auto"/>
              <w:ind w:firstLine="0"/>
              <w:jc w:val="center"/>
            </w:pPr>
            <w:r>
              <w:rPr>
                <w:rFonts w:ascii="宋体" w:hAnsi="宋体" w:eastAsia="宋体"/>
                <w:b/>
                <w:sz w:val="24"/>
              </w:rPr>
              <w:t>专业硕士生</w:t>
            </w:r>
          </w:p>
        </w:tc>
        <w:tc>
          <w:tcPr>
            <w:tcW w:w="4252" w:type="dxa"/>
            <w:tcBorders>
              <w:top w:val="single" w:color="000000" w:sz="6" w:space="0"/>
              <w:bottom w:val="single" w:color="000000" w:sz="6" w:space="0"/>
            </w:tcBorders>
          </w:tcPr>
          <w:p w14:paraId="795CF900">
            <w:pPr>
              <w:spacing w:line="360" w:lineRule="auto"/>
              <w:ind w:firstLine="0"/>
              <w:jc w:val="left"/>
            </w:pPr>
            <w:r>
              <w:rPr>
                <w:rFonts w:ascii="宋体" w:hAnsi="宋体" w:eastAsia="宋体"/>
                <w:b w:val="0"/>
                <w:sz w:val="24"/>
              </w:rPr>
              <w:t>姚　烨　2024245834</w:t>
            </w:r>
          </w:p>
        </w:tc>
      </w:tr>
      <w:tr w14:paraId="6F50E6D2">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655D9B1C">
            <w:pPr>
              <w:spacing w:line="360" w:lineRule="auto"/>
              <w:ind w:firstLine="0"/>
              <w:jc w:val="center"/>
            </w:pPr>
            <w:r>
              <w:rPr>
                <w:rFonts w:ascii="宋体" w:hAnsi="宋体" w:eastAsia="宋体"/>
                <w:b/>
                <w:sz w:val="24"/>
              </w:rPr>
              <w:t>指导教师</w:t>
            </w:r>
          </w:p>
        </w:tc>
        <w:tc>
          <w:tcPr>
            <w:tcW w:w="4252" w:type="dxa"/>
            <w:tcBorders>
              <w:top w:val="single" w:color="000000" w:sz="6" w:space="0"/>
              <w:bottom w:val="single" w:color="000000" w:sz="6" w:space="0"/>
            </w:tcBorders>
          </w:tcPr>
          <w:p w14:paraId="4A3BBFD2">
            <w:pPr>
              <w:spacing w:line="360" w:lineRule="auto"/>
              <w:ind w:firstLine="0"/>
              <w:jc w:val="left"/>
            </w:pPr>
          </w:p>
        </w:tc>
      </w:tr>
      <w:tr w14:paraId="3D6CE5C9">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669F766E">
            <w:pPr>
              <w:spacing w:line="360" w:lineRule="auto"/>
              <w:ind w:firstLine="0"/>
              <w:jc w:val="center"/>
            </w:pPr>
            <w:r>
              <w:rPr>
                <w:rFonts w:ascii="宋体" w:hAnsi="宋体" w:eastAsia="宋体"/>
                <w:b/>
                <w:sz w:val="24"/>
              </w:rPr>
              <w:t>现场导师</w:t>
            </w:r>
          </w:p>
        </w:tc>
        <w:tc>
          <w:tcPr>
            <w:tcW w:w="4252" w:type="dxa"/>
            <w:tcBorders>
              <w:top w:val="single" w:color="000000" w:sz="6" w:space="0"/>
              <w:bottom w:val="single" w:color="000000" w:sz="6" w:space="0"/>
            </w:tcBorders>
          </w:tcPr>
          <w:p w14:paraId="6FEBABFA">
            <w:pPr>
              <w:spacing w:line="360" w:lineRule="auto"/>
              <w:ind w:firstLine="0"/>
              <w:jc w:val="left"/>
            </w:pPr>
          </w:p>
        </w:tc>
      </w:tr>
    </w:tbl>
    <w:p w14:paraId="4E6E7674"/>
    <w:p w14:paraId="11746B55"/>
    <w:p w14:paraId="7DDE13D2"/>
    <w:p w14:paraId="3E00A760"/>
    <w:p w14:paraId="1531A369">
      <w:pPr>
        <w:ind w:firstLine="0"/>
        <w:jc w:val="center"/>
      </w:pPr>
      <w:r>
        <w:rPr>
          <w:rFonts w:ascii="宋体" w:hAnsi="宋体" w:eastAsia="宋体"/>
          <w:b/>
          <w:sz w:val="28"/>
        </w:rPr>
        <w:t>二○二六年十</w:t>
      </w:r>
      <w:bookmarkStart w:id="65" w:name="_GoBack"/>
      <w:bookmarkEnd w:id="65"/>
      <w:r>
        <w:rPr>
          <w:rFonts w:ascii="宋体" w:hAnsi="宋体" w:eastAsia="宋体"/>
          <w:b/>
          <w:sz w:val="28"/>
        </w:rPr>
        <w:t>月</w:t>
      </w:r>
    </w:p>
    <w:p w14:paraId="4AAE92AE">
      <w:r>
        <w:br w:type="page"/>
      </w:r>
    </w:p>
    <w:p w14:paraId="52BBF43E">
      <w:pPr>
        <w:pStyle w:val="3"/>
        <w:pageBreakBefore w:val="0"/>
      </w:pPr>
      <w:bookmarkStart w:id="0" w:name="_Toc24317"/>
      <w:r>
        <w:t>目    录</w:t>
      </w:r>
      <w:bookmarkEnd w:id="0"/>
    </w:p>
    <w:p w14:paraId="5EDF3287">
      <w:pPr>
        <w:pStyle w:val="27"/>
        <w:tabs>
          <w:tab w:val="right" w:leader="dot" w:pos="8504"/>
        </w:tabs>
      </w:pPr>
      <w:r>
        <w:fldChar w:fldCharType="begin"/>
      </w:r>
      <w:r>
        <w:instrText xml:space="preserve">TOC \o "1-3" \h \z \u</w:instrText>
      </w:r>
      <w:r>
        <w:fldChar w:fldCharType="separate"/>
      </w:r>
      <w:r>
        <w:fldChar w:fldCharType="begin"/>
      </w:r>
      <w:r>
        <w:instrText xml:space="preserve"> HYPERLINK \l _Toc24317 </w:instrText>
      </w:r>
      <w:r>
        <w:fldChar w:fldCharType="separate"/>
      </w:r>
      <w:r>
        <w:t>目    录</w:t>
      </w:r>
      <w:r>
        <w:tab/>
      </w:r>
      <w:r>
        <w:fldChar w:fldCharType="begin"/>
      </w:r>
      <w:r>
        <w:instrText xml:space="preserve"> PAGEREF _Toc24317 \h </w:instrText>
      </w:r>
      <w:r>
        <w:fldChar w:fldCharType="separate"/>
      </w:r>
      <w:r>
        <w:t>2</w:t>
      </w:r>
      <w:r>
        <w:fldChar w:fldCharType="end"/>
      </w:r>
      <w:r>
        <w:fldChar w:fldCharType="end"/>
      </w:r>
    </w:p>
    <w:p w14:paraId="3C5EF760">
      <w:pPr>
        <w:pStyle w:val="27"/>
        <w:tabs>
          <w:tab w:val="right" w:leader="dot" w:pos="8504"/>
        </w:tabs>
      </w:pPr>
      <w:r>
        <w:fldChar w:fldCharType="begin"/>
      </w:r>
      <w:r>
        <w:instrText xml:space="preserve"> HYPERLINK \l _Toc13713 </w:instrText>
      </w:r>
      <w:r>
        <w:fldChar w:fldCharType="separate"/>
      </w:r>
      <w:r>
        <w:t>摘    要</w:t>
      </w:r>
      <w:r>
        <w:tab/>
      </w:r>
      <w:r>
        <w:fldChar w:fldCharType="begin"/>
      </w:r>
      <w:r>
        <w:instrText xml:space="preserve"> PAGEREF _Toc13713 \h </w:instrText>
      </w:r>
      <w:r>
        <w:fldChar w:fldCharType="separate"/>
      </w:r>
      <w:r>
        <w:t>5</w:t>
      </w:r>
      <w:r>
        <w:fldChar w:fldCharType="end"/>
      </w:r>
      <w:r>
        <w:fldChar w:fldCharType="end"/>
      </w:r>
    </w:p>
    <w:p w14:paraId="0B6344D2">
      <w:pPr>
        <w:pStyle w:val="27"/>
        <w:tabs>
          <w:tab w:val="right" w:leader="dot" w:pos="8504"/>
        </w:tabs>
      </w:pPr>
      <w:r>
        <w:fldChar w:fldCharType="begin"/>
      </w:r>
      <w:r>
        <w:instrText xml:space="preserve"> HYPERLINK \l _Toc9847 </w:instrText>
      </w:r>
      <w:r>
        <w:fldChar w:fldCharType="separate"/>
      </w:r>
      <w:r>
        <w:t>ABSTRACT</w:t>
      </w:r>
      <w:r>
        <w:tab/>
      </w:r>
      <w:r>
        <w:fldChar w:fldCharType="begin"/>
      </w:r>
      <w:r>
        <w:instrText xml:space="preserve"> PAGEREF _Toc9847 \h </w:instrText>
      </w:r>
      <w:r>
        <w:fldChar w:fldCharType="separate"/>
      </w:r>
      <w:r>
        <w:t>6</w:t>
      </w:r>
      <w:r>
        <w:fldChar w:fldCharType="end"/>
      </w:r>
      <w:r>
        <w:fldChar w:fldCharType="end"/>
      </w:r>
    </w:p>
    <w:p w14:paraId="6DDBB9DC">
      <w:pPr>
        <w:pStyle w:val="27"/>
        <w:tabs>
          <w:tab w:val="right" w:leader="dot" w:pos="8504"/>
        </w:tabs>
      </w:pPr>
      <w:r>
        <w:fldChar w:fldCharType="begin"/>
      </w:r>
      <w:r>
        <w:instrText xml:space="preserve"> HYPERLINK \l _Toc24850 </w:instrText>
      </w:r>
      <w:r>
        <w:fldChar w:fldCharType="separate"/>
      </w:r>
      <w:r>
        <w:t>引    言</w:t>
      </w:r>
      <w:r>
        <w:tab/>
      </w:r>
      <w:r>
        <w:fldChar w:fldCharType="begin"/>
      </w:r>
      <w:r>
        <w:instrText xml:space="preserve"> PAGEREF _Toc24850 \h </w:instrText>
      </w:r>
      <w:r>
        <w:fldChar w:fldCharType="separate"/>
      </w:r>
      <w:r>
        <w:t>7</w:t>
      </w:r>
      <w:r>
        <w:fldChar w:fldCharType="end"/>
      </w:r>
      <w:r>
        <w:fldChar w:fldCharType="end"/>
      </w:r>
    </w:p>
    <w:p w14:paraId="60E02D01">
      <w:pPr>
        <w:pStyle w:val="27"/>
        <w:tabs>
          <w:tab w:val="right" w:leader="dot" w:pos="8504"/>
        </w:tabs>
      </w:pPr>
      <w:r>
        <w:fldChar w:fldCharType="begin"/>
      </w:r>
      <w:r>
        <w:instrText xml:space="preserve"> HYPERLINK \l _Toc1994 </w:instrText>
      </w:r>
      <w:r>
        <w:fldChar w:fldCharType="separate"/>
      </w:r>
      <w:r>
        <w:t>第1章 绪论</w:t>
      </w:r>
      <w:r>
        <w:tab/>
      </w:r>
      <w:r>
        <w:fldChar w:fldCharType="begin"/>
      </w:r>
      <w:r>
        <w:instrText xml:space="preserve"> PAGEREF _Toc1994 \h </w:instrText>
      </w:r>
      <w:r>
        <w:fldChar w:fldCharType="separate"/>
      </w:r>
      <w:r>
        <w:t>9</w:t>
      </w:r>
      <w:r>
        <w:fldChar w:fldCharType="end"/>
      </w:r>
      <w:r>
        <w:fldChar w:fldCharType="end"/>
      </w:r>
    </w:p>
    <w:p w14:paraId="01CF9D64">
      <w:pPr>
        <w:pStyle w:val="30"/>
        <w:tabs>
          <w:tab w:val="right" w:leader="dot" w:pos="8504"/>
        </w:tabs>
      </w:pPr>
      <w:r>
        <w:fldChar w:fldCharType="begin"/>
      </w:r>
      <w:r>
        <w:instrText xml:space="preserve"> HYPERLINK \l _Toc21687 </w:instrText>
      </w:r>
      <w:r>
        <w:fldChar w:fldCharType="separate"/>
      </w:r>
      <w:r>
        <w:t>1.1 研究背景与意义</w:t>
      </w:r>
      <w:r>
        <w:tab/>
      </w:r>
      <w:r>
        <w:fldChar w:fldCharType="begin"/>
      </w:r>
      <w:r>
        <w:instrText xml:space="preserve"> PAGEREF _Toc21687 \h </w:instrText>
      </w:r>
      <w:r>
        <w:fldChar w:fldCharType="separate"/>
      </w:r>
      <w:r>
        <w:t>9</w:t>
      </w:r>
      <w:r>
        <w:fldChar w:fldCharType="end"/>
      </w:r>
      <w:r>
        <w:fldChar w:fldCharType="end"/>
      </w:r>
    </w:p>
    <w:p w14:paraId="6D20CD58">
      <w:pPr>
        <w:pStyle w:val="30"/>
        <w:tabs>
          <w:tab w:val="right" w:leader="dot" w:pos="8504"/>
        </w:tabs>
      </w:pPr>
      <w:r>
        <w:fldChar w:fldCharType="begin"/>
      </w:r>
      <w:r>
        <w:instrText xml:space="preserve"> HYPERLINK \l _Toc7331 </w:instrText>
      </w:r>
      <w:r>
        <w:fldChar w:fldCharType="separate"/>
      </w:r>
      <w:r>
        <w:t>1.2 研究目的与方法</w:t>
      </w:r>
      <w:r>
        <w:tab/>
      </w:r>
      <w:r>
        <w:fldChar w:fldCharType="begin"/>
      </w:r>
      <w:r>
        <w:instrText xml:space="preserve"> PAGEREF _Toc7331 \h </w:instrText>
      </w:r>
      <w:r>
        <w:fldChar w:fldCharType="separate"/>
      </w:r>
      <w:r>
        <w:t>11</w:t>
      </w:r>
      <w:r>
        <w:fldChar w:fldCharType="end"/>
      </w:r>
      <w:r>
        <w:fldChar w:fldCharType="end"/>
      </w:r>
    </w:p>
    <w:p w14:paraId="09FB1CB0">
      <w:pPr>
        <w:pStyle w:val="30"/>
        <w:tabs>
          <w:tab w:val="right" w:leader="dot" w:pos="8504"/>
        </w:tabs>
      </w:pPr>
      <w:r>
        <w:fldChar w:fldCharType="begin"/>
      </w:r>
      <w:r>
        <w:instrText xml:space="preserve"> HYPERLINK \l _Toc8946 </w:instrText>
      </w:r>
      <w:r>
        <w:fldChar w:fldCharType="separate"/>
      </w:r>
      <w:r>
        <w:t>1.3 文献综述</w:t>
      </w:r>
      <w:r>
        <w:tab/>
      </w:r>
      <w:r>
        <w:fldChar w:fldCharType="begin"/>
      </w:r>
      <w:r>
        <w:instrText xml:space="preserve"> PAGEREF _Toc8946 \h </w:instrText>
      </w:r>
      <w:r>
        <w:fldChar w:fldCharType="separate"/>
      </w:r>
      <w:r>
        <w:t>12</w:t>
      </w:r>
      <w:r>
        <w:fldChar w:fldCharType="end"/>
      </w:r>
      <w:r>
        <w:fldChar w:fldCharType="end"/>
      </w:r>
    </w:p>
    <w:p w14:paraId="4C6288A8">
      <w:pPr>
        <w:pStyle w:val="24"/>
        <w:tabs>
          <w:tab w:val="right" w:leader="dot" w:pos="8504"/>
        </w:tabs>
      </w:pPr>
      <w:r>
        <w:fldChar w:fldCharType="begin"/>
      </w:r>
      <w:r>
        <w:instrText xml:space="preserve"> HYPERLINK \l _Toc30530 </w:instrText>
      </w:r>
      <w:r>
        <w:fldChar w:fldCharType="separate"/>
      </w:r>
      <w:r>
        <w:t>1.3.1 业务流程再造与流程数字化研究</w:t>
      </w:r>
      <w:r>
        <w:tab/>
      </w:r>
      <w:r>
        <w:fldChar w:fldCharType="begin"/>
      </w:r>
      <w:r>
        <w:instrText xml:space="preserve"> PAGEREF _Toc30530 \h </w:instrText>
      </w:r>
      <w:r>
        <w:fldChar w:fldCharType="separate"/>
      </w:r>
      <w:r>
        <w:t>12</w:t>
      </w:r>
      <w:r>
        <w:fldChar w:fldCharType="end"/>
      </w:r>
      <w:r>
        <w:fldChar w:fldCharType="end"/>
      </w:r>
    </w:p>
    <w:p w14:paraId="374472C4">
      <w:pPr>
        <w:pStyle w:val="24"/>
        <w:tabs>
          <w:tab w:val="right" w:leader="dot" w:pos="8504"/>
        </w:tabs>
      </w:pPr>
      <w:r>
        <w:fldChar w:fldCharType="begin"/>
      </w:r>
      <w:r>
        <w:instrText xml:space="preserve"> HYPERLINK \l _Toc80 </w:instrText>
      </w:r>
      <w:r>
        <w:fldChar w:fldCharType="separate"/>
      </w:r>
      <w:r>
        <w:t>1.3.2 招标采购数字化的实践与研究</w:t>
      </w:r>
      <w:r>
        <w:tab/>
      </w:r>
      <w:r>
        <w:fldChar w:fldCharType="begin"/>
      </w:r>
      <w:r>
        <w:instrText xml:space="preserve"> PAGEREF _Toc80 \h </w:instrText>
      </w:r>
      <w:r>
        <w:fldChar w:fldCharType="separate"/>
      </w:r>
      <w:r>
        <w:t>13</w:t>
      </w:r>
      <w:r>
        <w:fldChar w:fldCharType="end"/>
      </w:r>
      <w:r>
        <w:fldChar w:fldCharType="end"/>
      </w:r>
    </w:p>
    <w:p w14:paraId="4B2900CC">
      <w:pPr>
        <w:pStyle w:val="24"/>
        <w:tabs>
          <w:tab w:val="right" w:leader="dot" w:pos="8504"/>
        </w:tabs>
      </w:pPr>
      <w:r>
        <w:fldChar w:fldCharType="begin"/>
      </w:r>
      <w:r>
        <w:instrText xml:space="preserve"> HYPERLINK \l _Toc24602 </w:instrText>
      </w:r>
      <w:r>
        <w:fldChar w:fldCharType="separate"/>
      </w:r>
      <w:r>
        <w:t>1.3.3 智能审核、风险识别与合规研究</w:t>
      </w:r>
      <w:r>
        <w:tab/>
      </w:r>
      <w:r>
        <w:fldChar w:fldCharType="begin"/>
      </w:r>
      <w:r>
        <w:instrText xml:space="preserve"> PAGEREF _Toc24602 \h </w:instrText>
      </w:r>
      <w:r>
        <w:fldChar w:fldCharType="separate"/>
      </w:r>
      <w:r>
        <w:t>14</w:t>
      </w:r>
      <w:r>
        <w:fldChar w:fldCharType="end"/>
      </w:r>
      <w:r>
        <w:fldChar w:fldCharType="end"/>
      </w:r>
    </w:p>
    <w:p w14:paraId="40C57895">
      <w:pPr>
        <w:pStyle w:val="24"/>
        <w:tabs>
          <w:tab w:val="right" w:leader="dot" w:pos="8504"/>
        </w:tabs>
      </w:pPr>
      <w:r>
        <w:fldChar w:fldCharType="begin"/>
      </w:r>
      <w:r>
        <w:instrText xml:space="preserve"> HYPERLINK \l _Toc26895 </w:instrText>
      </w:r>
      <w:r>
        <w:fldChar w:fldCharType="separate"/>
      </w:r>
      <w:r>
        <w:t>1.3.4 数字化转型的动力机制与理论框架</w:t>
      </w:r>
      <w:r>
        <w:tab/>
      </w:r>
      <w:r>
        <w:fldChar w:fldCharType="begin"/>
      </w:r>
      <w:r>
        <w:instrText xml:space="preserve"> PAGEREF _Toc26895 \h </w:instrText>
      </w:r>
      <w:r>
        <w:fldChar w:fldCharType="separate"/>
      </w:r>
      <w:r>
        <w:t>14</w:t>
      </w:r>
      <w:r>
        <w:fldChar w:fldCharType="end"/>
      </w:r>
      <w:r>
        <w:fldChar w:fldCharType="end"/>
      </w:r>
    </w:p>
    <w:p w14:paraId="43C46030">
      <w:pPr>
        <w:pStyle w:val="24"/>
        <w:tabs>
          <w:tab w:val="right" w:leader="dot" w:pos="8504"/>
        </w:tabs>
      </w:pPr>
      <w:r>
        <w:fldChar w:fldCharType="begin"/>
      </w:r>
      <w:r>
        <w:instrText xml:space="preserve"> HYPERLINK \l _Toc18857 </w:instrText>
      </w:r>
      <w:r>
        <w:fldChar w:fldCharType="separate"/>
      </w:r>
      <w:r>
        <w:t>1.3.5 研究述评与本文切入点</w:t>
      </w:r>
      <w:r>
        <w:tab/>
      </w:r>
      <w:r>
        <w:fldChar w:fldCharType="begin"/>
      </w:r>
      <w:r>
        <w:instrText xml:space="preserve"> PAGEREF _Toc18857 \h </w:instrText>
      </w:r>
      <w:r>
        <w:fldChar w:fldCharType="separate"/>
      </w:r>
      <w:r>
        <w:t>15</w:t>
      </w:r>
      <w:r>
        <w:fldChar w:fldCharType="end"/>
      </w:r>
      <w:r>
        <w:fldChar w:fldCharType="end"/>
      </w:r>
    </w:p>
    <w:p w14:paraId="7AEB3632">
      <w:pPr>
        <w:pStyle w:val="30"/>
        <w:tabs>
          <w:tab w:val="right" w:leader="dot" w:pos="8504"/>
        </w:tabs>
      </w:pPr>
      <w:r>
        <w:fldChar w:fldCharType="begin"/>
      </w:r>
      <w:r>
        <w:instrText xml:space="preserve"> HYPERLINK \l _Toc6175 </w:instrText>
      </w:r>
      <w:r>
        <w:fldChar w:fldCharType="separate"/>
      </w:r>
      <w:r>
        <w:t>1.4 本章小结</w:t>
      </w:r>
      <w:r>
        <w:tab/>
      </w:r>
      <w:r>
        <w:fldChar w:fldCharType="begin"/>
      </w:r>
      <w:r>
        <w:instrText xml:space="preserve"> PAGEREF _Toc6175 \h </w:instrText>
      </w:r>
      <w:r>
        <w:fldChar w:fldCharType="separate"/>
      </w:r>
      <w:r>
        <w:t>15</w:t>
      </w:r>
      <w:r>
        <w:fldChar w:fldCharType="end"/>
      </w:r>
      <w:r>
        <w:fldChar w:fldCharType="end"/>
      </w:r>
    </w:p>
    <w:p w14:paraId="0DB0568C">
      <w:pPr>
        <w:pStyle w:val="27"/>
        <w:tabs>
          <w:tab w:val="right" w:leader="dot" w:pos="8504"/>
        </w:tabs>
      </w:pPr>
      <w:r>
        <w:fldChar w:fldCharType="begin"/>
      </w:r>
      <w:r>
        <w:instrText xml:space="preserve"> HYPERLINK \l _Toc29662 </w:instrText>
      </w:r>
      <w:r>
        <w:fldChar w:fldCharType="separate"/>
      </w:r>
      <w:r>
        <w:t>第2章 概念界定及相关理论</w:t>
      </w:r>
      <w:r>
        <w:tab/>
      </w:r>
      <w:r>
        <w:fldChar w:fldCharType="begin"/>
      </w:r>
      <w:r>
        <w:instrText xml:space="preserve"> PAGEREF _Toc29662 \h </w:instrText>
      </w:r>
      <w:r>
        <w:fldChar w:fldCharType="separate"/>
      </w:r>
      <w:r>
        <w:t>16</w:t>
      </w:r>
      <w:r>
        <w:fldChar w:fldCharType="end"/>
      </w:r>
      <w:r>
        <w:fldChar w:fldCharType="end"/>
      </w:r>
    </w:p>
    <w:p w14:paraId="7031103D">
      <w:pPr>
        <w:pStyle w:val="30"/>
        <w:tabs>
          <w:tab w:val="right" w:leader="dot" w:pos="8504"/>
        </w:tabs>
      </w:pPr>
      <w:r>
        <w:fldChar w:fldCharType="begin"/>
      </w:r>
      <w:r>
        <w:instrText xml:space="preserve"> HYPERLINK \l _Toc880 </w:instrText>
      </w:r>
      <w:r>
        <w:fldChar w:fldCharType="separate"/>
      </w:r>
      <w:r>
        <w:t>2.1 概念界定</w:t>
      </w:r>
      <w:r>
        <w:tab/>
      </w:r>
      <w:r>
        <w:fldChar w:fldCharType="begin"/>
      </w:r>
      <w:r>
        <w:instrText xml:space="preserve"> PAGEREF _Toc880 \h </w:instrText>
      </w:r>
      <w:r>
        <w:fldChar w:fldCharType="separate"/>
      </w:r>
      <w:r>
        <w:t>16</w:t>
      </w:r>
      <w:r>
        <w:fldChar w:fldCharType="end"/>
      </w:r>
      <w:r>
        <w:fldChar w:fldCharType="end"/>
      </w:r>
    </w:p>
    <w:p w14:paraId="46E3166B">
      <w:pPr>
        <w:pStyle w:val="24"/>
        <w:tabs>
          <w:tab w:val="right" w:leader="dot" w:pos="8504"/>
        </w:tabs>
      </w:pPr>
      <w:r>
        <w:fldChar w:fldCharType="begin"/>
      </w:r>
      <w:r>
        <w:instrText xml:space="preserve"> HYPERLINK \l _Toc17339 </w:instrText>
      </w:r>
      <w:r>
        <w:fldChar w:fldCharType="separate"/>
      </w:r>
      <w:r>
        <w:t>2.1.1 工作流程数字化再造</w:t>
      </w:r>
      <w:r>
        <w:tab/>
      </w:r>
      <w:r>
        <w:fldChar w:fldCharType="begin"/>
      </w:r>
      <w:r>
        <w:instrText xml:space="preserve"> PAGEREF _Toc17339 \h </w:instrText>
      </w:r>
      <w:r>
        <w:fldChar w:fldCharType="separate"/>
      </w:r>
      <w:r>
        <w:t>16</w:t>
      </w:r>
      <w:r>
        <w:fldChar w:fldCharType="end"/>
      </w:r>
      <w:r>
        <w:fldChar w:fldCharType="end"/>
      </w:r>
    </w:p>
    <w:p w14:paraId="7A2412E4">
      <w:pPr>
        <w:pStyle w:val="24"/>
        <w:tabs>
          <w:tab w:val="right" w:leader="dot" w:pos="8504"/>
        </w:tabs>
      </w:pPr>
      <w:r>
        <w:fldChar w:fldCharType="begin"/>
      </w:r>
      <w:r>
        <w:instrText xml:space="preserve"> HYPERLINK \l _Toc28547 </w:instrText>
      </w:r>
      <w:r>
        <w:fldChar w:fldCharType="separate"/>
      </w:r>
      <w:r>
        <w:t>2.1.2 数字化转型</w:t>
      </w:r>
      <w:r>
        <w:tab/>
      </w:r>
      <w:r>
        <w:fldChar w:fldCharType="begin"/>
      </w:r>
      <w:r>
        <w:instrText xml:space="preserve"> PAGEREF _Toc28547 \h </w:instrText>
      </w:r>
      <w:r>
        <w:fldChar w:fldCharType="separate"/>
      </w:r>
      <w:r>
        <w:t>16</w:t>
      </w:r>
      <w:r>
        <w:fldChar w:fldCharType="end"/>
      </w:r>
      <w:r>
        <w:fldChar w:fldCharType="end"/>
      </w:r>
    </w:p>
    <w:p w14:paraId="6DBA210D">
      <w:pPr>
        <w:pStyle w:val="24"/>
        <w:tabs>
          <w:tab w:val="right" w:leader="dot" w:pos="8504"/>
        </w:tabs>
      </w:pPr>
      <w:r>
        <w:fldChar w:fldCharType="begin"/>
      </w:r>
      <w:r>
        <w:instrText xml:space="preserve"> HYPERLINK \l _Toc14627 </w:instrText>
      </w:r>
      <w:r>
        <w:fldChar w:fldCharType="separate"/>
      </w:r>
      <w:r>
        <w:t>2.1.3 业务流程集成与数字化成熟度</w:t>
      </w:r>
      <w:r>
        <w:tab/>
      </w:r>
      <w:r>
        <w:fldChar w:fldCharType="begin"/>
      </w:r>
      <w:r>
        <w:instrText xml:space="preserve"> PAGEREF _Toc14627 \h </w:instrText>
      </w:r>
      <w:r>
        <w:fldChar w:fldCharType="separate"/>
      </w:r>
      <w:r>
        <w:t>17</w:t>
      </w:r>
      <w:r>
        <w:fldChar w:fldCharType="end"/>
      </w:r>
      <w:r>
        <w:fldChar w:fldCharType="end"/>
      </w:r>
    </w:p>
    <w:p w14:paraId="280A1F6F">
      <w:pPr>
        <w:pStyle w:val="30"/>
        <w:tabs>
          <w:tab w:val="right" w:leader="dot" w:pos="8504"/>
        </w:tabs>
      </w:pPr>
      <w:r>
        <w:fldChar w:fldCharType="begin"/>
      </w:r>
      <w:r>
        <w:instrText xml:space="preserve"> HYPERLINK \l _Toc31882 </w:instrText>
      </w:r>
      <w:r>
        <w:fldChar w:fldCharType="separate"/>
      </w:r>
      <w:r>
        <w:t>2.2 相关理论</w:t>
      </w:r>
      <w:r>
        <w:tab/>
      </w:r>
      <w:r>
        <w:fldChar w:fldCharType="begin"/>
      </w:r>
      <w:r>
        <w:instrText xml:space="preserve"> PAGEREF _Toc31882 \h </w:instrText>
      </w:r>
      <w:r>
        <w:fldChar w:fldCharType="separate"/>
      </w:r>
      <w:r>
        <w:t>17</w:t>
      </w:r>
      <w:r>
        <w:fldChar w:fldCharType="end"/>
      </w:r>
      <w:r>
        <w:fldChar w:fldCharType="end"/>
      </w:r>
    </w:p>
    <w:p w14:paraId="2A2E91F6">
      <w:pPr>
        <w:pStyle w:val="24"/>
        <w:tabs>
          <w:tab w:val="right" w:leader="dot" w:pos="8504"/>
        </w:tabs>
      </w:pPr>
      <w:r>
        <w:fldChar w:fldCharType="begin"/>
      </w:r>
      <w:r>
        <w:instrText xml:space="preserve"> HYPERLINK \l _Toc31726 </w:instrText>
      </w:r>
      <w:r>
        <w:fldChar w:fldCharType="separate"/>
      </w:r>
      <w:r>
        <w:t>2.2.1 业务流程再造理论</w:t>
      </w:r>
      <w:r>
        <w:tab/>
      </w:r>
      <w:r>
        <w:fldChar w:fldCharType="begin"/>
      </w:r>
      <w:r>
        <w:instrText xml:space="preserve"> PAGEREF _Toc31726 \h </w:instrText>
      </w:r>
      <w:r>
        <w:fldChar w:fldCharType="separate"/>
      </w:r>
      <w:r>
        <w:t>17</w:t>
      </w:r>
      <w:r>
        <w:fldChar w:fldCharType="end"/>
      </w:r>
      <w:r>
        <w:fldChar w:fldCharType="end"/>
      </w:r>
    </w:p>
    <w:p w14:paraId="3F204234">
      <w:pPr>
        <w:pStyle w:val="24"/>
        <w:tabs>
          <w:tab w:val="right" w:leader="dot" w:pos="8504"/>
        </w:tabs>
      </w:pPr>
      <w:r>
        <w:fldChar w:fldCharType="begin"/>
      </w:r>
      <w:r>
        <w:instrText xml:space="preserve"> HYPERLINK \l _Toc25001 </w:instrText>
      </w:r>
      <w:r>
        <w:fldChar w:fldCharType="separate"/>
      </w:r>
      <w:r>
        <w:t>2.2.2 TOE框架</w:t>
      </w:r>
      <w:r>
        <w:tab/>
      </w:r>
      <w:r>
        <w:fldChar w:fldCharType="begin"/>
      </w:r>
      <w:r>
        <w:instrText xml:space="preserve"> PAGEREF _Toc25001 \h </w:instrText>
      </w:r>
      <w:r>
        <w:fldChar w:fldCharType="separate"/>
      </w:r>
      <w:r>
        <w:t>18</w:t>
      </w:r>
      <w:r>
        <w:fldChar w:fldCharType="end"/>
      </w:r>
      <w:r>
        <w:fldChar w:fldCharType="end"/>
      </w:r>
    </w:p>
    <w:p w14:paraId="7C5B211D">
      <w:pPr>
        <w:pStyle w:val="24"/>
        <w:tabs>
          <w:tab w:val="right" w:leader="dot" w:pos="8504"/>
        </w:tabs>
      </w:pPr>
      <w:r>
        <w:fldChar w:fldCharType="begin"/>
      </w:r>
      <w:r>
        <w:instrText xml:space="preserve"> HYPERLINK \l _Toc692 </w:instrText>
      </w:r>
      <w:r>
        <w:fldChar w:fldCharType="separate"/>
      </w:r>
      <w:r>
        <w:t>2.2.3 动态能力理论</w:t>
      </w:r>
      <w:r>
        <w:tab/>
      </w:r>
      <w:r>
        <w:fldChar w:fldCharType="begin"/>
      </w:r>
      <w:r>
        <w:instrText xml:space="preserve"> PAGEREF _Toc692 \h </w:instrText>
      </w:r>
      <w:r>
        <w:fldChar w:fldCharType="separate"/>
      </w:r>
      <w:r>
        <w:t>18</w:t>
      </w:r>
      <w:r>
        <w:fldChar w:fldCharType="end"/>
      </w:r>
      <w:r>
        <w:fldChar w:fldCharType="end"/>
      </w:r>
    </w:p>
    <w:p w14:paraId="636FEF88">
      <w:pPr>
        <w:pStyle w:val="30"/>
        <w:tabs>
          <w:tab w:val="right" w:leader="dot" w:pos="8504"/>
        </w:tabs>
      </w:pPr>
      <w:r>
        <w:fldChar w:fldCharType="begin"/>
      </w:r>
      <w:r>
        <w:instrText xml:space="preserve"> HYPERLINK \l _Toc28431 </w:instrText>
      </w:r>
      <w:r>
        <w:fldChar w:fldCharType="separate"/>
      </w:r>
      <w:r>
        <w:t>2.3 本章小结</w:t>
      </w:r>
      <w:r>
        <w:tab/>
      </w:r>
      <w:r>
        <w:fldChar w:fldCharType="begin"/>
      </w:r>
      <w:r>
        <w:instrText xml:space="preserve"> PAGEREF _Toc28431 \h </w:instrText>
      </w:r>
      <w:r>
        <w:fldChar w:fldCharType="separate"/>
      </w:r>
      <w:r>
        <w:t>19</w:t>
      </w:r>
      <w:r>
        <w:fldChar w:fldCharType="end"/>
      </w:r>
      <w:r>
        <w:fldChar w:fldCharType="end"/>
      </w:r>
    </w:p>
    <w:p w14:paraId="4F7B8172">
      <w:pPr>
        <w:pStyle w:val="27"/>
        <w:tabs>
          <w:tab w:val="right" w:leader="dot" w:pos="8504"/>
        </w:tabs>
      </w:pPr>
      <w:r>
        <w:fldChar w:fldCharType="begin"/>
      </w:r>
      <w:r>
        <w:instrText xml:space="preserve"> HYPERLINK \l _Toc10488 </w:instrText>
      </w:r>
      <w:r>
        <w:fldChar w:fldCharType="separate"/>
      </w:r>
      <w:r>
        <w:t>第3章 Z公司工作流程的现状与存在问题</w:t>
      </w:r>
      <w:r>
        <w:tab/>
      </w:r>
      <w:r>
        <w:fldChar w:fldCharType="begin"/>
      </w:r>
      <w:r>
        <w:instrText xml:space="preserve"> PAGEREF _Toc10488 \h </w:instrText>
      </w:r>
      <w:r>
        <w:fldChar w:fldCharType="separate"/>
      </w:r>
      <w:r>
        <w:t>21</w:t>
      </w:r>
      <w:r>
        <w:fldChar w:fldCharType="end"/>
      </w:r>
      <w:r>
        <w:fldChar w:fldCharType="end"/>
      </w:r>
    </w:p>
    <w:p w14:paraId="3130DD32">
      <w:pPr>
        <w:pStyle w:val="30"/>
        <w:tabs>
          <w:tab w:val="right" w:leader="dot" w:pos="8504"/>
        </w:tabs>
      </w:pPr>
      <w:r>
        <w:fldChar w:fldCharType="begin"/>
      </w:r>
      <w:r>
        <w:instrText xml:space="preserve"> HYPERLINK \l _Toc30208 </w:instrText>
      </w:r>
      <w:r>
        <w:fldChar w:fldCharType="separate"/>
      </w:r>
      <w:r>
        <w:t>3.1 Z公司工作流程的现状</w:t>
      </w:r>
      <w:r>
        <w:tab/>
      </w:r>
      <w:r>
        <w:fldChar w:fldCharType="begin"/>
      </w:r>
      <w:r>
        <w:instrText xml:space="preserve"> PAGEREF _Toc30208 \h </w:instrText>
      </w:r>
      <w:r>
        <w:fldChar w:fldCharType="separate"/>
      </w:r>
      <w:r>
        <w:t>21</w:t>
      </w:r>
      <w:r>
        <w:fldChar w:fldCharType="end"/>
      </w:r>
      <w:r>
        <w:fldChar w:fldCharType="end"/>
      </w:r>
    </w:p>
    <w:p w14:paraId="6C632ACE">
      <w:pPr>
        <w:pStyle w:val="24"/>
        <w:tabs>
          <w:tab w:val="right" w:leader="dot" w:pos="8504"/>
        </w:tabs>
      </w:pPr>
      <w:r>
        <w:fldChar w:fldCharType="begin"/>
      </w:r>
      <w:r>
        <w:instrText xml:space="preserve"> HYPERLINK \l _Toc30611 </w:instrText>
      </w:r>
      <w:r>
        <w:fldChar w:fldCharType="separate"/>
      </w:r>
      <w:r>
        <w:t>3.1.1 数据来源与处理</w:t>
      </w:r>
      <w:r>
        <w:tab/>
      </w:r>
      <w:r>
        <w:fldChar w:fldCharType="begin"/>
      </w:r>
      <w:r>
        <w:instrText xml:space="preserve"> PAGEREF _Toc30611 \h </w:instrText>
      </w:r>
      <w:r>
        <w:fldChar w:fldCharType="separate"/>
      </w:r>
      <w:r>
        <w:t>22</w:t>
      </w:r>
      <w:r>
        <w:fldChar w:fldCharType="end"/>
      </w:r>
      <w:r>
        <w:fldChar w:fldCharType="end"/>
      </w:r>
    </w:p>
    <w:p w14:paraId="3CBA08C5">
      <w:pPr>
        <w:pStyle w:val="24"/>
        <w:tabs>
          <w:tab w:val="right" w:leader="dot" w:pos="8504"/>
        </w:tabs>
      </w:pPr>
      <w:r>
        <w:fldChar w:fldCharType="begin"/>
      </w:r>
      <w:r>
        <w:instrText xml:space="preserve"> HYPERLINK \l _Toc28168 </w:instrText>
      </w:r>
      <w:r>
        <w:fldChar w:fldCharType="separate"/>
      </w:r>
      <w:r>
        <w:t>3.1.2 调查结果</w:t>
      </w:r>
      <w:r>
        <w:tab/>
      </w:r>
      <w:r>
        <w:fldChar w:fldCharType="begin"/>
      </w:r>
      <w:r>
        <w:instrText xml:space="preserve"> PAGEREF _Toc28168 \h </w:instrText>
      </w:r>
      <w:r>
        <w:fldChar w:fldCharType="separate"/>
      </w:r>
      <w:r>
        <w:t>23</w:t>
      </w:r>
      <w:r>
        <w:fldChar w:fldCharType="end"/>
      </w:r>
      <w:r>
        <w:fldChar w:fldCharType="end"/>
      </w:r>
    </w:p>
    <w:p w14:paraId="4C61A22D">
      <w:pPr>
        <w:pStyle w:val="30"/>
        <w:tabs>
          <w:tab w:val="right" w:leader="dot" w:pos="8504"/>
        </w:tabs>
      </w:pPr>
      <w:r>
        <w:fldChar w:fldCharType="begin"/>
      </w:r>
      <w:r>
        <w:instrText xml:space="preserve"> HYPERLINK \l _Toc14737 </w:instrText>
      </w:r>
      <w:r>
        <w:fldChar w:fldCharType="separate"/>
      </w:r>
      <w:r>
        <w:t>3.2 存在问题</w:t>
      </w:r>
      <w:r>
        <w:tab/>
      </w:r>
      <w:r>
        <w:fldChar w:fldCharType="begin"/>
      </w:r>
      <w:r>
        <w:instrText xml:space="preserve"> PAGEREF _Toc14737 \h </w:instrText>
      </w:r>
      <w:r>
        <w:fldChar w:fldCharType="separate"/>
      </w:r>
      <w:r>
        <w:t>29</w:t>
      </w:r>
      <w:r>
        <w:fldChar w:fldCharType="end"/>
      </w:r>
      <w:r>
        <w:fldChar w:fldCharType="end"/>
      </w:r>
    </w:p>
    <w:p w14:paraId="0033A466">
      <w:pPr>
        <w:pStyle w:val="24"/>
        <w:tabs>
          <w:tab w:val="right" w:leader="dot" w:pos="8504"/>
        </w:tabs>
      </w:pPr>
      <w:r>
        <w:fldChar w:fldCharType="begin"/>
      </w:r>
      <w:r>
        <w:instrText xml:space="preserve"> HYPERLINK \l _Toc10477 </w:instrText>
      </w:r>
      <w:r>
        <w:fldChar w:fldCharType="separate"/>
      </w:r>
      <w:r>
        <w:t>3.2.1 数字化工具集成度低</w:t>
      </w:r>
      <w:r>
        <w:tab/>
      </w:r>
      <w:r>
        <w:fldChar w:fldCharType="begin"/>
      </w:r>
      <w:r>
        <w:instrText xml:space="preserve"> PAGEREF _Toc10477 \h </w:instrText>
      </w:r>
      <w:r>
        <w:fldChar w:fldCharType="separate"/>
      </w:r>
      <w:r>
        <w:t>30</w:t>
      </w:r>
      <w:r>
        <w:fldChar w:fldCharType="end"/>
      </w:r>
      <w:r>
        <w:fldChar w:fldCharType="end"/>
      </w:r>
    </w:p>
    <w:p w14:paraId="5E542BB8">
      <w:pPr>
        <w:pStyle w:val="24"/>
        <w:tabs>
          <w:tab w:val="right" w:leader="dot" w:pos="8504"/>
        </w:tabs>
      </w:pPr>
      <w:r>
        <w:fldChar w:fldCharType="begin"/>
      </w:r>
      <w:r>
        <w:instrText xml:space="preserve"> HYPERLINK \l _Toc2271 </w:instrText>
      </w:r>
      <w:r>
        <w:fldChar w:fldCharType="separate"/>
      </w:r>
      <w:r>
        <w:t>3.2.2 流程节点冗余与时限管控薄弱</w:t>
      </w:r>
      <w:r>
        <w:tab/>
      </w:r>
      <w:r>
        <w:fldChar w:fldCharType="begin"/>
      </w:r>
      <w:r>
        <w:instrText xml:space="preserve"> PAGEREF _Toc2271 \h </w:instrText>
      </w:r>
      <w:r>
        <w:fldChar w:fldCharType="separate"/>
      </w:r>
      <w:r>
        <w:t>30</w:t>
      </w:r>
      <w:r>
        <w:fldChar w:fldCharType="end"/>
      </w:r>
      <w:r>
        <w:fldChar w:fldCharType="end"/>
      </w:r>
    </w:p>
    <w:p w14:paraId="74843D6B">
      <w:pPr>
        <w:pStyle w:val="24"/>
        <w:tabs>
          <w:tab w:val="right" w:leader="dot" w:pos="8504"/>
        </w:tabs>
      </w:pPr>
      <w:r>
        <w:fldChar w:fldCharType="begin"/>
      </w:r>
      <w:r>
        <w:instrText xml:space="preserve"> HYPERLINK \l _Toc13091 </w:instrText>
      </w:r>
      <w:r>
        <w:fldChar w:fldCharType="separate"/>
      </w:r>
      <w:r>
        <w:t>3.2.3 员工数字化技能与工具采纳不足</w:t>
      </w:r>
      <w:r>
        <w:tab/>
      </w:r>
      <w:r>
        <w:fldChar w:fldCharType="begin"/>
      </w:r>
      <w:r>
        <w:instrText xml:space="preserve"> PAGEREF _Toc13091 \h </w:instrText>
      </w:r>
      <w:r>
        <w:fldChar w:fldCharType="separate"/>
      </w:r>
      <w:r>
        <w:t>31</w:t>
      </w:r>
      <w:r>
        <w:fldChar w:fldCharType="end"/>
      </w:r>
      <w:r>
        <w:fldChar w:fldCharType="end"/>
      </w:r>
    </w:p>
    <w:p w14:paraId="00407ACE">
      <w:pPr>
        <w:pStyle w:val="30"/>
        <w:tabs>
          <w:tab w:val="right" w:leader="dot" w:pos="8504"/>
        </w:tabs>
      </w:pPr>
      <w:r>
        <w:fldChar w:fldCharType="begin"/>
      </w:r>
      <w:r>
        <w:instrText xml:space="preserve"> HYPERLINK \l _Toc6522 </w:instrText>
      </w:r>
      <w:r>
        <w:fldChar w:fldCharType="separate"/>
      </w:r>
      <w:r>
        <w:t>3.3 本章小结</w:t>
      </w:r>
      <w:r>
        <w:tab/>
      </w:r>
      <w:r>
        <w:fldChar w:fldCharType="begin"/>
      </w:r>
      <w:r>
        <w:instrText xml:space="preserve"> PAGEREF _Toc6522 \h </w:instrText>
      </w:r>
      <w:r>
        <w:fldChar w:fldCharType="separate"/>
      </w:r>
      <w:r>
        <w:t>32</w:t>
      </w:r>
      <w:r>
        <w:fldChar w:fldCharType="end"/>
      </w:r>
      <w:r>
        <w:fldChar w:fldCharType="end"/>
      </w:r>
    </w:p>
    <w:p w14:paraId="1C50A23D">
      <w:pPr>
        <w:pStyle w:val="27"/>
        <w:tabs>
          <w:tab w:val="right" w:leader="dot" w:pos="8504"/>
        </w:tabs>
      </w:pPr>
      <w:r>
        <w:fldChar w:fldCharType="begin"/>
      </w:r>
      <w:r>
        <w:instrText xml:space="preserve"> HYPERLINK \l _Toc11457 </w:instrText>
      </w:r>
      <w:r>
        <w:fldChar w:fldCharType="separate"/>
      </w:r>
      <w:r>
        <w:t>第4章 原因分析</w:t>
      </w:r>
      <w:r>
        <w:tab/>
      </w:r>
      <w:r>
        <w:fldChar w:fldCharType="begin"/>
      </w:r>
      <w:r>
        <w:instrText xml:space="preserve"> PAGEREF _Toc11457 \h </w:instrText>
      </w:r>
      <w:r>
        <w:fldChar w:fldCharType="separate"/>
      </w:r>
      <w:r>
        <w:t>33</w:t>
      </w:r>
      <w:r>
        <w:fldChar w:fldCharType="end"/>
      </w:r>
      <w:r>
        <w:fldChar w:fldCharType="end"/>
      </w:r>
    </w:p>
    <w:p w14:paraId="04945356">
      <w:pPr>
        <w:pStyle w:val="30"/>
        <w:tabs>
          <w:tab w:val="right" w:leader="dot" w:pos="8504"/>
        </w:tabs>
      </w:pPr>
      <w:r>
        <w:fldChar w:fldCharType="begin"/>
      </w:r>
      <w:r>
        <w:instrText xml:space="preserve"> HYPERLINK \l _Toc32507 </w:instrText>
      </w:r>
      <w:r>
        <w:fldChar w:fldCharType="separate"/>
      </w:r>
      <w:r>
        <w:t>4.1 内部管理机制滞后</w:t>
      </w:r>
      <w:r>
        <w:tab/>
      </w:r>
      <w:r>
        <w:fldChar w:fldCharType="begin"/>
      </w:r>
      <w:r>
        <w:instrText xml:space="preserve"> PAGEREF _Toc32507 \h </w:instrText>
      </w:r>
      <w:r>
        <w:fldChar w:fldCharType="separate"/>
      </w:r>
      <w:r>
        <w:t>33</w:t>
      </w:r>
      <w:r>
        <w:fldChar w:fldCharType="end"/>
      </w:r>
      <w:r>
        <w:fldChar w:fldCharType="end"/>
      </w:r>
    </w:p>
    <w:p w14:paraId="3C72925A">
      <w:pPr>
        <w:pStyle w:val="30"/>
        <w:tabs>
          <w:tab w:val="right" w:leader="dot" w:pos="8504"/>
        </w:tabs>
      </w:pPr>
      <w:r>
        <w:fldChar w:fldCharType="begin"/>
      </w:r>
      <w:r>
        <w:instrText xml:space="preserve"> HYPERLINK \l _Toc1870 </w:instrText>
      </w:r>
      <w:r>
        <w:fldChar w:fldCharType="separate"/>
      </w:r>
      <w:r>
        <w:t>4.2 技术基础设施薄弱</w:t>
      </w:r>
      <w:r>
        <w:tab/>
      </w:r>
      <w:r>
        <w:fldChar w:fldCharType="begin"/>
      </w:r>
      <w:r>
        <w:instrText xml:space="preserve"> PAGEREF _Toc1870 \h </w:instrText>
      </w:r>
      <w:r>
        <w:fldChar w:fldCharType="separate"/>
      </w:r>
      <w:r>
        <w:t>34</w:t>
      </w:r>
      <w:r>
        <w:fldChar w:fldCharType="end"/>
      </w:r>
      <w:r>
        <w:fldChar w:fldCharType="end"/>
      </w:r>
    </w:p>
    <w:p w14:paraId="5CF09727">
      <w:pPr>
        <w:pStyle w:val="30"/>
        <w:tabs>
          <w:tab w:val="right" w:leader="dot" w:pos="8504"/>
        </w:tabs>
      </w:pPr>
      <w:r>
        <w:fldChar w:fldCharType="begin"/>
      </w:r>
      <w:r>
        <w:instrText xml:space="preserve"> HYPERLINK \l _Toc18366 </w:instrText>
      </w:r>
      <w:r>
        <w:fldChar w:fldCharType="separate"/>
      </w:r>
      <w:r>
        <w:t>4.3 流程设计与外部标准脱节</w:t>
      </w:r>
      <w:r>
        <w:tab/>
      </w:r>
      <w:r>
        <w:fldChar w:fldCharType="begin"/>
      </w:r>
      <w:r>
        <w:instrText xml:space="preserve"> PAGEREF _Toc18366 \h </w:instrText>
      </w:r>
      <w:r>
        <w:fldChar w:fldCharType="separate"/>
      </w:r>
      <w:r>
        <w:t>35</w:t>
      </w:r>
      <w:r>
        <w:fldChar w:fldCharType="end"/>
      </w:r>
      <w:r>
        <w:fldChar w:fldCharType="end"/>
      </w:r>
    </w:p>
    <w:p w14:paraId="1DFABA3C">
      <w:pPr>
        <w:pStyle w:val="30"/>
        <w:tabs>
          <w:tab w:val="right" w:leader="dot" w:pos="8504"/>
        </w:tabs>
      </w:pPr>
      <w:r>
        <w:fldChar w:fldCharType="begin"/>
      </w:r>
      <w:r>
        <w:instrText xml:space="preserve"> HYPERLINK \l _Toc14056 </w:instrText>
      </w:r>
      <w:r>
        <w:fldChar w:fldCharType="separate"/>
      </w:r>
      <w:r>
        <w:t>4.4 人力资源培训体系不健全</w:t>
      </w:r>
      <w:r>
        <w:tab/>
      </w:r>
      <w:r>
        <w:fldChar w:fldCharType="begin"/>
      </w:r>
      <w:r>
        <w:instrText xml:space="preserve"> PAGEREF _Toc14056 \h </w:instrText>
      </w:r>
      <w:r>
        <w:fldChar w:fldCharType="separate"/>
      </w:r>
      <w:r>
        <w:t>37</w:t>
      </w:r>
      <w:r>
        <w:fldChar w:fldCharType="end"/>
      </w:r>
      <w:r>
        <w:fldChar w:fldCharType="end"/>
      </w:r>
    </w:p>
    <w:p w14:paraId="1294CAEE">
      <w:pPr>
        <w:pStyle w:val="30"/>
        <w:tabs>
          <w:tab w:val="right" w:leader="dot" w:pos="8504"/>
        </w:tabs>
      </w:pPr>
      <w:r>
        <w:fldChar w:fldCharType="begin"/>
      </w:r>
      <w:r>
        <w:instrText xml:space="preserve"> HYPERLINK \l _Toc25069 </w:instrText>
      </w:r>
      <w:r>
        <w:fldChar w:fldCharType="separate"/>
      </w:r>
      <w:r>
        <w:t>4.5 本章小结</w:t>
      </w:r>
      <w:r>
        <w:tab/>
      </w:r>
      <w:r>
        <w:fldChar w:fldCharType="begin"/>
      </w:r>
      <w:r>
        <w:instrText xml:space="preserve"> PAGEREF _Toc25069 \h </w:instrText>
      </w:r>
      <w:r>
        <w:fldChar w:fldCharType="separate"/>
      </w:r>
      <w:r>
        <w:t>38</w:t>
      </w:r>
      <w:r>
        <w:fldChar w:fldCharType="end"/>
      </w:r>
      <w:r>
        <w:fldChar w:fldCharType="end"/>
      </w:r>
    </w:p>
    <w:p w14:paraId="2DECD18E">
      <w:pPr>
        <w:pStyle w:val="27"/>
        <w:tabs>
          <w:tab w:val="right" w:leader="dot" w:pos="8504"/>
        </w:tabs>
      </w:pPr>
      <w:r>
        <w:fldChar w:fldCharType="begin"/>
      </w:r>
      <w:r>
        <w:instrText xml:space="preserve"> HYPERLINK \l _Toc6532 </w:instrText>
      </w:r>
      <w:r>
        <w:fldChar w:fldCharType="separate"/>
      </w:r>
      <w:r>
        <w:t>第5章 数字化工作活动平台的设计与实现</w:t>
      </w:r>
      <w:r>
        <w:tab/>
      </w:r>
      <w:r>
        <w:fldChar w:fldCharType="begin"/>
      </w:r>
      <w:r>
        <w:instrText xml:space="preserve"> PAGEREF _Toc6532 \h </w:instrText>
      </w:r>
      <w:r>
        <w:fldChar w:fldCharType="separate"/>
      </w:r>
      <w:r>
        <w:t>40</w:t>
      </w:r>
      <w:r>
        <w:fldChar w:fldCharType="end"/>
      </w:r>
      <w:r>
        <w:fldChar w:fldCharType="end"/>
      </w:r>
    </w:p>
    <w:p w14:paraId="158BF765">
      <w:pPr>
        <w:pStyle w:val="30"/>
        <w:tabs>
          <w:tab w:val="right" w:leader="dot" w:pos="8504"/>
        </w:tabs>
      </w:pPr>
      <w:r>
        <w:fldChar w:fldCharType="begin"/>
      </w:r>
      <w:r>
        <w:instrText xml:space="preserve"> HYPERLINK \l _Toc8760 </w:instrText>
      </w:r>
      <w:r>
        <w:fldChar w:fldCharType="separate"/>
      </w:r>
      <w:r>
        <w:t>5.1 平台总体设计</w:t>
      </w:r>
      <w:r>
        <w:tab/>
      </w:r>
      <w:r>
        <w:fldChar w:fldCharType="begin"/>
      </w:r>
      <w:r>
        <w:instrText xml:space="preserve"> PAGEREF _Toc8760 \h </w:instrText>
      </w:r>
      <w:r>
        <w:fldChar w:fldCharType="separate"/>
      </w:r>
      <w:r>
        <w:t>40</w:t>
      </w:r>
      <w:r>
        <w:fldChar w:fldCharType="end"/>
      </w:r>
      <w:r>
        <w:fldChar w:fldCharType="end"/>
      </w:r>
    </w:p>
    <w:p w14:paraId="10BF4A58">
      <w:pPr>
        <w:pStyle w:val="30"/>
        <w:tabs>
          <w:tab w:val="right" w:leader="dot" w:pos="8504"/>
        </w:tabs>
      </w:pPr>
      <w:r>
        <w:fldChar w:fldCharType="begin"/>
      </w:r>
      <w:r>
        <w:instrText xml:space="preserve"> HYPERLINK \l _Toc11618 </w:instrText>
      </w:r>
      <w:r>
        <w:fldChar w:fldCharType="separate"/>
      </w:r>
      <w:r>
        <w:t>5.2 流程建模与数据设计</w:t>
      </w:r>
      <w:r>
        <w:tab/>
      </w:r>
      <w:r>
        <w:fldChar w:fldCharType="begin"/>
      </w:r>
      <w:r>
        <w:instrText xml:space="preserve"> PAGEREF _Toc11618 \h </w:instrText>
      </w:r>
      <w:r>
        <w:fldChar w:fldCharType="separate"/>
      </w:r>
      <w:r>
        <w:t>42</w:t>
      </w:r>
      <w:r>
        <w:fldChar w:fldCharType="end"/>
      </w:r>
      <w:r>
        <w:fldChar w:fldCharType="end"/>
      </w:r>
    </w:p>
    <w:p w14:paraId="7DDBBDAA">
      <w:pPr>
        <w:pStyle w:val="30"/>
        <w:tabs>
          <w:tab w:val="right" w:leader="dot" w:pos="8504"/>
        </w:tabs>
      </w:pPr>
      <w:r>
        <w:fldChar w:fldCharType="begin"/>
      </w:r>
      <w:r>
        <w:instrText xml:space="preserve"> HYPERLINK \l _Toc16644 </w:instrText>
      </w:r>
      <w:r>
        <w:fldChar w:fldCharType="separate"/>
      </w:r>
      <w:r>
        <w:t>5.3 关键功能模块实现</w:t>
      </w:r>
      <w:r>
        <w:tab/>
      </w:r>
      <w:r>
        <w:fldChar w:fldCharType="begin"/>
      </w:r>
      <w:r>
        <w:instrText xml:space="preserve"> PAGEREF _Toc16644 \h </w:instrText>
      </w:r>
      <w:r>
        <w:fldChar w:fldCharType="separate"/>
      </w:r>
      <w:r>
        <w:t>43</w:t>
      </w:r>
      <w:r>
        <w:fldChar w:fldCharType="end"/>
      </w:r>
      <w:r>
        <w:fldChar w:fldCharType="end"/>
      </w:r>
    </w:p>
    <w:p w14:paraId="2E8C88BB">
      <w:pPr>
        <w:pStyle w:val="30"/>
        <w:tabs>
          <w:tab w:val="right" w:leader="dot" w:pos="8504"/>
        </w:tabs>
      </w:pPr>
      <w:r>
        <w:fldChar w:fldCharType="begin"/>
      </w:r>
      <w:r>
        <w:instrText xml:space="preserve"> HYPERLINK \l _Toc14311 </w:instrText>
      </w:r>
      <w:r>
        <w:fldChar w:fldCharType="separate"/>
      </w:r>
      <w:r>
        <w:t>5.4 系统集成、部署与实施推广</w:t>
      </w:r>
      <w:r>
        <w:tab/>
      </w:r>
      <w:r>
        <w:fldChar w:fldCharType="begin"/>
      </w:r>
      <w:r>
        <w:instrText xml:space="preserve"> PAGEREF _Toc14311 \h </w:instrText>
      </w:r>
      <w:r>
        <w:fldChar w:fldCharType="separate"/>
      </w:r>
      <w:r>
        <w:t>44</w:t>
      </w:r>
      <w:r>
        <w:fldChar w:fldCharType="end"/>
      </w:r>
      <w:r>
        <w:fldChar w:fldCharType="end"/>
      </w:r>
    </w:p>
    <w:p w14:paraId="38C2D8DB">
      <w:pPr>
        <w:pStyle w:val="30"/>
        <w:tabs>
          <w:tab w:val="right" w:leader="dot" w:pos="8504"/>
        </w:tabs>
      </w:pPr>
      <w:r>
        <w:fldChar w:fldCharType="begin"/>
      </w:r>
      <w:r>
        <w:instrText xml:space="preserve"> HYPERLINK \l _Toc2645 </w:instrText>
      </w:r>
      <w:r>
        <w:fldChar w:fldCharType="separate"/>
      </w:r>
      <w:r>
        <w:t>5.5 本章小结</w:t>
      </w:r>
      <w:r>
        <w:tab/>
      </w:r>
      <w:r>
        <w:fldChar w:fldCharType="begin"/>
      </w:r>
      <w:r>
        <w:instrText xml:space="preserve"> PAGEREF _Toc2645 \h </w:instrText>
      </w:r>
      <w:r>
        <w:fldChar w:fldCharType="separate"/>
      </w:r>
      <w:r>
        <w:t>45</w:t>
      </w:r>
      <w:r>
        <w:fldChar w:fldCharType="end"/>
      </w:r>
      <w:r>
        <w:fldChar w:fldCharType="end"/>
      </w:r>
    </w:p>
    <w:p w14:paraId="21748C98">
      <w:pPr>
        <w:pStyle w:val="27"/>
        <w:tabs>
          <w:tab w:val="right" w:leader="dot" w:pos="8504"/>
        </w:tabs>
      </w:pPr>
      <w:r>
        <w:fldChar w:fldCharType="begin"/>
      </w:r>
      <w:r>
        <w:instrText xml:space="preserve"> HYPERLINK \l _Toc18552 </w:instrText>
      </w:r>
      <w:r>
        <w:fldChar w:fldCharType="separate"/>
      </w:r>
      <w:r>
        <w:t>第6章 再造效果评估</w:t>
      </w:r>
      <w:r>
        <w:tab/>
      </w:r>
      <w:r>
        <w:fldChar w:fldCharType="begin"/>
      </w:r>
      <w:r>
        <w:instrText xml:space="preserve"> PAGEREF _Toc18552 \h </w:instrText>
      </w:r>
      <w:r>
        <w:fldChar w:fldCharType="separate"/>
      </w:r>
      <w:r>
        <w:t>46</w:t>
      </w:r>
      <w:r>
        <w:fldChar w:fldCharType="end"/>
      </w:r>
      <w:r>
        <w:fldChar w:fldCharType="end"/>
      </w:r>
    </w:p>
    <w:p w14:paraId="76DB29F1">
      <w:pPr>
        <w:pStyle w:val="30"/>
        <w:tabs>
          <w:tab w:val="right" w:leader="dot" w:pos="8504"/>
        </w:tabs>
      </w:pPr>
      <w:r>
        <w:fldChar w:fldCharType="begin"/>
      </w:r>
      <w:r>
        <w:instrText xml:space="preserve"> HYPERLINK \l _Toc7614 </w:instrText>
      </w:r>
      <w:r>
        <w:fldChar w:fldCharType="separate"/>
      </w:r>
      <w:r>
        <w:t>6.1 评价指标体系构建</w:t>
      </w:r>
      <w:r>
        <w:tab/>
      </w:r>
      <w:r>
        <w:fldChar w:fldCharType="begin"/>
      </w:r>
      <w:r>
        <w:instrText xml:space="preserve"> PAGEREF _Toc7614 \h </w:instrText>
      </w:r>
      <w:r>
        <w:fldChar w:fldCharType="separate"/>
      </w:r>
      <w:r>
        <w:t>46</w:t>
      </w:r>
      <w:r>
        <w:fldChar w:fldCharType="end"/>
      </w:r>
      <w:r>
        <w:fldChar w:fldCharType="end"/>
      </w:r>
    </w:p>
    <w:p w14:paraId="356E6C46">
      <w:pPr>
        <w:pStyle w:val="30"/>
        <w:tabs>
          <w:tab w:val="right" w:leader="dot" w:pos="8504"/>
        </w:tabs>
      </w:pPr>
      <w:r>
        <w:fldChar w:fldCharType="begin"/>
      </w:r>
      <w:r>
        <w:instrText xml:space="preserve"> HYPERLINK \l _Toc7952 </w:instrText>
      </w:r>
      <w:r>
        <w:fldChar w:fldCharType="separate"/>
      </w:r>
      <w:r>
        <w:t>6.2 测量方法与数据可得性约束</w:t>
      </w:r>
      <w:r>
        <w:tab/>
      </w:r>
      <w:r>
        <w:fldChar w:fldCharType="begin"/>
      </w:r>
      <w:r>
        <w:instrText xml:space="preserve"> PAGEREF _Toc7952 \h </w:instrText>
      </w:r>
      <w:r>
        <w:fldChar w:fldCharType="separate"/>
      </w:r>
      <w:r>
        <w:t>48</w:t>
      </w:r>
      <w:r>
        <w:fldChar w:fldCharType="end"/>
      </w:r>
      <w:r>
        <w:fldChar w:fldCharType="end"/>
      </w:r>
    </w:p>
    <w:p w14:paraId="3A307275">
      <w:pPr>
        <w:pStyle w:val="30"/>
        <w:tabs>
          <w:tab w:val="right" w:leader="dot" w:pos="8504"/>
        </w:tabs>
      </w:pPr>
      <w:r>
        <w:fldChar w:fldCharType="begin"/>
      </w:r>
      <w:r>
        <w:instrText xml:space="preserve"> HYPERLINK \l _Toc18203 </w:instrText>
      </w:r>
      <w:r>
        <w:fldChar w:fldCharType="separate"/>
      </w:r>
      <w:r>
        <w:t>6.3 再造前后运行数据对比</w:t>
      </w:r>
      <w:r>
        <w:tab/>
      </w:r>
      <w:r>
        <w:fldChar w:fldCharType="begin"/>
      </w:r>
      <w:r>
        <w:instrText xml:space="preserve"> PAGEREF _Toc18203 \h </w:instrText>
      </w:r>
      <w:r>
        <w:fldChar w:fldCharType="separate"/>
      </w:r>
      <w:r>
        <w:t>49</w:t>
      </w:r>
      <w:r>
        <w:fldChar w:fldCharType="end"/>
      </w:r>
      <w:r>
        <w:fldChar w:fldCharType="end"/>
      </w:r>
    </w:p>
    <w:p w14:paraId="6CED5C24">
      <w:pPr>
        <w:pStyle w:val="30"/>
        <w:tabs>
          <w:tab w:val="right" w:leader="dot" w:pos="8504"/>
        </w:tabs>
      </w:pPr>
      <w:r>
        <w:fldChar w:fldCharType="begin"/>
      </w:r>
      <w:r>
        <w:instrText xml:space="preserve"> HYPERLINK \l _Toc31911 </w:instrText>
      </w:r>
      <w:r>
        <w:fldChar w:fldCharType="separate"/>
      </w:r>
      <w:r>
        <w:t>6.4 情景测算结果</w:t>
      </w:r>
      <w:r>
        <w:tab/>
      </w:r>
      <w:r>
        <w:fldChar w:fldCharType="begin"/>
      </w:r>
      <w:r>
        <w:instrText xml:space="preserve"> PAGEREF _Toc31911 \h </w:instrText>
      </w:r>
      <w:r>
        <w:fldChar w:fldCharType="separate"/>
      </w:r>
      <w:r>
        <w:t>51</w:t>
      </w:r>
      <w:r>
        <w:fldChar w:fldCharType="end"/>
      </w:r>
      <w:r>
        <w:fldChar w:fldCharType="end"/>
      </w:r>
    </w:p>
    <w:p w14:paraId="641ECDFF">
      <w:pPr>
        <w:pStyle w:val="30"/>
        <w:tabs>
          <w:tab w:val="right" w:leader="dot" w:pos="8504"/>
        </w:tabs>
      </w:pPr>
      <w:r>
        <w:fldChar w:fldCharType="begin"/>
      </w:r>
      <w:r>
        <w:instrText xml:space="preserve"> HYPERLINK \l _Toc32232 </w:instrText>
      </w:r>
      <w:r>
        <w:fldChar w:fldCharType="separate"/>
      </w:r>
      <w:r>
        <w:t>6.5 敏感性分析与讨论</w:t>
      </w:r>
      <w:r>
        <w:tab/>
      </w:r>
      <w:r>
        <w:fldChar w:fldCharType="begin"/>
      </w:r>
      <w:r>
        <w:instrText xml:space="preserve"> PAGEREF _Toc32232 \h </w:instrText>
      </w:r>
      <w:r>
        <w:fldChar w:fldCharType="separate"/>
      </w:r>
      <w:r>
        <w:t>53</w:t>
      </w:r>
      <w:r>
        <w:fldChar w:fldCharType="end"/>
      </w:r>
      <w:r>
        <w:fldChar w:fldCharType="end"/>
      </w:r>
    </w:p>
    <w:p w14:paraId="61CEADF1">
      <w:pPr>
        <w:pStyle w:val="30"/>
        <w:tabs>
          <w:tab w:val="right" w:leader="dot" w:pos="8504"/>
        </w:tabs>
      </w:pPr>
      <w:r>
        <w:fldChar w:fldCharType="begin"/>
      </w:r>
      <w:r>
        <w:instrText xml:space="preserve"> HYPERLINK \l _Toc21411 </w:instrText>
      </w:r>
      <w:r>
        <w:fldChar w:fldCharType="separate"/>
      </w:r>
      <w:r>
        <w:t>6.6 本章小结</w:t>
      </w:r>
      <w:r>
        <w:tab/>
      </w:r>
      <w:r>
        <w:fldChar w:fldCharType="begin"/>
      </w:r>
      <w:r>
        <w:instrText xml:space="preserve"> PAGEREF _Toc21411 \h </w:instrText>
      </w:r>
      <w:r>
        <w:fldChar w:fldCharType="separate"/>
      </w:r>
      <w:r>
        <w:t>54</w:t>
      </w:r>
      <w:r>
        <w:fldChar w:fldCharType="end"/>
      </w:r>
      <w:r>
        <w:fldChar w:fldCharType="end"/>
      </w:r>
    </w:p>
    <w:p w14:paraId="06520B98">
      <w:pPr>
        <w:pStyle w:val="27"/>
        <w:tabs>
          <w:tab w:val="right" w:leader="dot" w:pos="8504"/>
        </w:tabs>
      </w:pPr>
      <w:r>
        <w:fldChar w:fldCharType="begin"/>
      </w:r>
      <w:r>
        <w:instrText xml:space="preserve"> HYPERLINK \l _Toc18538 </w:instrText>
      </w:r>
      <w:r>
        <w:fldChar w:fldCharType="separate"/>
      </w:r>
      <w:r>
        <w:t>第7章 结论与展望</w:t>
      </w:r>
      <w:r>
        <w:tab/>
      </w:r>
      <w:r>
        <w:fldChar w:fldCharType="begin"/>
      </w:r>
      <w:r>
        <w:instrText xml:space="preserve"> PAGEREF _Toc18538 \h </w:instrText>
      </w:r>
      <w:r>
        <w:fldChar w:fldCharType="separate"/>
      </w:r>
      <w:r>
        <w:t>55</w:t>
      </w:r>
      <w:r>
        <w:fldChar w:fldCharType="end"/>
      </w:r>
      <w:r>
        <w:fldChar w:fldCharType="end"/>
      </w:r>
    </w:p>
    <w:p w14:paraId="147B9799">
      <w:pPr>
        <w:pStyle w:val="30"/>
        <w:tabs>
          <w:tab w:val="right" w:leader="dot" w:pos="8504"/>
        </w:tabs>
      </w:pPr>
      <w:r>
        <w:fldChar w:fldCharType="begin"/>
      </w:r>
      <w:r>
        <w:instrText xml:space="preserve"> HYPERLINK \l _Toc16609 </w:instrText>
      </w:r>
      <w:r>
        <w:fldChar w:fldCharType="separate"/>
      </w:r>
      <w:r>
        <w:t>7.1 研究结论</w:t>
      </w:r>
      <w:r>
        <w:tab/>
      </w:r>
      <w:r>
        <w:fldChar w:fldCharType="begin"/>
      </w:r>
      <w:r>
        <w:instrText xml:space="preserve"> PAGEREF _Toc16609 \h </w:instrText>
      </w:r>
      <w:r>
        <w:fldChar w:fldCharType="separate"/>
      </w:r>
      <w:r>
        <w:t>55</w:t>
      </w:r>
      <w:r>
        <w:fldChar w:fldCharType="end"/>
      </w:r>
      <w:r>
        <w:fldChar w:fldCharType="end"/>
      </w:r>
    </w:p>
    <w:p w14:paraId="70501B01">
      <w:pPr>
        <w:pStyle w:val="30"/>
        <w:tabs>
          <w:tab w:val="right" w:leader="dot" w:pos="8504"/>
        </w:tabs>
      </w:pPr>
      <w:r>
        <w:fldChar w:fldCharType="begin"/>
      </w:r>
      <w:r>
        <w:instrText xml:space="preserve"> HYPERLINK \l _Toc26887 </w:instrText>
      </w:r>
      <w:r>
        <w:fldChar w:fldCharType="separate"/>
      </w:r>
      <w:r>
        <w:t>7.2 研究局限与展望</w:t>
      </w:r>
      <w:r>
        <w:tab/>
      </w:r>
      <w:r>
        <w:fldChar w:fldCharType="begin"/>
      </w:r>
      <w:r>
        <w:instrText xml:space="preserve"> PAGEREF _Toc26887 \h </w:instrText>
      </w:r>
      <w:r>
        <w:fldChar w:fldCharType="separate"/>
      </w:r>
      <w:r>
        <w:t>56</w:t>
      </w:r>
      <w:r>
        <w:fldChar w:fldCharType="end"/>
      </w:r>
      <w:r>
        <w:fldChar w:fldCharType="end"/>
      </w:r>
    </w:p>
    <w:p w14:paraId="0578CB66">
      <w:pPr>
        <w:pStyle w:val="27"/>
        <w:tabs>
          <w:tab w:val="right" w:leader="dot" w:pos="8504"/>
        </w:tabs>
      </w:pPr>
      <w:r>
        <w:fldChar w:fldCharType="begin"/>
      </w:r>
      <w:r>
        <w:instrText xml:space="preserve"> HYPERLINK \l _Toc14886 </w:instrText>
      </w:r>
      <w:r>
        <w:fldChar w:fldCharType="separate"/>
      </w:r>
      <w:r>
        <w:t>参考文献</w:t>
      </w:r>
      <w:r>
        <w:tab/>
      </w:r>
      <w:r>
        <w:fldChar w:fldCharType="begin"/>
      </w:r>
      <w:r>
        <w:instrText xml:space="preserve"> PAGEREF _Toc14886 \h </w:instrText>
      </w:r>
      <w:r>
        <w:fldChar w:fldCharType="separate"/>
      </w:r>
      <w:r>
        <w:t>58</w:t>
      </w:r>
      <w:r>
        <w:fldChar w:fldCharType="end"/>
      </w:r>
      <w:r>
        <w:fldChar w:fldCharType="end"/>
      </w:r>
    </w:p>
    <w:p w14:paraId="72E7AB35">
      <w:pPr>
        <w:pStyle w:val="27"/>
        <w:tabs>
          <w:tab w:val="right" w:leader="dot" w:pos="8504"/>
        </w:tabs>
      </w:pPr>
      <w:r>
        <w:fldChar w:fldCharType="begin"/>
      </w:r>
      <w:r>
        <w:instrText xml:space="preserve"> HYPERLINK \l _Toc12162 </w:instrText>
      </w:r>
      <w:r>
        <w:fldChar w:fldCharType="separate"/>
      </w:r>
      <w:r>
        <w:t>致    谢</w:t>
      </w:r>
      <w:r>
        <w:tab/>
      </w:r>
      <w:r>
        <w:fldChar w:fldCharType="begin"/>
      </w:r>
      <w:r>
        <w:instrText xml:space="preserve"> PAGEREF _Toc12162 \h </w:instrText>
      </w:r>
      <w:r>
        <w:fldChar w:fldCharType="separate"/>
      </w:r>
      <w:r>
        <w:t>62</w:t>
      </w:r>
      <w:r>
        <w:fldChar w:fldCharType="end"/>
      </w:r>
      <w:r>
        <w:fldChar w:fldCharType="end"/>
      </w:r>
    </w:p>
    <w:p w14:paraId="0D44BCFA">
      <w:pPr>
        <w:pStyle w:val="27"/>
        <w:tabs>
          <w:tab w:val="right" w:leader="dot" w:pos="8504"/>
        </w:tabs>
      </w:pPr>
      <w:r>
        <w:fldChar w:fldCharType="begin"/>
      </w:r>
      <w:r>
        <w:instrText xml:space="preserve"> HYPERLINK \l _Toc1269 </w:instrText>
      </w:r>
      <w:r>
        <w:fldChar w:fldCharType="separate"/>
      </w:r>
      <w:r>
        <w:t>附录A 调查问卷</w:t>
      </w:r>
      <w:r>
        <w:tab/>
      </w:r>
      <w:r>
        <w:fldChar w:fldCharType="begin"/>
      </w:r>
      <w:r>
        <w:instrText xml:space="preserve"> PAGEREF _Toc1269 \h </w:instrText>
      </w:r>
      <w:r>
        <w:fldChar w:fldCharType="separate"/>
      </w:r>
      <w:r>
        <w:t>62</w:t>
      </w:r>
      <w:r>
        <w:fldChar w:fldCharType="end"/>
      </w:r>
      <w:r>
        <w:fldChar w:fldCharType="end"/>
      </w:r>
    </w:p>
    <w:p w14:paraId="02D29586">
      <w:pPr>
        <w:pStyle w:val="30"/>
        <w:tabs>
          <w:tab w:val="right" w:leader="dot" w:pos="8504"/>
        </w:tabs>
      </w:pPr>
      <w:r>
        <w:fldChar w:fldCharType="begin"/>
      </w:r>
      <w:r>
        <w:instrText xml:space="preserve"> HYPERLINK \l _Toc21751 </w:instrText>
      </w:r>
      <w:r>
        <w:fldChar w:fldCharType="separate"/>
      </w:r>
      <w:r>
        <w:t>第一部分：基本信息</w:t>
      </w:r>
      <w:r>
        <w:tab/>
      </w:r>
      <w:r>
        <w:fldChar w:fldCharType="begin"/>
      </w:r>
      <w:r>
        <w:instrText xml:space="preserve"> PAGEREF _Toc21751 \h </w:instrText>
      </w:r>
      <w:r>
        <w:fldChar w:fldCharType="separate"/>
      </w:r>
      <w:r>
        <w:t>62</w:t>
      </w:r>
      <w:r>
        <w:fldChar w:fldCharType="end"/>
      </w:r>
      <w:r>
        <w:fldChar w:fldCharType="end"/>
      </w:r>
    </w:p>
    <w:p w14:paraId="6E37886C">
      <w:pPr>
        <w:pStyle w:val="30"/>
        <w:tabs>
          <w:tab w:val="right" w:leader="dot" w:pos="8504"/>
        </w:tabs>
      </w:pPr>
      <w:r>
        <w:fldChar w:fldCharType="begin"/>
      </w:r>
      <w:r>
        <w:instrText xml:space="preserve"> HYPERLINK \l _Toc24851 </w:instrText>
      </w:r>
      <w:r>
        <w:fldChar w:fldCharType="separate"/>
      </w:r>
      <w:r>
        <w:t>第二部分：工作流程现状与问题（Likert五级量表）</w:t>
      </w:r>
      <w:r>
        <w:tab/>
      </w:r>
      <w:r>
        <w:fldChar w:fldCharType="begin"/>
      </w:r>
      <w:r>
        <w:instrText xml:space="preserve"> PAGEREF _Toc24851 \h </w:instrText>
      </w:r>
      <w:r>
        <w:fldChar w:fldCharType="separate"/>
      </w:r>
      <w:r>
        <w:t>63</w:t>
      </w:r>
      <w:r>
        <w:fldChar w:fldCharType="end"/>
      </w:r>
      <w:r>
        <w:fldChar w:fldCharType="end"/>
      </w:r>
    </w:p>
    <w:p w14:paraId="398B4DDA">
      <w:pPr>
        <w:pStyle w:val="30"/>
        <w:tabs>
          <w:tab w:val="right" w:leader="dot" w:pos="8504"/>
        </w:tabs>
      </w:pPr>
      <w:r>
        <w:fldChar w:fldCharType="begin"/>
      </w:r>
      <w:r>
        <w:instrText xml:space="preserve"> HYPERLINK \l _Toc16582 </w:instrText>
      </w:r>
      <w:r>
        <w:fldChar w:fldCharType="separate"/>
      </w:r>
      <w:r>
        <w:t>第三部分：开放式问题</w:t>
      </w:r>
      <w:r>
        <w:tab/>
      </w:r>
      <w:r>
        <w:fldChar w:fldCharType="begin"/>
      </w:r>
      <w:r>
        <w:instrText xml:space="preserve"> PAGEREF _Toc16582 \h </w:instrText>
      </w:r>
      <w:r>
        <w:fldChar w:fldCharType="separate"/>
      </w:r>
      <w:r>
        <w:t>64</w:t>
      </w:r>
      <w:r>
        <w:fldChar w:fldCharType="end"/>
      </w:r>
      <w:r>
        <w:fldChar w:fldCharType="end"/>
      </w:r>
    </w:p>
    <w:p w14:paraId="6F35963E">
      <w:pPr>
        <w:pStyle w:val="27"/>
        <w:tabs>
          <w:tab w:val="right" w:leader="dot" w:pos="8504"/>
        </w:tabs>
      </w:pPr>
      <w:r>
        <w:fldChar w:fldCharType="begin"/>
      </w:r>
      <w:r>
        <w:instrText xml:space="preserve"> HYPERLINK \l _Toc27723 </w:instrText>
      </w:r>
      <w:r>
        <w:fldChar w:fldCharType="separate"/>
      </w:r>
      <w:r>
        <w:t>附录B 访谈提纲</w:t>
      </w:r>
      <w:r>
        <w:tab/>
      </w:r>
      <w:r>
        <w:fldChar w:fldCharType="begin"/>
      </w:r>
      <w:r>
        <w:instrText xml:space="preserve"> PAGEREF _Toc27723 \h </w:instrText>
      </w:r>
      <w:r>
        <w:fldChar w:fldCharType="separate"/>
      </w:r>
      <w:r>
        <w:t>64</w:t>
      </w:r>
      <w:r>
        <w:fldChar w:fldCharType="end"/>
      </w:r>
      <w:r>
        <w:fldChar w:fldCharType="end"/>
      </w:r>
    </w:p>
    <w:p w14:paraId="0C8A49F0">
      <w:pPr>
        <w:pStyle w:val="30"/>
        <w:tabs>
          <w:tab w:val="right" w:leader="dot" w:pos="8504"/>
        </w:tabs>
      </w:pPr>
      <w:r>
        <w:fldChar w:fldCharType="begin"/>
      </w:r>
      <w:r>
        <w:instrText xml:space="preserve"> HYPERLINK \l _Toc17874 </w:instrText>
      </w:r>
      <w:r>
        <w:fldChar w:fldCharType="separate"/>
      </w:r>
      <w:r>
        <w:t>一、开场白与基本信息</w:t>
      </w:r>
      <w:r>
        <w:tab/>
      </w:r>
      <w:r>
        <w:fldChar w:fldCharType="begin"/>
      </w:r>
      <w:r>
        <w:instrText xml:space="preserve"> PAGEREF _Toc17874 \h </w:instrText>
      </w:r>
      <w:r>
        <w:fldChar w:fldCharType="separate"/>
      </w:r>
      <w:r>
        <w:t>65</w:t>
      </w:r>
      <w:r>
        <w:fldChar w:fldCharType="end"/>
      </w:r>
      <w:r>
        <w:fldChar w:fldCharType="end"/>
      </w:r>
    </w:p>
    <w:p w14:paraId="3826D06D">
      <w:pPr>
        <w:pStyle w:val="30"/>
        <w:tabs>
          <w:tab w:val="right" w:leader="dot" w:pos="8504"/>
        </w:tabs>
      </w:pPr>
      <w:r>
        <w:fldChar w:fldCharType="begin"/>
      </w:r>
      <w:r>
        <w:instrText xml:space="preserve"> HYPERLINK \l _Toc12587 </w:instrText>
      </w:r>
      <w:r>
        <w:fldChar w:fldCharType="separate"/>
      </w:r>
      <w:r>
        <w:t>二、核心问题</w:t>
      </w:r>
      <w:r>
        <w:tab/>
      </w:r>
      <w:r>
        <w:fldChar w:fldCharType="begin"/>
      </w:r>
      <w:r>
        <w:instrText xml:space="preserve"> PAGEREF _Toc12587 \h </w:instrText>
      </w:r>
      <w:r>
        <w:fldChar w:fldCharType="separate"/>
      </w:r>
      <w:r>
        <w:t>65</w:t>
      </w:r>
      <w:r>
        <w:fldChar w:fldCharType="end"/>
      </w:r>
      <w:r>
        <w:fldChar w:fldCharType="end"/>
      </w:r>
    </w:p>
    <w:p w14:paraId="41526D3E">
      <w:pPr>
        <w:pStyle w:val="30"/>
        <w:tabs>
          <w:tab w:val="right" w:leader="dot" w:pos="8504"/>
        </w:tabs>
      </w:pPr>
      <w:r>
        <w:fldChar w:fldCharType="begin"/>
      </w:r>
      <w:r>
        <w:instrText xml:space="preserve"> HYPERLINK \l _Toc8896 </w:instrText>
      </w:r>
      <w:r>
        <w:fldChar w:fldCharType="separate"/>
      </w:r>
      <w:r>
        <w:t>三、结束语</w:t>
      </w:r>
      <w:r>
        <w:tab/>
      </w:r>
      <w:r>
        <w:fldChar w:fldCharType="begin"/>
      </w:r>
      <w:r>
        <w:instrText xml:space="preserve"> PAGEREF _Toc8896 \h </w:instrText>
      </w:r>
      <w:r>
        <w:fldChar w:fldCharType="separate"/>
      </w:r>
      <w:r>
        <w:t>65</w:t>
      </w:r>
      <w:r>
        <w:fldChar w:fldCharType="end"/>
      </w:r>
      <w:r>
        <w:fldChar w:fldCharType="end"/>
      </w:r>
    </w:p>
    <w:p w14:paraId="5AFB8B99">
      <w:pPr>
        <w:ind w:firstLine="0"/>
      </w:pPr>
      <w:r>
        <w:fldChar w:fldCharType="end"/>
      </w:r>
    </w:p>
    <w:p w14:paraId="4C193B01">
      <w:r>
        <w:br w:type="page"/>
      </w:r>
    </w:p>
    <w:p w14:paraId="79313D21">
      <w:pPr>
        <w:pStyle w:val="3"/>
        <w:pageBreakBefore/>
      </w:pPr>
      <w:bookmarkStart w:id="1" w:name="_Toc13713"/>
      <w:r>
        <w:t>摘    要</w:t>
      </w:r>
      <w:bookmarkEnd w:id="1"/>
    </w:p>
    <w:p w14:paraId="3D9C33BF">
      <w:pPr>
        <w:spacing w:after="0" w:line="360" w:lineRule="auto"/>
        <w:ind w:firstLine="480"/>
        <w:jc w:val="both"/>
      </w:pPr>
      <w:r>
        <w:rPr>
          <w:rFonts w:ascii="宋体" w:hAnsi="宋体" w:eastAsia="宋体"/>
          <w:b w:val="0"/>
          <w:sz w:val="24"/>
        </w:rPr>
        <w:t>在数字经济与招标投标全流程电子化的双重推动下，招标代理机构的工作流程数字化再造已成为提升服务效率与合规水平的关键路径。本研究以Z公司为案例，系统探讨招标代理业务工作流程数字化再造的理论框架、实现路径与效果评价方法。通过问卷调查（有效样本185份）、半结构化访谈（10人）与系统资料分析，揭示Z公司工作流程的现状：数字化工具初步应用但集成度低、流程节点冗余且时限管控薄弱、员工数字化技能与工具采纳不足等问题。成因主要包括内部管理机制滞后、技术基础设施薄弱、流程设计与外部标准脱节以及人力资源培训体系不健全。</w:t>
      </w:r>
    </w:p>
    <w:p w14:paraId="1CAB89D1">
      <w:pPr>
        <w:spacing w:after="0" w:line="360" w:lineRule="auto"/>
        <w:ind w:firstLine="480"/>
        <w:jc w:val="both"/>
      </w:pPr>
      <w:r>
        <w:rPr>
          <w:rFonts w:ascii="宋体" w:hAnsi="宋体" w:eastAsia="宋体"/>
          <w:b w:val="0"/>
          <w:sz w:val="24"/>
        </w:rPr>
        <w:t>基于业务流程再造理论、TOE框架与动态能力理论，本研究提出并实现了以“数字化工作活动平台”为核心的再造方案：以“项目—时间轴—里程碑—环节—待办”五级模型承载流程全周期追踪，以文档智能解析、清标辅助评分、围串标风险识别、合规规则库与知识库检索等模块替代重复性人工劳动，并通过私有化部署与全量操作审计满足数据不出内网、过程可追溯的合规要求。基于再造前后各12个月的实测数据（项目数约450个增至约570个、平均周期约27天降至约20天、清标环节约3个工作日降至约20分钟）及系统设计参数评估再造效果：流程周期实际缩短约26%，清标环节耗时大幅下降；返工轮次与人工数据搬运因上线前未建立统计口径，采用情景测算，基准情景下分别下降约40%与45%。研究进一步构建了再造效果评价指标体系与测量方案，为同类机构在数据治理约束下开展效果评估提供参考。</w:t>
      </w:r>
    </w:p>
    <w:p w14:paraId="6B6A87F4">
      <w:pPr>
        <w:spacing w:after="0" w:line="360" w:lineRule="auto"/>
        <w:ind w:firstLine="480"/>
        <w:jc w:val="both"/>
      </w:pPr>
      <w:r>
        <w:rPr>
          <w:rFonts w:ascii="宋体" w:hAnsi="宋体" w:eastAsia="宋体"/>
          <w:b w:val="0"/>
          <w:sz w:val="24"/>
        </w:rPr>
        <w:t>本研究旨在为Z公司提供可操作的优化方案，也为招标代理等专业服务行业在数字经济背景下实现高质量发展提供参考。</w:t>
      </w:r>
    </w:p>
    <w:p w14:paraId="70F548DF">
      <w:pPr>
        <w:spacing w:after="0" w:line="360" w:lineRule="auto"/>
        <w:ind w:firstLine="480"/>
        <w:jc w:val="both"/>
      </w:pPr>
      <w:r>
        <w:rPr>
          <w:rFonts w:ascii="宋体" w:hAnsi="宋体" w:eastAsia="宋体"/>
          <w:b w:val="0"/>
          <w:sz w:val="24"/>
        </w:rPr>
        <w:t>关键词：工作流程数字化再造；招标代理；流程优化；业务流程再造</w:t>
      </w:r>
    </w:p>
    <w:p w14:paraId="089A6B3D">
      <w:pPr>
        <w:pStyle w:val="3"/>
        <w:pageBreakBefore/>
      </w:pPr>
      <w:bookmarkStart w:id="2" w:name="_Toc9847"/>
      <w:r>
        <w:t>ABSTRACT</w:t>
      </w:r>
      <w:bookmarkEnd w:id="2"/>
    </w:p>
    <w:p w14:paraId="4F826D16">
      <w:pPr>
        <w:spacing w:after="0" w:line="360" w:lineRule="auto"/>
        <w:ind w:firstLine="480"/>
        <w:jc w:val="both"/>
      </w:pPr>
      <w:r>
        <w:rPr>
          <w:rFonts w:ascii="宋体" w:hAnsi="宋体" w:eastAsia="宋体"/>
          <w:b w:val="0"/>
          <w:sz w:val="24"/>
        </w:rPr>
        <w:t>Driven by the digital economy and the full-process electronization of tendering and bidding, the digital re-engineering of work processes in tendering agencies has become a critical pathway for improving service efficiency and compliance. Taking Company Z as a case study, this thesis systematically explores the theoretical framework, implementation path and effect evaluation method for the digital re-engineering of tendering agency workflows. Based on a questionnaire survey (185 valid samples), semi-structured interviews (10 participants) and an analysis of system documents, the study reveals the current state of Company Z's workflow: preliminary adoption of digital tools with low integration, redundant process nodes and weak schedule control, and insufficient digital skills and tool adoption among employees. The underlying causes include lagging internal management mechanisms, weak technical infrastructure, misalignment between process design and external standards, and an inadequate training system.</w:t>
      </w:r>
    </w:p>
    <w:p w14:paraId="7DB4720C">
      <w:pPr>
        <w:spacing w:after="0" w:line="360" w:lineRule="auto"/>
        <w:ind w:firstLine="480"/>
        <w:jc w:val="both"/>
      </w:pPr>
      <w:r>
        <w:rPr>
          <w:rFonts w:ascii="宋体" w:hAnsi="宋体" w:eastAsia="宋体"/>
          <w:b w:val="0"/>
          <w:sz w:val="24"/>
        </w:rPr>
        <w:t>Drawing on Business Process Re-engineering theory, the TOE framework and dynamic capability theory, this study designs and implements a re-engineering solution centred on a Digital Work-Activity Platform. A five-level model of project–timeline–milestone–step–to-do carries full-cycle workflow tracking; modules for intelligent document parsing, assisted bid-clearing scoring, bid-rigging risk identification, compliance rule bases and knowledge retrieval replace repetitive manual work; and private deployment with full operation auditing satisfies the compliance requirements of data residency and traceability. Based on 12-month aggregate data before and after implementation (projects rising from about 450 to 570 per year, average cycle falling from about 27 to 20 days, and bid-clearing time falling from about 3 working days to about 20 minutes) and on system design parameters, the study evaluates the effects: in the measured comparison the process cycle is shortened by about 26% and bid-clearing time drops substantially; for rework rounds and manual data transfer, whose pre-implementation baselines were not recorded, scenario analysis is used and suggests reductions of about 40% and 45% respectively in the baseline scenario. An indicator system and measurement scheme for evaluating re-engineering effects are further constructed, providing a reference for similar institutions to evaluate effects under data-governance constraints.</w:t>
      </w:r>
    </w:p>
    <w:p w14:paraId="5DA2668F">
      <w:pPr>
        <w:spacing w:after="0" w:line="360" w:lineRule="auto"/>
        <w:ind w:firstLine="480"/>
        <w:jc w:val="both"/>
      </w:pPr>
      <w:r>
        <w:rPr>
          <w:rFonts w:ascii="宋体" w:hAnsi="宋体" w:eastAsia="宋体"/>
          <w:b w:val="0"/>
          <w:sz w:val="24"/>
        </w:rPr>
        <w:t>This study aims to provide actionable optimization strategies for Company Z while offering insights for the tendering agency and other professional service industries in achieving high-quality development in the context of the digital economy.</w:t>
      </w:r>
    </w:p>
    <w:p w14:paraId="5583511C">
      <w:pPr>
        <w:spacing w:after="0" w:line="360" w:lineRule="auto"/>
        <w:ind w:firstLine="480"/>
        <w:jc w:val="both"/>
      </w:pPr>
      <w:r>
        <w:rPr>
          <w:rFonts w:ascii="宋体" w:hAnsi="宋体" w:eastAsia="宋体"/>
          <w:b w:val="0"/>
          <w:sz w:val="24"/>
        </w:rPr>
        <w:t>Key Words: Work process digital re-engineering; Tendering agency; Process optimization; Business process re-engineering</w:t>
      </w:r>
    </w:p>
    <w:p w14:paraId="20FE8265">
      <w:pPr>
        <w:pStyle w:val="3"/>
      </w:pPr>
      <w:bookmarkStart w:id="3" w:name="_Toc24850"/>
      <w:r>
        <w:t>引    言</w:t>
      </w:r>
      <w:bookmarkEnd w:id="3"/>
    </w:p>
    <w:p w14:paraId="0B5F3037">
      <w:pPr>
        <w:spacing w:after="0" w:line="360" w:lineRule="auto"/>
        <w:ind w:firstLine="480"/>
        <w:jc w:val="both"/>
      </w:pPr>
      <w:r>
        <w:rPr>
          <w:rFonts w:ascii="宋体" w:hAnsi="宋体" w:eastAsia="宋体"/>
          <w:b w:val="0"/>
          <w:sz w:val="24"/>
        </w:rPr>
        <w:t>在数字经济迅猛发展与专业服务加速转型的双重背景下，企业工作流程的数字化再造已成为实现高效率发展的关键路径。国家通过《“十四五”数字经济发展规划》《数字中国建设整体布局规划》等政策，强调以新一代信息技术赋能传统产业，加快数据要素市场化配置，推动企业从经验驱动转向数据驱动。招标代理作为工程咨询与公共采购领域的重要专业服务，其业务成果高度依赖文档处理、程序合规与专业判断，流程层面的数字化再造因此成为提升效率与服务质量的重要抓手。</w:t>
      </w:r>
    </w:p>
    <w:p w14:paraId="58E13282">
      <w:pPr>
        <w:spacing w:after="0" w:line="360" w:lineRule="auto"/>
        <w:ind w:firstLine="480"/>
        <w:jc w:val="both"/>
      </w:pPr>
      <w:r>
        <w:rPr>
          <w:rFonts w:ascii="宋体" w:hAnsi="宋体" w:eastAsia="宋体"/>
          <w:b w:val="0"/>
          <w:sz w:val="24"/>
        </w:rPr>
        <w:t>自2013年《电子招标投标办法》发布以来，招标投标全流程电子化持续深化，交易平台、公共服务平台与行政监督平台相互衔接，招标文件编制、公告发布、开标评标等环节逐步线上化。与此同时，监管对招标文件条款合规性、评审过程可追溯性的要求不断提高，2024年出台的招标投标领域公平竞争审查规则[1]进一步强化了招标文件的事前合规审查。行业服务收费早已实行市场调节价，机构间同质化竞争激烈，向“效率+合规+专业”要效益成为必然选择。</w:t>
      </w:r>
    </w:p>
    <w:p w14:paraId="3FED6DA6">
      <w:pPr>
        <w:spacing w:after="0" w:line="360" w:lineRule="auto"/>
        <w:ind w:firstLine="480"/>
        <w:jc w:val="both"/>
      </w:pPr>
      <w:r>
        <w:rPr>
          <w:rFonts w:ascii="宋体" w:hAnsi="宋体" w:eastAsia="宋体"/>
          <w:b w:val="0"/>
          <w:sz w:val="24"/>
        </w:rPr>
        <w:t>Z公司作为国内综合性工程咨询与招标代理机构，具有典型的样本价值。公司成立于1997年，前身可追溯至1994年的评审机构，经过近30年发展，业务覆盖招标代理、造价咨询、工程咨询等领域，年业务收入达数亿元，服务对象覆盖大型中央企业及地方重点项目。2025年2月，公司上线面向招标代理业务的智能作业平台，尝试以文档解析、智能清标、合规检查与知识库检索支撑一线作业；2026年完成平台代码重构与仓库归档，系统化沉淀平台设计与实现资料。然而，平台上线并不等于流程再造：部门间系统仍在各自为政，节点时限缺少统一度量，成果质量依赖个人经验，员工对新工具的采纳程度参差不齐。以Z公司为案例研究其工作流程数字化再造，既能为企业自身提供针对性解决方案，也可为招标代理行业乃至专业服务领域提供借鉴。</w:t>
      </w:r>
    </w:p>
    <w:p w14:paraId="6A02BD46">
      <w:pPr>
        <w:spacing w:after="0" w:line="360" w:lineRule="auto"/>
        <w:ind w:firstLine="480"/>
        <w:jc w:val="both"/>
      </w:pPr>
      <w:r>
        <w:rPr>
          <w:rFonts w:ascii="宋体" w:hAnsi="宋体" w:eastAsia="宋体"/>
          <w:b w:val="0"/>
          <w:sz w:val="24"/>
        </w:rPr>
        <w:t>本研究选取Z公司作为典型案例，具有多重意义。从理论层面，可丰富专业服务行业数字化转型的研究框架，验证业务流程再造理论在知识密集型服务领域的适用性。从实践层面，可为Z公司优化内部流程、提升数字化服务能力提供可操作路径。从行业层面，有助于推动招标代理机构提升作业效率与质量一致性。从政策层面，可为监管部门制定行业数字化标准与数据接口规范提供参考。</w:t>
      </w:r>
    </w:p>
    <w:p w14:paraId="3ACA55DF">
      <w:pPr>
        <w:spacing w:after="0" w:line="360" w:lineRule="auto"/>
        <w:ind w:firstLine="480"/>
        <w:jc w:val="both"/>
      </w:pPr>
      <w:r>
        <w:rPr>
          <w:rFonts w:ascii="宋体" w:hAnsi="宋体" w:eastAsia="宋体"/>
          <w:b w:val="0"/>
          <w:sz w:val="24"/>
        </w:rPr>
        <w:t>基于上述背景，本研究采用文献综述、案例研究、问卷调查、半结构化访谈以及设计科学研究等方法，系统剖析Z公司工作流程现状、问题与成因，设计并实现数字化工作活动平台，并对再造效果进行测算与评价。研究旨在揭示数字化再造如何赋能专业服务机构的效率提升与合规保障，为同类企业高质量发展提供启示。</w:t>
      </w:r>
    </w:p>
    <w:p w14:paraId="0E27F4D7">
      <w:pPr>
        <w:pStyle w:val="3"/>
        <w:pageBreakBefore/>
      </w:pPr>
      <w:bookmarkStart w:id="4" w:name="_Toc1994"/>
      <w:r>
        <w:t>第1章 绪论</w:t>
      </w:r>
      <w:bookmarkEnd w:id="4"/>
    </w:p>
    <w:p w14:paraId="6B6E33B2">
      <w:pPr>
        <w:pStyle w:val="4"/>
      </w:pPr>
      <w:bookmarkStart w:id="5" w:name="_Toc21687"/>
      <w:r>
        <w:t>1.1 研究背景与意义</w:t>
      </w:r>
      <w:bookmarkEnd w:id="5"/>
    </w:p>
    <w:p w14:paraId="57310EED">
      <w:pPr>
        <w:spacing w:after="0" w:line="360" w:lineRule="auto"/>
        <w:ind w:firstLine="480"/>
        <w:jc w:val="both"/>
      </w:pPr>
      <w:r>
        <w:rPr>
          <w:rFonts w:ascii="宋体" w:hAnsi="宋体" w:eastAsia="宋体"/>
          <w:b w:val="0"/>
          <w:sz w:val="24"/>
        </w:rPr>
        <w:t>在当今全球经济数字化浪潮的推动下，企业工作流程的数字化再造已成为提升运营效率、实现高质量发展的关键路径。中国作为世界第二大经济体，正处于高质量发展阶段，数字化转型已成为国家战略的核心组成部分。2023年2月，中共中央、国务院印发《数字中国建设整体布局规划》；2023年10月国家数据局挂牌成立，持续推进数据要素市场化配置改革，为企业流程再造提供了制度与技术条件。在此背景下，招标代理行业作为连接投资主体与市场竞争的关键环节，正面临从人工经验模式向平台化、自动化、智能化转型的迫切需求。本研究以Z公司为案例，探讨其工作流程的数字化再造路径，旨在为同类企业提供参考。</w:t>
      </w:r>
    </w:p>
    <w:p w14:paraId="4816EA69">
      <w:pPr>
        <w:spacing w:after="0" w:line="360" w:lineRule="auto"/>
        <w:ind w:firstLine="480"/>
        <w:jc w:val="both"/>
      </w:pPr>
      <w:r>
        <w:rPr>
          <w:rFonts w:ascii="宋体" w:hAnsi="宋体" w:eastAsia="宋体"/>
          <w:b w:val="0"/>
          <w:sz w:val="24"/>
        </w:rPr>
        <w:t>首先，从宏观背景来看，数字化转型已成为全球企业应对竞争与变革的核心策略。据国际数据公司（IDC）等机构的研究，全球数字化转型支出保持较快增长，亚太地区是增长最快的区域之一。中国政府高度重视数字化转型，先后出台《“十四五”数字经济发展规划》和《数字中国建设整体布局规划》，强调通过数字技术赋能传统产业，实现高质量发展。国家数据局的组建与数据要素市场化改革的推进，进一步明确了数据作为新型生产要素的地位。在这一政策环境下，企业需将数字化转型作为核心战略，而流程层面的再造正是战略落地的关键环节。</w:t>
      </w:r>
    </w:p>
    <w:p w14:paraId="080E749D">
      <w:pPr>
        <w:spacing w:after="0" w:line="360" w:lineRule="auto"/>
        <w:ind w:firstLine="480"/>
        <w:jc w:val="both"/>
      </w:pPr>
      <w:r>
        <w:rPr>
          <w:rFonts w:ascii="宋体" w:hAnsi="宋体" w:eastAsia="宋体"/>
          <w:b w:val="0"/>
          <w:sz w:val="24"/>
        </w:rPr>
        <w:t>招标代理行业的工作流程具有鲜明的文档密集与程序合规特征。一个完整的招标项目通常包含项目受理与立项、招标文件编制、公告发布与答疑、开标与清标、评审与定标、归档与合同签订等环节，涉及招标人、投标人、评审专家、监管部门等多方主体。传统模式下，文件编制依赖模板与人工核对，清标环节依赖逐项人工比对，围标串标识别依赖个人经验，节点时限依靠人工台账跟踪，导致周期长、返工多、合规风险高。2024年，国务院办公厅印发《关于创新完善体制机制推动招标投标市场规范健康发展的意见》[2]，进一步明确了招标投标市场规范健康发展的方向。随着大数据、大模型与流程自动化技术的成熟，以系统承载流程、以数据度量流程、以规则约束流程，成为行业转型的现实路径。</w:t>
      </w:r>
    </w:p>
    <w:p w14:paraId="14A334C6">
      <w:pPr>
        <w:spacing w:after="0" w:line="360" w:lineRule="auto"/>
        <w:ind w:firstLine="480"/>
        <w:jc w:val="both"/>
      </w:pPr>
      <w:r>
        <w:rPr>
          <w:rFonts w:ascii="宋体" w:hAnsi="宋体" w:eastAsia="宋体"/>
          <w:b w:val="0"/>
          <w:sz w:val="24"/>
        </w:rPr>
        <w:t>在数字化转型方面，Z公司于2025年2月上线面向招标代理业务的智能作业平台（试运行），形成“文档解析—智能清标—合规检查—知识检索”的数智化作业链条；2026年完成代码重构与版本归档。这反映出Z公司在工作流程再造上的前瞻性，但同时也面临数字化工具集成度低、流程节点管控薄弱等挑战。</w:t>
      </w:r>
    </w:p>
    <w:p w14:paraId="4088C9B3">
      <w:pPr>
        <w:spacing w:after="0" w:line="360" w:lineRule="auto"/>
        <w:ind w:firstLine="480"/>
        <w:jc w:val="both"/>
      </w:pPr>
      <w:r>
        <w:rPr>
          <w:rFonts w:ascii="宋体" w:hAnsi="宋体" w:eastAsia="宋体"/>
          <w:b w:val="0"/>
          <w:sz w:val="24"/>
        </w:rPr>
        <w:t>具体而言，Z公司的工作流程现状体现出传统与现代的交织。一方面，招标文件编制、开标记录、评标报告等核心成果已实现电子化流转；另一方面，文件条款合规核对、清标比对、资料归档仍大量依赖人工操作，系统之间缺乏统一的数据标准与接口，跨环节数据需要重复录入。此外，员工数字化意识与技能不足进一步加剧了问题。研究显示，数字化转型可显著降低企业运营成本，但若基础设施与流程设计不同步，将难以实现预期效果。Z公司的案例具有代表性，其数字化再造不仅能提升自身竞争力，还能为客户提供高质量的招标代理服务，支撑重大项目的规范高效实施。</w:t>
      </w:r>
    </w:p>
    <w:p w14:paraId="35D6E1E6">
      <w:pPr>
        <w:spacing w:after="0" w:line="360" w:lineRule="auto"/>
        <w:ind w:firstLine="480"/>
        <w:jc w:val="both"/>
      </w:pPr>
      <w:r>
        <w:rPr>
          <w:rFonts w:ascii="宋体" w:hAnsi="宋体" w:eastAsia="宋体"/>
          <w:b w:val="0"/>
          <w:sz w:val="24"/>
        </w:rPr>
        <w:t>本研究的意义体现在多个层面。首先，从理论意义上，本研究丰富了数字化再造的理论框架。现有文献多聚焦于制造业数字化转型及其绩效效应，针对招标代理等专业服务业的流程层面研究较少。本研究通过概念界定和理论分析，构建适用于知识密集型服务业的流程数字化再造模型。其次，从实践意义上，为Z公司提供可落地的优化对策与系统实现方案，如构建数字化工作活动平台、优化流程节点与数据接口。这有助于公司降低运营成本、提升服务质量与合规水平。</w:t>
      </w:r>
    </w:p>
    <w:p w14:paraId="05680018">
      <w:pPr>
        <w:spacing w:after="0" w:line="360" w:lineRule="auto"/>
        <w:ind w:firstLine="480"/>
        <w:jc w:val="both"/>
      </w:pPr>
      <w:r>
        <w:rPr>
          <w:rFonts w:ascii="宋体" w:hAnsi="宋体" w:eastAsia="宋体"/>
          <w:b w:val="0"/>
          <w:sz w:val="24"/>
        </w:rPr>
        <w:t>此外，从行业意义上，本研究促进招标代理行业数字化水平的整体提升。招标代理机构通过数字化手段，可提高文件质量与评审效率，降低人为差错与合规风险。同时，本研究强调人力资源培训与数字化文化建设，有助于培养行业复合型人才。最后，从政策意义上，提供决策参考。监管部门可借鉴研究成果，推动行业数据接口标准与过程留痕规范的制定。</w:t>
      </w:r>
    </w:p>
    <w:p w14:paraId="2EAF016A">
      <w:pPr>
        <w:spacing w:after="0" w:line="360" w:lineRule="auto"/>
        <w:ind w:firstLine="480"/>
        <w:jc w:val="both"/>
      </w:pPr>
      <w:r>
        <w:rPr>
          <w:rFonts w:ascii="宋体" w:hAnsi="宋体" w:eastAsia="宋体"/>
          <w:b w:val="0"/>
          <w:sz w:val="24"/>
        </w:rPr>
        <w:t>综上所述，在数字经济与专业服务转型的双重驱动下，Z公司工作流程数字化再造研究具有重要的时代背景和多维意义。通过本研究，不仅能解决公司内部流程问题，还能为行业提供可借鉴的范式，推动招标代理行业向平台化、智能化方向转型。</w:t>
      </w:r>
    </w:p>
    <w:p w14:paraId="16F75622">
      <w:pPr>
        <w:pStyle w:val="4"/>
      </w:pPr>
      <w:bookmarkStart w:id="6" w:name="_Toc7331"/>
      <w:r>
        <w:t>1.2 研究目的与方法</w:t>
      </w:r>
      <w:bookmarkEnd w:id="6"/>
    </w:p>
    <w:p w14:paraId="3389A8A5">
      <w:pPr>
        <w:spacing w:after="0" w:line="360" w:lineRule="auto"/>
        <w:ind w:firstLine="480"/>
        <w:jc w:val="both"/>
      </w:pPr>
      <w:r>
        <w:rPr>
          <w:rFonts w:ascii="宋体" w:hAnsi="宋体" w:eastAsia="宋体"/>
          <w:b w:val="0"/>
          <w:sz w:val="24"/>
        </w:rPr>
        <w:t>本研究的目的是通过分析Z公司工作流程的现状与问题，探讨数字化再造路径，设计并实现支撑再造的数字化平台，进而对再造效果进行测算与评价。具体而言，研究目的包括以下几个方面：一是揭示Z公司工作流程中存在的痛点，如数字化集成度低、流程节点冗余、工具采纳不足；二是分析问题成因，从内部管理、技术基础设施、流程设计与外部标准、人力资源等方面入手；三是提出并实现针对性对策，构建数字化工作活动平台；四是构建再造效果评价指标体系并测算效果；五是总结经验，为同类企业提供参考。最终，实现Z公司运营效率、合规水平与服务能力的同步提升。</w:t>
      </w:r>
    </w:p>
    <w:p w14:paraId="0ACE8133">
      <w:pPr>
        <w:spacing w:after="0" w:line="360" w:lineRule="auto"/>
        <w:ind w:firstLine="480"/>
        <w:jc w:val="both"/>
      </w:pPr>
      <w:r>
        <w:rPr>
          <w:rFonts w:ascii="宋体" w:hAnsi="宋体" w:eastAsia="宋体"/>
          <w:b w:val="0"/>
          <w:sz w:val="24"/>
        </w:rPr>
        <w:t>为实现上述目的，本研究采用多种方法相结合的综合研究范式，确保研究的科学性和可靠性。首先，文献综述法。通过系统梳理国内外相关文献，如数字化转型的动力机制、数字化转型对组织绩效的影响、业务流程再造与流程数字化等，构建理论基础。文献来源包括中文期刊、国际期刊与政策文件，共52篇，兼顾经典理论与近五年实证成果。</w:t>
      </w:r>
    </w:p>
    <w:p w14:paraId="7D4BF69E">
      <w:pPr>
        <w:spacing w:after="0" w:line="360" w:lineRule="auto"/>
        <w:ind w:firstLine="480"/>
        <w:jc w:val="both"/>
      </w:pPr>
      <w:r>
        <w:rPr>
          <w:rFonts w:ascii="宋体" w:hAnsi="宋体" w:eastAsia="宋体"/>
          <w:b w:val="0"/>
          <w:sz w:val="24"/>
        </w:rPr>
        <w:t>其次，案例研究法。以Z公司为典型案例，深入剖析其工作流程。数据来源包括公司官网、年度报告、内部制度文件、系统设计文档与数据库表结构。通过案例分析，揭示行业共性问题，并验证理论假设。</w:t>
      </w:r>
    </w:p>
    <w:p w14:paraId="18E9EFF1">
      <w:pPr>
        <w:spacing w:after="0" w:line="360" w:lineRule="auto"/>
        <w:ind w:firstLine="480"/>
        <w:jc w:val="both"/>
      </w:pPr>
      <w:r>
        <w:rPr>
          <w:rFonts w:ascii="宋体" w:hAnsi="宋体" w:eastAsia="宋体"/>
          <w:b w:val="0"/>
          <w:sz w:val="24"/>
        </w:rPr>
        <w:t>第三，调查法。设计问卷调查Z公司员工，收集一手数据。调查内容包括基本信息、数字化工具使用情况、流程效率与节点协同等。样本选取采用分层抽样，确保代表性。同时对10名中高层管理人员与资深项目经理开展半结构化访谈，补充定性证据。</w:t>
      </w:r>
    </w:p>
    <w:p w14:paraId="5E78F07C">
      <w:pPr>
        <w:spacing w:after="0" w:line="360" w:lineRule="auto"/>
        <w:ind w:firstLine="480"/>
        <w:jc w:val="both"/>
      </w:pPr>
      <w:r>
        <w:rPr>
          <w:rFonts w:ascii="宋体" w:hAnsi="宋体" w:eastAsia="宋体"/>
          <w:b w:val="0"/>
          <w:sz w:val="24"/>
        </w:rPr>
        <w:t>第四，设计科学研究法。基于问题与成因，设计并实现数字化工作活动平台，形成可运行的系统方案；通过系统架构设计、数据模型设计与关键模块实现，将再造对策具体化、可操作化。</w:t>
      </w:r>
    </w:p>
    <w:p w14:paraId="30021F1B">
      <w:pPr>
        <w:spacing w:after="0" w:line="360" w:lineRule="auto"/>
        <w:ind w:firstLine="480"/>
        <w:jc w:val="both"/>
      </w:pPr>
      <w:r>
        <w:rPr>
          <w:rFonts w:ascii="宋体" w:hAnsi="宋体" w:eastAsia="宋体"/>
          <w:b w:val="0"/>
          <w:sz w:val="24"/>
        </w:rPr>
        <w:t>第五，情景分析法。在企业数据不出内网的合规约束下，结合系统设计参数、试运行观测记录与访谈估计，设置保守、基准、乐观三种情景，对再造效果进行区间测算，并通过情景参数的区间变化开展敏感性分析。</w:t>
      </w:r>
    </w:p>
    <w:p w14:paraId="1DAC9319">
      <w:pPr>
        <w:spacing w:after="0" w:line="360" w:lineRule="auto"/>
        <w:ind w:firstLine="480"/>
        <w:jc w:val="both"/>
      </w:pPr>
      <w:r>
        <w:rPr>
          <w:rFonts w:ascii="宋体" w:hAnsi="宋体" w:eastAsia="宋体"/>
          <w:b w:val="0"/>
          <w:sz w:val="24"/>
        </w:rPr>
        <w:t>研究方法的选择注重定性与定量的结合，确保结论的客观性。同时，研究遵循伦理规范，对企业名称、客户信息与业务数据作匿名化与脱敏处理。预期通过这些方法，实现研究的深度和广度。研究技术路线如图1-1所示。</w:t>
      </w:r>
    </w:p>
    <w:p w14:paraId="639CC24B">
      <w:pPr>
        <w:spacing w:before="160" w:after="60" w:line="240" w:lineRule="auto"/>
        <w:ind w:firstLine="0"/>
        <w:jc w:val="center"/>
      </w:pPr>
      <w:r>
        <w:drawing>
          <wp:inline distT="0" distB="0" distL="114300" distR="114300">
            <wp:extent cx="5673090" cy="5513070"/>
            <wp:effectExtent l="0" t="0" r="1143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73090" cy="5513070"/>
                    </a:xfrm>
                    <a:prstGeom prst="rect">
                      <a:avLst/>
                    </a:prstGeom>
                  </pic:spPr>
                </pic:pic>
              </a:graphicData>
            </a:graphic>
          </wp:inline>
        </w:drawing>
      </w:r>
    </w:p>
    <w:p w14:paraId="1DBE267D">
      <w:pPr>
        <w:spacing w:after="200" w:line="240" w:lineRule="auto"/>
        <w:ind w:firstLine="0"/>
        <w:jc w:val="center"/>
      </w:pPr>
      <w:r>
        <w:rPr>
          <w:rFonts w:ascii="宋体" w:hAnsi="宋体" w:eastAsia="宋体"/>
          <w:b/>
          <w:sz w:val="21"/>
        </w:rPr>
        <w:t>图1-1 研究技术路线图</w:t>
      </w:r>
    </w:p>
    <w:p w14:paraId="06275E8A">
      <w:pPr>
        <w:pStyle w:val="4"/>
      </w:pPr>
      <w:bookmarkStart w:id="7" w:name="_Toc8946"/>
      <w:r>
        <w:t>1.3 文献综述</w:t>
      </w:r>
      <w:bookmarkEnd w:id="7"/>
    </w:p>
    <w:p w14:paraId="5742EE7A">
      <w:pPr>
        <w:pStyle w:val="5"/>
      </w:pPr>
      <w:bookmarkStart w:id="8" w:name="_Toc30530"/>
      <w:r>
        <w:t>1.3.1 业务流程再造与流程数字化研究</w:t>
      </w:r>
      <w:bookmarkEnd w:id="8"/>
    </w:p>
    <w:p w14:paraId="3D06039B">
      <w:pPr>
        <w:spacing w:after="0" w:line="360" w:lineRule="auto"/>
        <w:ind w:firstLine="480"/>
        <w:jc w:val="both"/>
      </w:pPr>
      <w:r>
        <w:rPr>
          <w:rFonts w:ascii="宋体" w:hAnsi="宋体" w:eastAsia="宋体"/>
          <w:b w:val="0"/>
          <w:sz w:val="24"/>
        </w:rPr>
        <w:t>工作流程数字化再造的理论源头是业务流程再造（BPR）。Hammer[3]提出“再造不是自动化，而是彻底重构”，主张对企业流程进行根本性反思与重新设计；Hammer和Champy[4]进一步将BPR界定为对业务流程的根本性反思和彻底性重建，并以流程为中心重构组织；Davenport和Short[5]强调信息技术与流程再设计的结合，提出以流程简化和集成为核心的实施路径；梅绍祖和Teng[6]系统介绍了流程再造的理论、方法与技术。这些经典研究奠定了“以流程而非职能为组织单元”的分析基础。在数字化条件下，BPR的方法工具不断丰富：Wang等[7]将流程再造、工作流仿真与价值流图相结合，验证了其在缩短处理周期、消除非增值活动方面的作用；Grant[8]基于多案例比较了业务分析技术在再造中的应用。国内研究方面，范良松[9]将ESIA（清除、简化、整合、自动化）方法应用于采购比价流程优化；赵南[10]构建了建设工程招标流程优化与效果评价框架；凤晓星[11]从流程优化角度讨论了招标业务管理的信息化建设。总体看，BPR与ESIA为流程再造提供了成熟的方法论，但现有研究多以制造业、工程管理或单一业务流程为对象，针对强合规、强文档的招标代理全流程、并与可运行系统相结合的再造研究仍较少。</w:t>
      </w:r>
    </w:p>
    <w:p w14:paraId="31B5FD60">
      <w:pPr>
        <w:pStyle w:val="5"/>
      </w:pPr>
      <w:bookmarkStart w:id="9" w:name="_Toc80"/>
      <w:r>
        <w:t>1.3.2 招标采购数字化的实践与研究</w:t>
      </w:r>
      <w:bookmarkEnd w:id="9"/>
    </w:p>
    <w:p w14:paraId="48067F1B">
      <w:pPr>
        <w:spacing w:after="0" w:line="360" w:lineRule="auto"/>
        <w:ind w:firstLine="480"/>
        <w:jc w:val="both"/>
      </w:pPr>
      <w:r>
        <w:rPr>
          <w:rFonts w:ascii="宋体" w:hAnsi="宋体" w:eastAsia="宋体"/>
          <w:b w:val="0"/>
          <w:sz w:val="24"/>
        </w:rPr>
        <w:t>招标采购数字化是近年来公共管理与工程管理交叉领域的研究热点。电子招投标方面，汤广城[12]研究了全流程电子招投标在EPC项目中的应用；应蕾[13]分析了交通运输工程全流程电子招投标的实践；汤骏[14]构建了公共资源交易全流程电子化服务能力评价标准。招标代理机构转型方面，杨巍[15]基于信息化系统讨论了招标代理机构的流程优化；章丽莉[16]系统梳理了招标代理行业数字化转型与智能化升级的路径；李鹏[17]分析了信息化时代招标代理行业的发展；王蒙[18]以中招国际为例总结了招标采购数字化转型经验；刘畅等[19]探讨了招标代理机构质量管理的数字化应用；严锋[20]从供应链视角提出招标采购管理优化策略；范露[21]研究了数字化时代招标采购代理业务的创新发展。政府采购与公共资源交易方面，汪涛[22]讨论了政府采购数字化转型对全国统一大市场建设的支撑作用；江顺龙[23]以广东省为例提出公共资源交易创新发展的实施路径。国际研究方面，Charnor和Quartey[24]检验了电子采购采纳对采购绩效的影响及制度质量的调节作用；Chen等[25]分析了地方政府电子采购采纳中采购复杂性与组织结构的交互作用；Ofori等[26]考察了公共部门电子采购采纳意向；Soong等[27]研究了中小企业对电子政府采购的采纳因素；Inusah等[28]系统梳理了电子招标实施的十年障碍；Klünder等[29]提出“采购4.0”并论证数字化对采购降本的作用；Matos等[30]探讨了基于BIM的施工采购数字化集成。这些研究表明，招标采购数字化的研究重心正从“交易线上化”转向“作业智能化”与“管理精细化”，但面向招标代理机构内部作业流程、且能落到可测量数据结构的实证研究仍显不足。</w:t>
      </w:r>
    </w:p>
    <w:p w14:paraId="0E4D1F54">
      <w:pPr>
        <w:pStyle w:val="5"/>
      </w:pPr>
      <w:bookmarkStart w:id="10" w:name="_Toc24602"/>
      <w:r>
        <w:t>1.3.3 智能审核、风险识别与合规研究</w:t>
      </w:r>
      <w:bookmarkEnd w:id="10"/>
    </w:p>
    <w:p w14:paraId="2C2C16B7">
      <w:pPr>
        <w:spacing w:after="0" w:line="360" w:lineRule="auto"/>
        <w:ind w:firstLine="480"/>
        <w:jc w:val="both"/>
      </w:pPr>
      <w:r>
        <w:rPr>
          <w:rFonts w:ascii="宋体" w:hAnsi="宋体" w:eastAsia="宋体"/>
          <w:b w:val="0"/>
          <w:sz w:val="24"/>
        </w:rPr>
        <w:t>随着人工智能与大数据技术进入招标采购领域，智能审核与风险识别成为新的研究增长点。围标串标识别方面，Ishii[31]利用日本建筑招标数据检验了电子采购对抑制串标的作用；García Rodríguez等[32]将机器学习应用于公共采购拍卖的合谋检测；杜忠凯[33]提出基于大数据画像的围串标智能识别与预警方法；孙佳莹[34]分析了大数据技术在围串标识别中的应用；赵宇思和王健[35]构建了工程建设项目货物招投标的围串标识别模型。合规与腐败风险方面，Decarolis和Giorgiantonio[36]基于意大利招标数据识别腐败“红旗”指标；Fazekas和Kocsis[37]提出跨国公共采购腐败风险的客观指标；Bergman[38]实证评估了公共采购审计对合规的促进作用。智能审查方面，陈斌和刘钰莹[39]研究了人工智能在政府采购文件巡检中的应用；冯仕远和李磊[40]分析了AI在招投标领域的应用与发展趋势；程建宁[41]讨论了DeepSeek等大模型在招标采购中的应用前景；景晓路和刘军[42]总结了基于“中台体系”的数智化招标管理模式；田森[43]提出以标准化数智化为核心的招标采购智慧监管体系。上述研究为平台的清标评分、围串标识别与合规检查模块提供了方法依据，但多停留在单一技术点的算法验证或经验总结，较少讨论这些能力如何嵌入机构内部流程、并与流程数据形成闭环。</w:t>
      </w:r>
    </w:p>
    <w:p w14:paraId="34F764E5">
      <w:pPr>
        <w:pStyle w:val="5"/>
      </w:pPr>
      <w:bookmarkStart w:id="11" w:name="_Toc26895"/>
      <w:r>
        <w:t>1.3.4 数字化转型的动力机制与理论框架</w:t>
      </w:r>
      <w:bookmarkEnd w:id="11"/>
    </w:p>
    <w:p w14:paraId="3271E1E6">
      <w:pPr>
        <w:spacing w:after="0" w:line="360" w:lineRule="auto"/>
        <w:ind w:firstLine="480"/>
        <w:jc w:val="both"/>
      </w:pPr>
      <w:r>
        <w:rPr>
          <w:rFonts w:ascii="宋体" w:hAnsi="宋体" w:eastAsia="宋体"/>
          <w:b w:val="0"/>
          <w:sz w:val="24"/>
        </w:rPr>
        <w:t>数字化转型为何发生、又如何影响绩效，是本文分析框架的另一支撑。理论层面，Tornatzky和Fleischer[44]提出TOE框架，从技术、组织与环境三个维度解释技术采纳；Teece等[45]提出动态能力理论，强调企业通过感知、抓取与重构适应环境变化；Awa等[46]对TOE框架进行了整合与拓展；Civelek等[47]基于资源基础观检验了动态能力对中小企业数字化转型的影响；Matarazzo等[48]从动态能力视角分析了数字化转型与客户价值创造的关系。行业层面，Duan等[49]检验了数字化转型对知识密集型服务企业创新的影响；高憬等[50]研究了大数据驱动的招标采购数智化体系；王雯[51]探讨了数字化赋能工程咨询知识库效率提升的路径；谢国前[52]分析了工程咨询类公司知识管理长效机制的构建。这些研究为本文将BPR、TOE与动态能力整合为分析框架提供了依据，但其结果变量多为企业整体绩效或创新产出，下沉到“环节—任务—单据”层面的流程证据仍然不足。</w:t>
      </w:r>
    </w:p>
    <w:p w14:paraId="013BEA17">
      <w:pPr>
        <w:pStyle w:val="5"/>
      </w:pPr>
      <w:bookmarkStart w:id="12" w:name="_Toc18857"/>
      <w:r>
        <w:t>1.3.5 研究述评与本文切入点</w:t>
      </w:r>
      <w:bookmarkEnd w:id="12"/>
    </w:p>
    <w:p w14:paraId="48D9E91A">
      <w:pPr>
        <w:spacing w:after="0" w:line="360" w:lineRule="auto"/>
        <w:ind w:firstLine="480"/>
        <w:jc w:val="both"/>
      </w:pPr>
      <w:r>
        <w:rPr>
          <w:rFonts w:ascii="宋体" w:hAnsi="宋体" w:eastAsia="宋体"/>
          <w:b w:val="0"/>
          <w:sz w:val="24"/>
        </w:rPr>
        <w:t>综上所述，现有研究在三个方面仍有拓展空间。第一，研究对象上，数字化转型研究多集中于制造业与能源行业，针对招标代理等知识密集型专业服务业的流程层面研究相对薄弱。第二，研究层次上，多数实证研究以企业整体绩效、创新产出等为结果变量，微观到“环节—任务—单据”的流程层证据不足，难以回答流程如何被再造、效果如何测量的问题。第三，研究方法上，问卷调查与二手面板数据较为常见，基于真实业务系统运行数据与系统设计参数开展测量与验证的研究较少。本文的切入点在于：以Z公司为案例，将业务流程再造理论[4]、TOE框架[44]与动态能力理论[45]整合为分析框架，下沉到流程环节识别问题与成因，设计并实现数字化工作活动平台，进而构建可量化的再造效果评价体系。</w:t>
      </w:r>
    </w:p>
    <w:p w14:paraId="3C6BD799">
      <w:pPr>
        <w:pStyle w:val="4"/>
      </w:pPr>
      <w:bookmarkStart w:id="13" w:name="_Toc6175"/>
      <w:r>
        <w:t>1.4 本章小结</w:t>
      </w:r>
      <w:bookmarkEnd w:id="13"/>
    </w:p>
    <w:p w14:paraId="2B869B46">
      <w:pPr>
        <w:spacing w:after="0" w:line="360" w:lineRule="auto"/>
        <w:ind w:firstLine="480"/>
        <w:jc w:val="both"/>
      </w:pPr>
      <w:r>
        <w:rPr>
          <w:rFonts w:ascii="宋体" w:hAnsi="宋体" w:eastAsia="宋体"/>
          <w:b w:val="0"/>
          <w:sz w:val="24"/>
        </w:rPr>
        <w:t>本章作为全文的开篇，尝试为后续分析搭建理论与逻辑框架，重点围绕研究背景、意义、目的与方法展开。首先，在数字经济与专业服务转型的双重背景下，探讨企业工作流程再造的战略必要性。数字中国建设与数据要素市场化改革为流程再造提供了制度与技术条件，而招标代理行业作为连接投资主体与市场竞争的纽带，正面临从人工经验模式向平台化、自动化模式转型的现实需求。Z公司作为行业代表性企业，其工作流程优化具有一定的典型意义。</w:t>
      </w:r>
    </w:p>
    <w:p w14:paraId="11E38994">
      <w:pPr>
        <w:spacing w:after="0" w:line="360" w:lineRule="auto"/>
        <w:ind w:firstLine="480"/>
        <w:jc w:val="both"/>
      </w:pPr>
      <w:r>
        <w:rPr>
          <w:rFonts w:ascii="宋体" w:hAnsi="宋体" w:eastAsia="宋体"/>
          <w:b w:val="0"/>
          <w:sz w:val="24"/>
        </w:rPr>
        <w:t>在此基础上，本章分别从理论、实践、行业与政策等维度，尝试阐释研究的多重意义。研究目的主要在于揭示Z公司工作流程的现状与问题，分析其成因，设计并实现数字化再造方案，并对效果进行测算与评价。</w:t>
      </w:r>
    </w:p>
    <w:p w14:paraId="0845143D">
      <w:pPr>
        <w:spacing w:after="0" w:line="360" w:lineRule="auto"/>
        <w:ind w:firstLine="480"/>
        <w:jc w:val="both"/>
      </w:pPr>
      <w:r>
        <w:rPr>
          <w:rFonts w:ascii="宋体" w:hAnsi="宋体" w:eastAsia="宋体"/>
          <w:b w:val="0"/>
          <w:sz w:val="24"/>
        </w:rPr>
        <w:t>在研究方法方面，本章确定将综合运用文献综述、案例研究、调查、设计科学研究及情景分析等方法，力求兼顾定性与定量分析，注重数据的客观性与理论支撑。</w:t>
      </w:r>
    </w:p>
    <w:p w14:paraId="0DA93D95">
      <w:pPr>
        <w:spacing w:after="0" w:line="360" w:lineRule="auto"/>
        <w:ind w:firstLine="480"/>
        <w:jc w:val="both"/>
      </w:pPr>
      <w:r>
        <w:rPr>
          <w:rFonts w:ascii="宋体" w:hAnsi="宋体" w:eastAsia="宋体"/>
          <w:b w:val="0"/>
          <w:sz w:val="24"/>
        </w:rPr>
        <w:t>总体而言，本章意在梳理出较为清晰的逻辑脉络，突出研究的时代背景与实践导向，为后续章节的展开提供必要介绍。</w:t>
      </w:r>
    </w:p>
    <w:p w14:paraId="47A47CD9">
      <w:pPr>
        <w:pStyle w:val="3"/>
        <w:pageBreakBefore/>
      </w:pPr>
      <w:bookmarkStart w:id="14" w:name="_Toc29662"/>
      <w:r>
        <w:t>第2章 概念界定及相关理论</w:t>
      </w:r>
      <w:bookmarkEnd w:id="14"/>
    </w:p>
    <w:p w14:paraId="07689274">
      <w:pPr>
        <w:pStyle w:val="4"/>
      </w:pPr>
      <w:bookmarkStart w:id="15" w:name="_Toc880"/>
      <w:r>
        <w:t>2.1 概念界定</w:t>
      </w:r>
      <w:bookmarkEnd w:id="15"/>
    </w:p>
    <w:p w14:paraId="68574F07">
      <w:pPr>
        <w:spacing w:after="0" w:line="360" w:lineRule="auto"/>
        <w:ind w:firstLine="480"/>
        <w:jc w:val="both"/>
      </w:pPr>
      <w:r>
        <w:rPr>
          <w:rFonts w:ascii="宋体" w:hAnsi="宋体" w:eastAsia="宋体"/>
          <w:b w:val="0"/>
          <w:sz w:val="24"/>
        </w:rPr>
        <w:t>本节对本研究涉及的核心概念进行系统界定，以确保研究框架的严谨性和一致性。主要概念包括工作流程数字化再造、数字化转型以及业务流程集成。这些概念的界定基于现有学术文献、政策文件和中国信息通信研究院的相关定义，并结合招标代理行业的特点进行阐释。</w:t>
      </w:r>
    </w:p>
    <w:p w14:paraId="4A44A74C">
      <w:pPr>
        <w:pStyle w:val="5"/>
      </w:pPr>
      <w:bookmarkStart w:id="16" w:name="_Toc17339"/>
      <w:r>
        <w:t>2.1.1 工作流程数字化再造</w:t>
      </w:r>
      <w:bookmarkEnd w:id="16"/>
    </w:p>
    <w:p w14:paraId="54FC2751">
      <w:pPr>
        <w:spacing w:after="0" w:line="360" w:lineRule="auto"/>
        <w:ind w:firstLine="480"/>
        <w:jc w:val="both"/>
      </w:pPr>
      <w:r>
        <w:rPr>
          <w:rFonts w:ascii="宋体" w:hAnsi="宋体" w:eastAsia="宋体"/>
          <w:b w:val="0"/>
          <w:sz w:val="24"/>
        </w:rPr>
        <w:t>工作流程数字化再造是指企业对现有业务流程进行根本性反思和彻底性重新设计，利用数字技术实现流程的自动化、集成化和智能化优化，从而显著提升运营效率、降低资源消耗并增强环境适应性。该概念源于业务流程再造理论，由Hammer和Champy[4]于1993年提出，并在数字化时代得到扩展与深化。在数字化背景下，工作流程数字化再造强调ESIA原则，通过信息技术打破传统职能壁垒，建立以客户为中心、数据驱动的流程型组织。</w:t>
      </w:r>
    </w:p>
    <w:p w14:paraId="323C7CF8">
      <w:pPr>
        <w:spacing w:after="0" w:line="360" w:lineRule="auto"/>
        <w:ind w:firstLine="480"/>
        <w:jc w:val="both"/>
      </w:pPr>
      <w:r>
        <w:rPr>
          <w:rFonts w:ascii="宋体" w:hAnsi="宋体" w:eastAsia="宋体"/>
          <w:b w:val="0"/>
          <w:sz w:val="24"/>
        </w:rPr>
        <w:t>在服务行业尤其是招标代理领域，该再造具体表现为将传统依赖人工审核、纸质文档和多部门串行处理的作业流程转变为端到端数字化流程。例如，通过工作流引擎实现项目任务自动分配、节点时限自动提醒、成果文件自动归档，通过规则引擎实现招标文件条款的自动合规校验，通过文档解析与文本比对实现清标环节的自动化辅助。数字化流程再造不仅优化内部运营，还支持外部服务创新，如全过程工程咨询与电子化招标代理服务。</w:t>
      </w:r>
    </w:p>
    <w:p w14:paraId="01B2222A">
      <w:pPr>
        <w:pStyle w:val="5"/>
      </w:pPr>
      <w:bookmarkStart w:id="17" w:name="_Toc28547"/>
      <w:r>
        <w:t>2.1.2 数字化转型</w:t>
      </w:r>
      <w:bookmarkEnd w:id="17"/>
    </w:p>
    <w:p w14:paraId="0EA9B4F3">
      <w:pPr>
        <w:spacing w:after="0" w:line="360" w:lineRule="auto"/>
        <w:ind w:firstLine="480"/>
        <w:jc w:val="both"/>
      </w:pPr>
      <w:r>
        <w:rPr>
          <w:rFonts w:ascii="宋体" w:hAnsi="宋体" w:eastAsia="宋体"/>
          <w:b w:val="0"/>
          <w:sz w:val="24"/>
        </w:rPr>
        <w:t>数字化转型是指企业深化应用新一代信息技术，激发数据要素潜能，加速业务优化、创新模式和组织变革，实现从传统运营向数据驱动型运营的全面转型升级。中国信息通信研究院将其定义为“不断深化应用新一代信息技术，打造提升信息时代生存和发展能力的过程”。在数据要素市场化背景下，数字化转型强调数字技术与业务场景的深度融合，推动企业实现高效运营与服务创新。</w:t>
      </w:r>
    </w:p>
    <w:p w14:paraId="37AD0F2E">
      <w:pPr>
        <w:spacing w:after="0" w:line="360" w:lineRule="auto"/>
        <w:ind w:firstLine="480"/>
        <w:jc w:val="both"/>
      </w:pPr>
      <w:r>
        <w:rPr>
          <w:rFonts w:ascii="宋体" w:hAnsi="宋体" w:eastAsia="宋体"/>
          <w:b w:val="0"/>
          <w:sz w:val="24"/>
        </w:rPr>
        <w:t>在招标代理领域，数字化转型表现为构建一体化作业平台、智能文档处理工具和知识决策系统，支持复杂项目场景下的文件编制、合规审查与评审辅助。例如，通过大模型技术提升文本审查的覆盖度，通过规则库实现法规条款的结构化沉淀，通过流程数据实现项目节点与服务成本的精细化管理。数字化转型的核心在于系统性变革，包括战略调整、技术基础设施升级和组织文化重塑，最终形成新型竞争优势。</w:t>
      </w:r>
    </w:p>
    <w:p w14:paraId="04B227B1">
      <w:pPr>
        <w:pStyle w:val="5"/>
      </w:pPr>
      <w:bookmarkStart w:id="18" w:name="_Toc14627"/>
      <w:r>
        <w:t>2.1.3 业务流程集成与数字化成熟度</w:t>
      </w:r>
      <w:bookmarkEnd w:id="18"/>
    </w:p>
    <w:p w14:paraId="4F42E78C">
      <w:pPr>
        <w:spacing w:after="0" w:line="360" w:lineRule="auto"/>
        <w:ind w:firstLine="480"/>
        <w:jc w:val="both"/>
      </w:pPr>
      <w:r>
        <w:rPr>
          <w:rFonts w:ascii="宋体" w:hAnsi="宋体" w:eastAsia="宋体"/>
          <w:b w:val="0"/>
          <w:sz w:val="24"/>
        </w:rPr>
        <w:t>业务流程集成是指通过统一的数据标准与接口规范，将分散在不同部门、不同系统中的业务活动连接为端到端的数据流与任务流，从而消除重复录入、减少人工搬运、提高流程可视性。集成的核心内容包括数据集成（统一数据口径与主数据）、应用集成（系统间接口与消息流转）、流程集成（跨部门任务编排与状态同步）三个层次。</w:t>
      </w:r>
    </w:p>
    <w:p w14:paraId="614D50AE">
      <w:pPr>
        <w:spacing w:after="0" w:line="360" w:lineRule="auto"/>
        <w:ind w:firstLine="480"/>
        <w:jc w:val="both"/>
      </w:pPr>
      <w:r>
        <w:rPr>
          <w:rFonts w:ascii="宋体" w:hAnsi="宋体" w:eastAsia="宋体"/>
          <w:b w:val="0"/>
          <w:sz w:val="24"/>
        </w:rPr>
        <w:t>在招标代理领域，业务流程集成程度直接决定再造效果。招标作业涉及委托受理、文件编制、公告发布、开标清标、评审定标、归档合同等多个环节，任一环节的数据断点都会造成重复劳动与等待。实践中常用集成度指标衡量这一水平，如系统间自动流转单据占比、数据一次录入率、接口成功率等。数字化成熟度则用于刻画企业在战略、流程、数据、人才等方面的整体数字化水平，是判断再造起点的参照。本文以集成度作为核心观测指标之一，原因在于它既反映技术条件，又直接对应流程效率。</w:t>
      </w:r>
    </w:p>
    <w:p w14:paraId="3FE57A34">
      <w:pPr>
        <w:pStyle w:val="4"/>
      </w:pPr>
      <w:bookmarkStart w:id="19" w:name="_Toc31882"/>
      <w:r>
        <w:t>2.2 相关理论</w:t>
      </w:r>
      <w:bookmarkEnd w:id="19"/>
    </w:p>
    <w:p w14:paraId="78EA6CB6">
      <w:pPr>
        <w:spacing w:after="0" w:line="360" w:lineRule="auto"/>
        <w:ind w:firstLine="480"/>
        <w:jc w:val="both"/>
      </w:pPr>
      <w:r>
        <w:rPr>
          <w:rFonts w:ascii="宋体" w:hAnsi="宋体" w:eastAsia="宋体"/>
          <w:b w:val="0"/>
          <w:sz w:val="24"/>
        </w:rPr>
        <w:t>本节阐述支撑本研究的理论基础，主要包括业务流程再造理论、TOE框架和动态能力理论。这些理论从不同维度解释数字化再造的机制、影响因素及效应，为Z公司案例分析提供分析框架。</w:t>
      </w:r>
    </w:p>
    <w:p w14:paraId="496791FD">
      <w:pPr>
        <w:pStyle w:val="5"/>
      </w:pPr>
      <w:bookmarkStart w:id="20" w:name="_Toc31726"/>
      <w:r>
        <w:t>2.2.1 业务流程再造理论</w:t>
      </w:r>
      <w:bookmarkEnd w:id="20"/>
    </w:p>
    <w:p w14:paraId="1A87A648">
      <w:pPr>
        <w:spacing w:after="0" w:line="360" w:lineRule="auto"/>
        <w:ind w:firstLine="480"/>
        <w:jc w:val="both"/>
      </w:pPr>
      <w:r>
        <w:rPr>
          <w:rFonts w:ascii="宋体" w:hAnsi="宋体" w:eastAsia="宋体"/>
          <w:b w:val="0"/>
          <w:sz w:val="24"/>
        </w:rPr>
        <w:t>业务流程再造理论由Hammer和Champy[4]于1993年系统提出，强调对企业业务流程进行根本性反思和彻底性重建，利用信息技术实现显著绩效提升。该理论的核心原则为ESIA，旨在打破传统职能型组织壁垒，建立以客户为中心的流程型组织。在数字化时代，该理论扩展为支持人工智能、大数据和流程自动化的再造实践，强调流程在线化和数据流动通道构建。</w:t>
      </w:r>
    </w:p>
    <w:p w14:paraId="6D1F912C">
      <w:pPr>
        <w:spacing w:after="0" w:line="360" w:lineRule="auto"/>
        <w:ind w:firstLine="480"/>
        <w:jc w:val="both"/>
      </w:pPr>
      <w:r>
        <w:rPr>
          <w:rFonts w:ascii="宋体" w:hAnsi="宋体" w:eastAsia="宋体"/>
          <w:b w:val="0"/>
          <w:sz w:val="24"/>
        </w:rPr>
        <w:t>在招标代理行业应用中，BPR指导将串行人工作业流程再造成并行数字化流程，消除重复审核、简化资料采集并自动化成果生成，从而降低资源浪费。该理论为Z公司提供操作指南，支持其在数据要素市场化背景下实现流程优化与作业模式重塑。</w:t>
      </w:r>
    </w:p>
    <w:p w14:paraId="5C74572C">
      <w:pPr>
        <w:pStyle w:val="5"/>
      </w:pPr>
      <w:bookmarkStart w:id="21" w:name="_Toc25001"/>
      <w:r>
        <w:t>2.2.2 TOE框架</w:t>
      </w:r>
      <w:bookmarkEnd w:id="21"/>
    </w:p>
    <w:p w14:paraId="2F33A6D5">
      <w:pPr>
        <w:spacing w:after="0" w:line="360" w:lineRule="auto"/>
        <w:ind w:firstLine="480"/>
        <w:jc w:val="both"/>
      </w:pPr>
      <w:r>
        <w:rPr>
          <w:rFonts w:ascii="宋体" w:hAnsi="宋体" w:eastAsia="宋体"/>
          <w:b w:val="0"/>
          <w:sz w:val="24"/>
        </w:rPr>
        <w:t>TOE框架由Tornatzky和Fleischer[44]于1990年提出，用于分析企业技术创新采纳的影响因素。该框架从技术、组织和环境三个维度进行考察：技术维度涉及基础设施和能力成熟度；组织维度包括企业规模、管理机制和文化适应性；环境维度涵盖政策压力、市场竞争和行业规范。</w:t>
      </w:r>
    </w:p>
    <w:p w14:paraId="10AB151B">
      <w:pPr>
        <w:spacing w:after="0" w:line="360" w:lineRule="auto"/>
        <w:ind w:firstLine="480"/>
        <w:jc w:val="both"/>
      </w:pPr>
      <w:r>
        <w:rPr>
          <w:rFonts w:ascii="宋体" w:hAnsi="宋体" w:eastAsia="宋体"/>
          <w:b w:val="0"/>
          <w:sz w:val="24"/>
        </w:rPr>
        <w:t>在数字化转型研究中，TOE框架广泛解释企业采纳数字技术的决策过程。例如，在行业监管趋严、电子招投标标准快速迭代的环境下，环境维度强调政策与标准驱动，技术维度关注平台与接口能力，组织维度分析员工技能与内部协调。该框架适用于Z公司，帮助识别数字化再造的内部障碍与外部机遇，并指导招标代理行业转型路径。</w:t>
      </w:r>
    </w:p>
    <w:p w14:paraId="0FABE890">
      <w:pPr>
        <w:pStyle w:val="5"/>
      </w:pPr>
      <w:bookmarkStart w:id="22" w:name="_Toc692"/>
      <w:r>
        <w:t>2.2.3 动态能力理论</w:t>
      </w:r>
      <w:bookmarkEnd w:id="22"/>
    </w:p>
    <w:p w14:paraId="613F7C56">
      <w:pPr>
        <w:spacing w:after="0" w:line="360" w:lineRule="auto"/>
        <w:ind w:firstLine="480"/>
        <w:jc w:val="both"/>
      </w:pPr>
      <w:r>
        <w:rPr>
          <w:rFonts w:ascii="宋体" w:hAnsi="宋体" w:eastAsia="宋体"/>
          <w:b w:val="0"/>
          <w:sz w:val="24"/>
        </w:rPr>
        <w:t>动态能力理论由Teece等[45]于1997年提出，强调企业在动态环境中通过感知机会、抓住机会和转型重构资源的能力，以维持可持续竞争优势。该理论解释企业如何整合内外部资源应对变革，包括组织过程协调、学习和重构。</w:t>
      </w:r>
    </w:p>
    <w:p w14:paraId="5D3BBFDF">
      <w:pPr>
        <w:spacing w:after="0" w:line="360" w:lineRule="auto"/>
        <w:ind w:firstLine="480"/>
        <w:jc w:val="both"/>
      </w:pPr>
      <w:r>
        <w:rPr>
          <w:rFonts w:ascii="宋体" w:hAnsi="宋体" w:eastAsia="宋体"/>
          <w:b w:val="0"/>
          <w:sz w:val="24"/>
        </w:rPr>
        <w:t>在转型语境中，动态能力支持企业将数字化技术转化为效率优势，例如通过感知数据机会、抓住创新投资并重构流程实现高效运营。该理论与Z公司智能作业平台的建设相契合，阐释其如何构建持续适应环境的动态机制，支持长期竞争优势形成。TOE维度与动态能力的映射关系如图2-2所示。</w:t>
      </w:r>
    </w:p>
    <w:p w14:paraId="56EF3095">
      <w:pPr>
        <w:spacing w:after="0" w:line="360" w:lineRule="auto"/>
        <w:ind w:firstLine="480"/>
        <w:jc w:val="both"/>
      </w:pPr>
      <w:r>
        <w:rPr>
          <w:rFonts w:ascii="宋体" w:hAnsi="宋体" w:eastAsia="宋体"/>
          <w:b w:val="0"/>
          <w:sz w:val="24"/>
        </w:rPr>
        <w:t>这些理论相互补充：BPR提供具体再造方法，TOE框架分析采纳条件，动态能力理论解释长期适应与效率提升。整合应用这些理论，可构建Z公司数字化再造的完整分析框架。整合分析框架如图2-1所示。</w:t>
      </w:r>
    </w:p>
    <w:p w14:paraId="2CE1D466">
      <w:pPr>
        <w:spacing w:before="160" w:after="60" w:line="240" w:lineRule="auto"/>
        <w:ind w:firstLine="0"/>
        <w:jc w:val="center"/>
      </w:pPr>
      <w:r>
        <w:drawing>
          <wp:inline distT="0" distB="0" distL="114300" distR="114300">
            <wp:extent cx="5219700" cy="3533775"/>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20000" cy="3534221"/>
                    </a:xfrm>
                    <a:prstGeom prst="rect">
                      <a:avLst/>
                    </a:prstGeom>
                  </pic:spPr>
                </pic:pic>
              </a:graphicData>
            </a:graphic>
          </wp:inline>
        </w:drawing>
      </w:r>
    </w:p>
    <w:p w14:paraId="154A511E">
      <w:pPr>
        <w:spacing w:after="160" w:line="240" w:lineRule="auto"/>
        <w:ind w:firstLine="0"/>
        <w:jc w:val="center"/>
      </w:pPr>
      <w:r>
        <w:rPr>
          <w:rFonts w:ascii="宋体" w:hAnsi="宋体" w:eastAsia="宋体"/>
          <w:b/>
          <w:sz w:val="21"/>
        </w:rPr>
        <w:t>图2-1 业务流程再造—TOE—动态能力整合分析框架</w:t>
      </w:r>
    </w:p>
    <w:p w14:paraId="0E2BE5DC">
      <w:pPr>
        <w:spacing w:after="200" w:line="240" w:lineRule="auto"/>
        <w:ind w:firstLine="0"/>
        <w:jc w:val="center"/>
      </w:pPr>
      <w:r>
        <w:rPr>
          <w:rFonts w:ascii="宋体" w:hAnsi="宋体" w:eastAsia="宋体"/>
          <w:b w:val="0"/>
          <w:color w:val="595959"/>
          <w:sz w:val="17"/>
        </w:rPr>
        <w:t>注：据第2章理论阐述与第3—5章分析逻辑整理绘制。</w:t>
      </w:r>
    </w:p>
    <w:p w14:paraId="3D842917">
      <w:pPr>
        <w:spacing w:before="160" w:after="60" w:line="240" w:lineRule="auto"/>
        <w:ind w:firstLine="0"/>
        <w:jc w:val="center"/>
      </w:pPr>
      <w:r>
        <w:drawing>
          <wp:inline distT="0" distB="0" distL="114300" distR="114300">
            <wp:extent cx="5399405" cy="2658745"/>
            <wp:effectExtent l="0" t="0" r="1079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2659108"/>
                    </a:xfrm>
                    <a:prstGeom prst="rect">
                      <a:avLst/>
                    </a:prstGeom>
                  </pic:spPr>
                </pic:pic>
              </a:graphicData>
            </a:graphic>
          </wp:inline>
        </w:drawing>
      </w:r>
    </w:p>
    <w:p w14:paraId="51137273">
      <w:pPr>
        <w:spacing w:after="160" w:line="240" w:lineRule="auto"/>
        <w:ind w:firstLine="0"/>
        <w:jc w:val="center"/>
      </w:pPr>
      <w:r>
        <w:rPr>
          <w:rFonts w:ascii="宋体" w:hAnsi="宋体" w:eastAsia="宋体"/>
          <w:b/>
          <w:sz w:val="21"/>
        </w:rPr>
        <w:t>图2-2 TOE维度与动态能力在问题、成因、对策及观测指标上的映射矩阵</w:t>
      </w:r>
    </w:p>
    <w:p w14:paraId="20AE8B4D">
      <w:pPr>
        <w:spacing w:after="200" w:line="240" w:lineRule="auto"/>
        <w:ind w:firstLine="0"/>
        <w:jc w:val="center"/>
      </w:pPr>
      <w:r>
        <w:rPr>
          <w:rFonts w:ascii="宋体" w:hAnsi="宋体" w:eastAsia="宋体"/>
          <w:b w:val="0"/>
          <w:color w:val="595959"/>
          <w:sz w:val="17"/>
        </w:rPr>
        <w:t>注：横读为同一维度在诊断、归因、对策与评价中的对应关系。</w:t>
      </w:r>
    </w:p>
    <w:p w14:paraId="19E1343C">
      <w:pPr>
        <w:pStyle w:val="4"/>
      </w:pPr>
      <w:bookmarkStart w:id="23" w:name="_Toc28431"/>
      <w:r>
        <w:t>2.3 本章小结</w:t>
      </w:r>
      <w:bookmarkEnd w:id="23"/>
    </w:p>
    <w:p w14:paraId="4F0C4BE0">
      <w:pPr>
        <w:spacing w:after="0" w:line="360" w:lineRule="auto"/>
        <w:ind w:firstLine="480"/>
        <w:jc w:val="both"/>
      </w:pPr>
      <w:r>
        <w:rPr>
          <w:rFonts w:ascii="宋体" w:hAnsi="宋体" w:eastAsia="宋体"/>
          <w:b w:val="0"/>
          <w:sz w:val="24"/>
        </w:rPr>
        <w:t>本章通过对核心概念的界定与相关理论的梳理，尝试为全文研究提供必要的理论支撑。首先，对核心概念进行分层界定：工作流程数字化再造侧重于利用数字技术重构业务流程，实现自动化与集成，其关键在于打破传统职能边界、构建数据驱动的流程通道；数字化转型体现为深化新一代信息技术应用、激发数据要素潜能的系统变革，涵盖战略调整、组织协同与技术融合等多重维度；业务流程集成则刻画了跨系统、跨部门的数据与任务连接程度。三者相互关联，共同构成研究的逻辑起点所在，并结合招标代理行业特点加以具体阐释。</w:t>
      </w:r>
    </w:p>
    <w:p w14:paraId="3255967F">
      <w:pPr>
        <w:spacing w:after="0" w:line="360" w:lineRule="auto"/>
        <w:ind w:firstLine="480"/>
        <w:jc w:val="both"/>
      </w:pPr>
      <w:r>
        <w:rPr>
          <w:rFonts w:ascii="宋体" w:hAnsi="宋体" w:eastAsia="宋体"/>
          <w:b w:val="0"/>
          <w:sz w:val="24"/>
        </w:rPr>
        <w:t>其次，本章梳理了三项支撑理论：业务流程再造理论提供ESIA原则以指导流程优化，强调信息技术对流程重构的赋能作用；TOE框架从技术、组织、环境三个维度分析转型的影响因素，有助于识别企业内部条件与外部情境的交互关系；动态能力理论关注感知、把握与转型能力在动态环境中的作用，揭示企业持续调整资源配置的机制。各理论相互补充，形成数字化再造的整合分析框架，为后续现状诊断、成因分析与对策设计提供理论参照。</w:t>
      </w:r>
    </w:p>
    <w:p w14:paraId="056EA857">
      <w:pPr>
        <w:pStyle w:val="3"/>
        <w:pageBreakBefore/>
      </w:pPr>
      <w:bookmarkStart w:id="24" w:name="_Toc10488"/>
      <w:r>
        <w:t>第3章 Z公司工作流程的现状与存在问题</w:t>
      </w:r>
      <w:bookmarkEnd w:id="24"/>
    </w:p>
    <w:p w14:paraId="1B5A948E">
      <w:pPr>
        <w:pStyle w:val="4"/>
      </w:pPr>
      <w:bookmarkStart w:id="25" w:name="_Toc30208"/>
      <w:r>
        <w:t>3.1 Z公司工作流程的现状</w:t>
      </w:r>
      <w:bookmarkEnd w:id="25"/>
    </w:p>
    <w:p w14:paraId="0681C908">
      <w:pPr>
        <w:spacing w:after="0" w:line="360" w:lineRule="auto"/>
        <w:ind w:firstLine="480"/>
        <w:jc w:val="both"/>
      </w:pPr>
      <w:r>
        <w:rPr>
          <w:rFonts w:ascii="宋体" w:hAnsi="宋体" w:eastAsia="宋体"/>
          <w:b w:val="0"/>
          <w:sz w:val="24"/>
        </w:rPr>
        <w:t>本节通过系统分析Z公司当前工作流程的现状，为后续问题诊断和优化建议提供事实基础。Z公司作为招标代理行业的代表性机构，其工作流程涉及招标代理、造价咨询与工程咨询等业务。这些流程在数字化转型浪潮中，正处于传统模式向平台化、智能化转型的过渡阶段。现状分析基于多源数据，揭示了公司运营的实际状况，包括数字化工具的应用程度以及整体效率水平。据公司提供的近一年汇总数据（经聚合与四舍五入处理），公司年完成招标代理项目约570个，平均流程周期约20天，这一规模与周期构成后续分析的基线。通过本节的阐述，可以清晰看出Z公司在流程管理方面的优势与不足，为数字化再造路径的探讨奠定基础。</w:t>
      </w:r>
    </w:p>
    <w:p w14:paraId="67CA425B">
      <w:pPr>
        <w:spacing w:after="0" w:line="360" w:lineRule="auto"/>
        <w:ind w:firstLine="480"/>
        <w:jc w:val="both"/>
      </w:pPr>
      <w:r>
        <w:rPr>
          <w:rFonts w:ascii="宋体" w:hAnsi="宋体" w:eastAsia="宋体"/>
          <w:b w:val="0"/>
          <w:sz w:val="24"/>
        </w:rPr>
        <w:t>Z公司的工作流程主要围绕招标代理业务展开，涵盖从委托受理到档案归档的全链条。根据公司内部制度与系统设计文档，典型流程包括项目受理与立项、招标文件编制、公告发布与答疑、开标与清标、评审与定标、归档与合同签订等环节（六阶段流程与瓶颈环节如图3-1所示）。在数字化方面，公司已于2025年2月上线智能作业平台，具备文档解析、清标辅助、合规检查与知识库检索能力，并于2026年完成代码重构与仓库归档，但平台与既有业务系统、财务系统、档案系统之间尚未完全打通，部分环节仍依赖人工台账与线下流转。在工作流程规范方面，公司虽已建立标准化作业指引与三级复核制度，但节点时限的量化管控与跨部门协同仍不完善。这反映出Z公司在适应新形势时的挑战与机遇。</w:t>
      </w:r>
    </w:p>
    <w:p w14:paraId="4E15A8BE">
      <w:pPr>
        <w:spacing w:before="160" w:after="60" w:line="240" w:lineRule="auto"/>
        <w:ind w:firstLine="0"/>
        <w:jc w:val="center"/>
      </w:pPr>
      <w:r>
        <w:drawing>
          <wp:inline distT="0" distB="0" distL="114300" distR="114300">
            <wp:extent cx="5399405" cy="2233295"/>
            <wp:effectExtent l="0" t="0" r="1079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00000" cy="2233532"/>
                    </a:xfrm>
                    <a:prstGeom prst="rect">
                      <a:avLst/>
                    </a:prstGeom>
                  </pic:spPr>
                </pic:pic>
              </a:graphicData>
            </a:graphic>
          </wp:inline>
        </w:drawing>
      </w:r>
    </w:p>
    <w:p w14:paraId="0B8E1038">
      <w:pPr>
        <w:spacing w:after="160" w:line="240" w:lineRule="auto"/>
        <w:ind w:firstLine="0"/>
        <w:jc w:val="center"/>
      </w:pPr>
      <w:r>
        <w:rPr>
          <w:rFonts w:ascii="宋体" w:hAnsi="宋体" w:eastAsia="宋体"/>
          <w:b/>
          <w:sz w:val="21"/>
        </w:rPr>
        <w:t>图3-1 招标代理六阶段作业流程与瓶颈环节</w:t>
      </w:r>
    </w:p>
    <w:p w14:paraId="299BE353">
      <w:pPr>
        <w:spacing w:after="200" w:line="240" w:lineRule="auto"/>
        <w:ind w:firstLine="0"/>
        <w:jc w:val="center"/>
      </w:pPr>
      <w:r>
        <w:rPr>
          <w:rFonts w:ascii="宋体" w:hAnsi="宋体" w:eastAsia="宋体"/>
          <w:b w:val="0"/>
          <w:color w:val="595959"/>
          <w:sz w:val="17"/>
        </w:rPr>
        <w:t>注：据公司内部制度与系统设计文档绘制，问题标注来自问卷调查结果。</w:t>
      </w:r>
    </w:p>
    <w:p w14:paraId="69849A73">
      <w:pPr>
        <w:pStyle w:val="5"/>
      </w:pPr>
      <w:bookmarkStart w:id="26" w:name="_Toc30611"/>
      <w:r>
        <w:t>3.1.1 数据来源与处理</w:t>
      </w:r>
      <w:bookmarkEnd w:id="26"/>
    </w:p>
    <w:p w14:paraId="2CAEC7F0">
      <w:pPr>
        <w:spacing w:after="0" w:line="360" w:lineRule="auto"/>
        <w:ind w:firstLine="480"/>
        <w:jc w:val="both"/>
      </w:pPr>
      <w:r>
        <w:rPr>
          <w:rFonts w:ascii="宋体" w:hAnsi="宋体" w:eastAsia="宋体"/>
          <w:b w:val="0"/>
          <w:sz w:val="24"/>
        </w:rPr>
        <w:t>数据来源的多样性和可靠性是本研究现状分析的关键。为确保数据的客观性和全面性，本节采用多渠道数据采集策略，包括一手数据和二手数据。具体而言，一手数据主要通过问卷调查和半结构化访谈获取；二手数据则来源于公司内部制度文件、系统设计文档与数据库表结构、公开报告和行业资料。这些数据覆盖了Z公司工作流程的多个维度，如数字化工具使用、节点时限执行、员工参与度和资源利用效率。通过多源数据的交叉验证，可以减少单一来源的偏差，提高分析的准确性。</w:t>
      </w:r>
    </w:p>
    <w:p w14:paraId="772AF4A9">
      <w:pPr>
        <w:spacing w:after="0" w:line="360" w:lineRule="auto"/>
        <w:ind w:firstLine="480"/>
        <w:jc w:val="both"/>
      </w:pPr>
      <w:r>
        <w:rPr>
          <w:rFonts w:ascii="宋体" w:hAnsi="宋体" w:eastAsia="宋体"/>
          <w:b w:val="0"/>
          <w:sz w:val="24"/>
        </w:rPr>
        <w:t>首先，问卷调查是主要一手数据来源。本研究设计了针对Z公司员工的在线问卷，共包含25个问题，涵盖基本信息、工作流程现状、数字化应用、员工能力与问题感知等方面。问卷采用Likert五级量表和开放式问题相结合的形式，以量化员工对现状的评价并捕捉定性洞见。调查对象为Z公司总部及分支机构的员工，样本选取采用分层随机抽样法，按部门和职位比例分配，确保样本的结构化代表性。调查于2025年10月至11月进行，通过公司内部OA系统和微信平台发放，共发放200份问卷，回收有效问卷185份，有效回收率为92.5%（185/200）。无效问卷主要因缺失关键问题或逻辑不一致而剔除。这一数据来源直接反映了员工一线体验，具有较高的真实性和即时性。</w:t>
      </w:r>
    </w:p>
    <w:p w14:paraId="6004F1C2">
      <w:pPr>
        <w:spacing w:after="0" w:line="360" w:lineRule="auto"/>
        <w:ind w:firstLine="480"/>
        <w:jc w:val="both"/>
      </w:pPr>
      <w:r>
        <w:rPr>
          <w:rFonts w:ascii="宋体" w:hAnsi="宋体" w:eastAsia="宋体"/>
          <w:b w:val="0"/>
          <w:sz w:val="24"/>
        </w:rPr>
        <w:t>其次，半结构化访谈补充了问卷的定性深度。访谈对象包括10名中高层管理人员和资深项目经理，选取标准为工作经验超过10年或参与过数字化项目，以确保访谈者的权威性。访谈时长平均45分钟，焦点问题包括“当前招标业务流程的数字化程度如何？”“文件编制与清标环节的耗时分布是怎样的？”等。访谈采用线上视频形式进行，录音经转录后进行主题编码分析，最终提取了15个核心主题。访谈数据增强了问卷的解释力，避免了单纯量化数据的局限，例如通过访谈揭示了问卷中高分项背后的潜在原因，如工具使用率高但流程整体效率提升有限的矛盾。</w:t>
      </w:r>
    </w:p>
    <w:p w14:paraId="0B6C14FB">
      <w:pPr>
        <w:spacing w:after="0" w:line="360" w:lineRule="auto"/>
        <w:ind w:firstLine="480"/>
        <w:jc w:val="both"/>
      </w:pPr>
      <w:r>
        <w:rPr>
          <w:rFonts w:ascii="宋体" w:hAnsi="宋体" w:eastAsia="宋体"/>
          <w:b w:val="0"/>
          <w:sz w:val="24"/>
        </w:rPr>
        <w:t>二手数据方面，主要来源于公司官网、内部制度文件、平台系统设计文档与数据库表结构说明。系统资料显示，平台采用分层架构设计，包含项目、时间轴、里程碑、环节、待办等流程对象，并以项目文件版本与操作审计记录留存过程痕迹。这些资料帮助将问卷与访谈获得的主观感受，与系统层面的客观设计相互印证。</w:t>
      </w:r>
    </w:p>
    <w:p w14:paraId="54774671">
      <w:pPr>
        <w:spacing w:after="0" w:line="360" w:lineRule="auto"/>
        <w:ind w:firstLine="480"/>
        <w:jc w:val="both"/>
      </w:pPr>
      <w:r>
        <w:rPr>
          <w:rFonts w:ascii="宋体" w:hAnsi="宋体" w:eastAsia="宋体"/>
          <w:b w:val="0"/>
          <w:sz w:val="24"/>
        </w:rPr>
        <w:t>数据处理过程强调科学性和严谨性，确保分析结果的可重复性和可靠性。对于问卷数据，采用描述性统计与分组比较。具体步骤：数据清洗，剔除缺失值和异常值，确保有效样本完整；对量表题项计算均值与标准差，用于刻画问题的严重程度；按部门、地域、学历与工作年限分组比较均值，识别差异方向；再结合访谈文本的主题编码结果进行交叉验证。受问卷原始数据可得性限制，本文仅报告汇总后的描述性统计结果，不报告需要原始数据的信度系数、因子分析等推断统计量；相关结论以描述性统计与定性证据相互印证的方式呈现。</w:t>
      </w:r>
    </w:p>
    <w:p w14:paraId="2715C374">
      <w:pPr>
        <w:spacing w:after="0" w:line="360" w:lineRule="auto"/>
        <w:ind w:firstLine="480"/>
        <w:jc w:val="both"/>
      </w:pPr>
      <w:r>
        <w:rPr>
          <w:rFonts w:ascii="宋体" w:hAnsi="宋体" w:eastAsia="宋体"/>
          <w:b w:val="0"/>
          <w:sz w:val="24"/>
        </w:rPr>
        <w:t>访谈数据的处理采用内容分析法。首先，将转录文本进行节点编码，生成高频词云；其次，通过交叉分析与问卷结果比对，例如访谈中提到的“数据孤岛”问题与问卷中集成度低的分数相呼应；最后，定性主题与定量数据整合，形成混合方法分析框架。此外，为处理潜在偏差，本研究采用三角验证法：问卷、访谈和系统资料相互印证，例如问卷显示数字化工具使用率68.6%，访谈确认了工具类型，系统设计文档提供了模块与数据对象的细节。</w:t>
      </w:r>
    </w:p>
    <w:p w14:paraId="3A33950D">
      <w:pPr>
        <w:pStyle w:val="5"/>
      </w:pPr>
      <w:bookmarkStart w:id="27" w:name="_Toc28168"/>
      <w:r>
        <w:t>3.1.2 调查结果</w:t>
      </w:r>
      <w:bookmarkEnd w:id="27"/>
    </w:p>
    <w:p w14:paraId="7AF69C6B">
      <w:pPr>
        <w:spacing w:after="0" w:line="360" w:lineRule="auto"/>
        <w:ind w:firstLine="480"/>
        <w:jc w:val="both"/>
      </w:pPr>
      <w:r>
        <w:rPr>
          <w:rFonts w:ascii="宋体" w:hAnsi="宋体" w:eastAsia="宋体"/>
          <w:b w:val="0"/>
          <w:sz w:val="24"/>
        </w:rPr>
        <w:t>本小节基于上述数据来源与处理，呈现调查结果。结果分为两部分：首先介绍调查样本基本信息，以展示样本代表性；其次，详细阐述调查现状情况，包括工作流程的整体框架、数字化应用程度、流程衔接与资源利用效率。通过这些结果，可以直观看出Z公司工作流程的积极方面，如初步数字化转型的成效，同时也暴露潜在问题，为后续章节铺垫。</w:t>
      </w:r>
    </w:p>
    <w:p w14:paraId="3DA188FE">
      <w:pPr>
        <w:pStyle w:val="6"/>
      </w:pPr>
      <w:r>
        <w:t>1）调查样本基本信息</w:t>
      </w:r>
    </w:p>
    <w:p w14:paraId="092D82BA">
      <w:pPr>
        <w:spacing w:after="0" w:line="360" w:lineRule="auto"/>
        <w:ind w:firstLine="480"/>
        <w:jc w:val="both"/>
      </w:pPr>
      <w:r>
        <w:rPr>
          <w:rFonts w:ascii="宋体" w:hAnsi="宋体" w:eastAsia="宋体"/>
          <w:b w:val="0"/>
          <w:sz w:val="24"/>
        </w:rPr>
        <w:t>调查样本的基本信息是评估结果可靠性的基础。本次问卷调查的有效样本为185人，覆盖Z公司不同层级和部门，确保了样本的多样性和代表性。样本分布体现了公司员工结构的典型特征：专业化、项目导向强、总部与分支机构并存。样本基本信息如表3-1至表3-7所示，并辅以简要说明。这些表格基于问卷统计结果编制，占比精确到小数点后一位。</w:t>
      </w:r>
    </w:p>
    <w:p w14:paraId="51C079FF">
      <w:pPr>
        <w:spacing w:before="120" w:after="40"/>
        <w:ind w:firstLine="0"/>
        <w:jc w:val="center"/>
      </w:pPr>
      <w:r>
        <w:rPr>
          <w:rFonts w:ascii="宋体" w:hAnsi="宋体" w:eastAsia="宋体"/>
          <w:b/>
          <w:sz w:val="21"/>
        </w:rPr>
        <w:t>表3-1 调查样本性别分布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3AF87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473DFDE8">
            <w:pPr>
              <w:spacing w:before="40" w:after="40" w:line="240" w:lineRule="auto"/>
              <w:ind w:firstLine="0"/>
              <w:jc w:val="center"/>
            </w:pPr>
            <w:r>
              <w:rPr>
                <w:rFonts w:ascii="宋体" w:hAnsi="宋体" w:eastAsia="宋体"/>
                <w:b/>
                <w:sz w:val="21"/>
              </w:rPr>
              <w:t>性别</w:t>
            </w:r>
          </w:p>
        </w:tc>
        <w:tc>
          <w:tcPr>
            <w:tcW w:w="2835" w:type="dxa"/>
            <w:tcBorders>
              <w:top w:val="single" w:color="000000" w:sz="12" w:space="0"/>
              <w:bottom w:val="single" w:color="000000" w:sz="6" w:space="0"/>
            </w:tcBorders>
          </w:tcPr>
          <w:p w14:paraId="42F96372">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58F836EB">
            <w:pPr>
              <w:spacing w:before="40" w:after="40" w:line="240" w:lineRule="auto"/>
              <w:ind w:firstLine="0"/>
              <w:jc w:val="center"/>
            </w:pPr>
            <w:r>
              <w:rPr>
                <w:rFonts w:ascii="宋体" w:hAnsi="宋体" w:eastAsia="宋体"/>
                <w:b/>
                <w:sz w:val="21"/>
              </w:rPr>
              <w:t>占比(%)</w:t>
            </w:r>
          </w:p>
        </w:tc>
      </w:tr>
      <w:tr w14:paraId="66A5B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735E1878">
            <w:pPr>
              <w:spacing w:before="40" w:after="40" w:line="240" w:lineRule="auto"/>
              <w:ind w:firstLine="0"/>
              <w:jc w:val="center"/>
            </w:pPr>
            <w:r>
              <w:rPr>
                <w:rFonts w:ascii="宋体" w:hAnsi="宋体" w:eastAsia="宋体"/>
                <w:b w:val="0"/>
                <w:sz w:val="21"/>
              </w:rPr>
              <w:t>男性</w:t>
            </w:r>
          </w:p>
        </w:tc>
        <w:tc>
          <w:tcPr>
            <w:tcW w:w="2835" w:type="dxa"/>
          </w:tcPr>
          <w:p w14:paraId="4EB0E92F">
            <w:pPr>
              <w:spacing w:before="40" w:after="40" w:line="240" w:lineRule="auto"/>
              <w:ind w:firstLine="0"/>
              <w:jc w:val="center"/>
            </w:pPr>
            <w:r>
              <w:rPr>
                <w:rFonts w:ascii="宋体" w:hAnsi="宋体" w:eastAsia="宋体"/>
                <w:b w:val="0"/>
                <w:sz w:val="21"/>
              </w:rPr>
              <w:t>105</w:t>
            </w:r>
          </w:p>
        </w:tc>
        <w:tc>
          <w:tcPr>
            <w:tcW w:w="2835" w:type="dxa"/>
          </w:tcPr>
          <w:p w14:paraId="71226D09">
            <w:pPr>
              <w:spacing w:before="40" w:after="40" w:line="240" w:lineRule="auto"/>
              <w:ind w:firstLine="0"/>
              <w:jc w:val="center"/>
            </w:pPr>
            <w:r>
              <w:rPr>
                <w:rFonts w:ascii="宋体" w:hAnsi="宋体" w:eastAsia="宋体"/>
                <w:b w:val="0"/>
                <w:sz w:val="21"/>
              </w:rPr>
              <w:t>56.8</w:t>
            </w:r>
          </w:p>
        </w:tc>
      </w:tr>
      <w:tr w14:paraId="4CB17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5446CCA4">
            <w:pPr>
              <w:spacing w:before="40" w:after="40" w:line="240" w:lineRule="auto"/>
              <w:ind w:firstLine="0"/>
              <w:jc w:val="center"/>
            </w:pPr>
            <w:r>
              <w:rPr>
                <w:rFonts w:ascii="宋体" w:hAnsi="宋体" w:eastAsia="宋体"/>
                <w:b w:val="0"/>
                <w:sz w:val="21"/>
              </w:rPr>
              <w:t>女性</w:t>
            </w:r>
          </w:p>
        </w:tc>
        <w:tc>
          <w:tcPr>
            <w:tcW w:w="2835" w:type="dxa"/>
            <w:tcBorders>
              <w:bottom w:val="single" w:color="000000" w:sz="12" w:space="0"/>
            </w:tcBorders>
          </w:tcPr>
          <w:p w14:paraId="22ECE054">
            <w:pPr>
              <w:spacing w:before="40" w:after="40" w:line="240" w:lineRule="auto"/>
              <w:ind w:firstLine="0"/>
              <w:jc w:val="center"/>
            </w:pPr>
            <w:r>
              <w:rPr>
                <w:rFonts w:ascii="宋体" w:hAnsi="宋体" w:eastAsia="宋体"/>
                <w:b w:val="0"/>
                <w:sz w:val="21"/>
              </w:rPr>
              <w:t>80</w:t>
            </w:r>
          </w:p>
        </w:tc>
        <w:tc>
          <w:tcPr>
            <w:tcW w:w="2835" w:type="dxa"/>
            <w:tcBorders>
              <w:bottom w:val="single" w:color="000000" w:sz="12" w:space="0"/>
            </w:tcBorders>
          </w:tcPr>
          <w:p w14:paraId="1AB45860">
            <w:pPr>
              <w:spacing w:before="40" w:after="40" w:line="240" w:lineRule="auto"/>
              <w:ind w:firstLine="0"/>
              <w:jc w:val="center"/>
            </w:pPr>
            <w:r>
              <w:rPr>
                <w:rFonts w:ascii="宋体" w:hAnsi="宋体" w:eastAsia="宋体"/>
                <w:b w:val="0"/>
                <w:sz w:val="21"/>
              </w:rPr>
              <w:t>43.2</w:t>
            </w:r>
          </w:p>
        </w:tc>
      </w:tr>
    </w:tbl>
    <w:p w14:paraId="7B898DB6">
      <w:pPr>
        <w:spacing w:after="0"/>
        <w:ind w:firstLine="0"/>
      </w:pPr>
    </w:p>
    <w:p w14:paraId="24811AAD">
      <w:pPr>
        <w:spacing w:after="0" w:line="360" w:lineRule="auto"/>
        <w:ind w:firstLine="480"/>
        <w:jc w:val="both"/>
      </w:pPr>
      <w:r>
        <w:rPr>
          <w:rFonts w:ascii="宋体" w:hAnsi="宋体" w:eastAsia="宋体"/>
          <w:b w:val="0"/>
          <w:sz w:val="24"/>
        </w:rPr>
        <w:t>该表显示样本性别分布较为均衡，男性略多于女性，这与招标代理行业从业人员特征基本一致。</w:t>
      </w:r>
    </w:p>
    <w:p w14:paraId="0E785A79">
      <w:pPr>
        <w:spacing w:before="120" w:after="40"/>
        <w:ind w:firstLine="0"/>
        <w:jc w:val="center"/>
      </w:pPr>
      <w:r>
        <w:rPr>
          <w:rFonts w:ascii="宋体" w:hAnsi="宋体" w:eastAsia="宋体"/>
          <w:b/>
          <w:sz w:val="21"/>
        </w:rPr>
        <w:t>表3-2 调查样本年龄分布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6EF5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76F376FE">
            <w:pPr>
              <w:spacing w:before="40" w:after="40" w:line="240" w:lineRule="auto"/>
              <w:ind w:firstLine="0"/>
              <w:jc w:val="center"/>
            </w:pPr>
            <w:r>
              <w:rPr>
                <w:rFonts w:ascii="宋体" w:hAnsi="宋体" w:eastAsia="宋体"/>
                <w:b/>
                <w:sz w:val="21"/>
              </w:rPr>
              <w:t>年龄段</w:t>
            </w:r>
          </w:p>
        </w:tc>
        <w:tc>
          <w:tcPr>
            <w:tcW w:w="2835" w:type="dxa"/>
            <w:tcBorders>
              <w:top w:val="single" w:color="000000" w:sz="12" w:space="0"/>
              <w:bottom w:val="single" w:color="000000" w:sz="6" w:space="0"/>
            </w:tcBorders>
          </w:tcPr>
          <w:p w14:paraId="112F765E">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7AF56B22">
            <w:pPr>
              <w:spacing w:before="40" w:after="40" w:line="240" w:lineRule="auto"/>
              <w:ind w:firstLine="0"/>
              <w:jc w:val="center"/>
            </w:pPr>
            <w:r>
              <w:rPr>
                <w:rFonts w:ascii="宋体" w:hAnsi="宋体" w:eastAsia="宋体"/>
                <w:b/>
                <w:sz w:val="21"/>
              </w:rPr>
              <w:t>占比(%)</w:t>
            </w:r>
          </w:p>
        </w:tc>
      </w:tr>
      <w:tr w14:paraId="6ABD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6A85EE1">
            <w:pPr>
              <w:spacing w:before="40" w:after="40" w:line="240" w:lineRule="auto"/>
              <w:ind w:firstLine="0"/>
              <w:jc w:val="center"/>
            </w:pPr>
            <w:r>
              <w:rPr>
                <w:rFonts w:ascii="宋体" w:hAnsi="宋体" w:eastAsia="宋体"/>
                <w:b w:val="0"/>
                <w:sz w:val="21"/>
              </w:rPr>
              <w:t>30岁以下</w:t>
            </w:r>
          </w:p>
        </w:tc>
        <w:tc>
          <w:tcPr>
            <w:tcW w:w="2835" w:type="dxa"/>
          </w:tcPr>
          <w:p w14:paraId="6848D746">
            <w:pPr>
              <w:spacing w:before="40" w:after="40" w:line="240" w:lineRule="auto"/>
              <w:ind w:firstLine="0"/>
              <w:jc w:val="center"/>
            </w:pPr>
            <w:r>
              <w:rPr>
                <w:rFonts w:ascii="宋体" w:hAnsi="宋体" w:eastAsia="宋体"/>
                <w:b w:val="0"/>
                <w:sz w:val="21"/>
              </w:rPr>
              <w:t>53</w:t>
            </w:r>
          </w:p>
        </w:tc>
        <w:tc>
          <w:tcPr>
            <w:tcW w:w="2835" w:type="dxa"/>
          </w:tcPr>
          <w:p w14:paraId="30131038">
            <w:pPr>
              <w:spacing w:before="40" w:after="40" w:line="240" w:lineRule="auto"/>
              <w:ind w:firstLine="0"/>
              <w:jc w:val="center"/>
            </w:pPr>
            <w:r>
              <w:rPr>
                <w:rFonts w:ascii="宋体" w:hAnsi="宋体" w:eastAsia="宋体"/>
                <w:b w:val="0"/>
                <w:sz w:val="21"/>
              </w:rPr>
              <w:t>28.6</w:t>
            </w:r>
          </w:p>
        </w:tc>
      </w:tr>
      <w:tr w14:paraId="4F516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39EDE65">
            <w:pPr>
              <w:spacing w:before="40" w:after="40" w:line="240" w:lineRule="auto"/>
              <w:ind w:firstLine="0"/>
              <w:jc w:val="center"/>
            </w:pPr>
            <w:r>
              <w:rPr>
                <w:rFonts w:ascii="宋体" w:hAnsi="宋体" w:eastAsia="宋体"/>
                <w:b w:val="0"/>
                <w:sz w:val="21"/>
              </w:rPr>
              <w:t>31-40岁</w:t>
            </w:r>
          </w:p>
        </w:tc>
        <w:tc>
          <w:tcPr>
            <w:tcW w:w="2835" w:type="dxa"/>
          </w:tcPr>
          <w:p w14:paraId="49D4DE4C">
            <w:pPr>
              <w:spacing w:before="40" w:after="40" w:line="240" w:lineRule="auto"/>
              <w:ind w:firstLine="0"/>
              <w:jc w:val="center"/>
            </w:pPr>
            <w:r>
              <w:rPr>
                <w:rFonts w:ascii="宋体" w:hAnsi="宋体" w:eastAsia="宋体"/>
                <w:b w:val="0"/>
                <w:sz w:val="21"/>
              </w:rPr>
              <w:t>84</w:t>
            </w:r>
          </w:p>
        </w:tc>
        <w:tc>
          <w:tcPr>
            <w:tcW w:w="2835" w:type="dxa"/>
          </w:tcPr>
          <w:p w14:paraId="38D0FE62">
            <w:pPr>
              <w:spacing w:before="40" w:after="40" w:line="240" w:lineRule="auto"/>
              <w:ind w:firstLine="0"/>
              <w:jc w:val="center"/>
            </w:pPr>
            <w:r>
              <w:rPr>
                <w:rFonts w:ascii="宋体" w:hAnsi="宋体" w:eastAsia="宋体"/>
                <w:b w:val="0"/>
                <w:sz w:val="21"/>
              </w:rPr>
              <w:t>45.4</w:t>
            </w:r>
          </w:p>
        </w:tc>
      </w:tr>
      <w:tr w14:paraId="4B28B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08FA3D3">
            <w:pPr>
              <w:spacing w:before="40" w:after="40" w:line="240" w:lineRule="auto"/>
              <w:ind w:firstLine="0"/>
              <w:jc w:val="center"/>
            </w:pPr>
            <w:r>
              <w:rPr>
                <w:rFonts w:ascii="宋体" w:hAnsi="宋体" w:eastAsia="宋体"/>
                <w:b w:val="0"/>
                <w:sz w:val="21"/>
              </w:rPr>
              <w:t>41-50岁</w:t>
            </w:r>
          </w:p>
        </w:tc>
        <w:tc>
          <w:tcPr>
            <w:tcW w:w="2835" w:type="dxa"/>
          </w:tcPr>
          <w:p w14:paraId="255A223C">
            <w:pPr>
              <w:spacing w:before="40" w:after="40" w:line="240" w:lineRule="auto"/>
              <w:ind w:firstLine="0"/>
              <w:jc w:val="center"/>
            </w:pPr>
            <w:r>
              <w:rPr>
                <w:rFonts w:ascii="宋体" w:hAnsi="宋体" w:eastAsia="宋体"/>
                <w:b w:val="0"/>
                <w:sz w:val="21"/>
              </w:rPr>
              <w:t>38</w:t>
            </w:r>
          </w:p>
        </w:tc>
        <w:tc>
          <w:tcPr>
            <w:tcW w:w="2835" w:type="dxa"/>
          </w:tcPr>
          <w:p w14:paraId="56F21A57">
            <w:pPr>
              <w:spacing w:before="40" w:after="40" w:line="240" w:lineRule="auto"/>
              <w:ind w:firstLine="0"/>
              <w:jc w:val="center"/>
            </w:pPr>
            <w:r>
              <w:rPr>
                <w:rFonts w:ascii="宋体" w:hAnsi="宋体" w:eastAsia="宋体"/>
                <w:b w:val="0"/>
                <w:sz w:val="21"/>
              </w:rPr>
              <w:t>20.5</w:t>
            </w:r>
          </w:p>
        </w:tc>
      </w:tr>
      <w:tr w14:paraId="07C7A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488424A3">
            <w:pPr>
              <w:spacing w:before="40" w:after="40" w:line="240" w:lineRule="auto"/>
              <w:ind w:firstLine="0"/>
              <w:jc w:val="center"/>
            </w:pPr>
            <w:r>
              <w:rPr>
                <w:rFonts w:ascii="宋体" w:hAnsi="宋体" w:eastAsia="宋体"/>
                <w:b w:val="0"/>
                <w:sz w:val="21"/>
              </w:rPr>
              <w:t>51岁以上</w:t>
            </w:r>
          </w:p>
        </w:tc>
        <w:tc>
          <w:tcPr>
            <w:tcW w:w="2835" w:type="dxa"/>
            <w:tcBorders>
              <w:bottom w:val="single" w:color="000000" w:sz="12" w:space="0"/>
            </w:tcBorders>
          </w:tcPr>
          <w:p w14:paraId="2B0BB4B0">
            <w:pPr>
              <w:spacing w:before="40" w:after="40" w:line="240" w:lineRule="auto"/>
              <w:ind w:firstLine="0"/>
              <w:jc w:val="center"/>
            </w:pPr>
            <w:r>
              <w:rPr>
                <w:rFonts w:ascii="宋体" w:hAnsi="宋体" w:eastAsia="宋体"/>
                <w:b w:val="0"/>
                <w:sz w:val="21"/>
              </w:rPr>
              <w:t>10</w:t>
            </w:r>
          </w:p>
        </w:tc>
        <w:tc>
          <w:tcPr>
            <w:tcW w:w="2835" w:type="dxa"/>
            <w:tcBorders>
              <w:bottom w:val="single" w:color="000000" w:sz="12" w:space="0"/>
            </w:tcBorders>
          </w:tcPr>
          <w:p w14:paraId="1E0562AB">
            <w:pPr>
              <w:spacing w:before="40" w:after="40" w:line="240" w:lineRule="auto"/>
              <w:ind w:firstLine="0"/>
              <w:jc w:val="center"/>
            </w:pPr>
            <w:r>
              <w:rPr>
                <w:rFonts w:ascii="宋体" w:hAnsi="宋体" w:eastAsia="宋体"/>
                <w:b w:val="0"/>
                <w:sz w:val="21"/>
              </w:rPr>
              <w:t>5.4</w:t>
            </w:r>
          </w:p>
        </w:tc>
      </w:tr>
    </w:tbl>
    <w:p w14:paraId="061405BC">
      <w:pPr>
        <w:spacing w:after="0"/>
        <w:ind w:firstLine="0"/>
      </w:pPr>
    </w:p>
    <w:p w14:paraId="5D8FB632">
      <w:pPr>
        <w:spacing w:after="0" w:line="360" w:lineRule="auto"/>
        <w:ind w:firstLine="480"/>
        <w:jc w:val="both"/>
      </w:pPr>
      <w:r>
        <w:rPr>
          <w:rFonts w:ascii="宋体" w:hAnsi="宋体" w:eastAsia="宋体"/>
          <w:b w:val="0"/>
          <w:sz w:val="24"/>
        </w:rPr>
        <w:t>年龄结构以31-40岁为主，占比近半（占比合计99.9%，系四舍五入所致），表明Z公司员工队伍年轻且处于职业成熟期，有利于数字化工具的快速学习与应用。</w:t>
      </w:r>
    </w:p>
    <w:p w14:paraId="6E3C31CF">
      <w:pPr>
        <w:spacing w:before="120" w:after="40"/>
        <w:ind w:firstLine="0"/>
        <w:jc w:val="center"/>
      </w:pPr>
      <w:r>
        <w:rPr>
          <w:rFonts w:ascii="宋体" w:hAnsi="宋体" w:eastAsia="宋体"/>
          <w:b/>
          <w:sz w:val="21"/>
        </w:rPr>
        <w:t>表3-3 调查样本教育背景分布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8C53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0AF15C67">
            <w:pPr>
              <w:spacing w:before="40" w:after="40" w:line="240" w:lineRule="auto"/>
              <w:ind w:firstLine="0"/>
              <w:jc w:val="center"/>
            </w:pPr>
            <w:r>
              <w:rPr>
                <w:rFonts w:ascii="宋体" w:hAnsi="宋体" w:eastAsia="宋体"/>
                <w:b/>
                <w:sz w:val="21"/>
              </w:rPr>
              <w:t>教育背景</w:t>
            </w:r>
          </w:p>
        </w:tc>
        <w:tc>
          <w:tcPr>
            <w:tcW w:w="2835" w:type="dxa"/>
            <w:tcBorders>
              <w:top w:val="single" w:color="000000" w:sz="12" w:space="0"/>
              <w:bottom w:val="single" w:color="000000" w:sz="6" w:space="0"/>
            </w:tcBorders>
          </w:tcPr>
          <w:p w14:paraId="246F55DE">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18C16569">
            <w:pPr>
              <w:spacing w:before="40" w:after="40" w:line="240" w:lineRule="auto"/>
              <w:ind w:firstLine="0"/>
              <w:jc w:val="center"/>
            </w:pPr>
            <w:r>
              <w:rPr>
                <w:rFonts w:ascii="宋体" w:hAnsi="宋体" w:eastAsia="宋体"/>
                <w:b/>
                <w:sz w:val="21"/>
              </w:rPr>
              <w:t>占比(%)</w:t>
            </w:r>
          </w:p>
        </w:tc>
      </w:tr>
      <w:tr w14:paraId="635E7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0E3DAB38">
            <w:pPr>
              <w:spacing w:before="40" w:after="40" w:line="240" w:lineRule="auto"/>
              <w:ind w:firstLine="0"/>
              <w:jc w:val="center"/>
            </w:pPr>
            <w:r>
              <w:rPr>
                <w:rFonts w:ascii="宋体" w:hAnsi="宋体" w:eastAsia="宋体"/>
                <w:b w:val="0"/>
                <w:sz w:val="21"/>
              </w:rPr>
              <w:t>大专及以下</w:t>
            </w:r>
          </w:p>
        </w:tc>
        <w:tc>
          <w:tcPr>
            <w:tcW w:w="2835" w:type="dxa"/>
          </w:tcPr>
          <w:p w14:paraId="506F4B23">
            <w:pPr>
              <w:spacing w:before="40" w:after="40" w:line="240" w:lineRule="auto"/>
              <w:ind w:firstLine="0"/>
              <w:jc w:val="center"/>
            </w:pPr>
            <w:r>
              <w:rPr>
                <w:rFonts w:ascii="宋体" w:hAnsi="宋体" w:eastAsia="宋体"/>
                <w:b w:val="0"/>
                <w:sz w:val="21"/>
              </w:rPr>
              <w:t>14</w:t>
            </w:r>
          </w:p>
        </w:tc>
        <w:tc>
          <w:tcPr>
            <w:tcW w:w="2835" w:type="dxa"/>
          </w:tcPr>
          <w:p w14:paraId="27EE90DC">
            <w:pPr>
              <w:spacing w:before="40" w:after="40" w:line="240" w:lineRule="auto"/>
              <w:ind w:firstLine="0"/>
              <w:jc w:val="center"/>
            </w:pPr>
            <w:r>
              <w:rPr>
                <w:rFonts w:ascii="宋体" w:hAnsi="宋体" w:eastAsia="宋体"/>
                <w:b w:val="0"/>
                <w:sz w:val="21"/>
              </w:rPr>
              <w:t>7.6</w:t>
            </w:r>
          </w:p>
        </w:tc>
      </w:tr>
      <w:tr w14:paraId="5668B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4DCF4485">
            <w:pPr>
              <w:spacing w:before="40" w:after="40" w:line="240" w:lineRule="auto"/>
              <w:ind w:firstLine="0"/>
              <w:jc w:val="center"/>
            </w:pPr>
            <w:r>
              <w:rPr>
                <w:rFonts w:ascii="宋体" w:hAnsi="宋体" w:eastAsia="宋体"/>
                <w:b w:val="0"/>
                <w:sz w:val="21"/>
              </w:rPr>
              <w:t>本科</w:t>
            </w:r>
          </w:p>
        </w:tc>
        <w:tc>
          <w:tcPr>
            <w:tcW w:w="2835" w:type="dxa"/>
          </w:tcPr>
          <w:p w14:paraId="09387CB4">
            <w:pPr>
              <w:spacing w:before="40" w:after="40" w:line="240" w:lineRule="auto"/>
              <w:ind w:firstLine="0"/>
              <w:jc w:val="center"/>
            </w:pPr>
            <w:r>
              <w:rPr>
                <w:rFonts w:ascii="宋体" w:hAnsi="宋体" w:eastAsia="宋体"/>
                <w:b w:val="0"/>
                <w:sz w:val="21"/>
              </w:rPr>
              <w:t>106</w:t>
            </w:r>
          </w:p>
        </w:tc>
        <w:tc>
          <w:tcPr>
            <w:tcW w:w="2835" w:type="dxa"/>
          </w:tcPr>
          <w:p w14:paraId="07B9A89C">
            <w:pPr>
              <w:spacing w:before="40" w:after="40" w:line="240" w:lineRule="auto"/>
              <w:ind w:firstLine="0"/>
              <w:jc w:val="center"/>
            </w:pPr>
            <w:r>
              <w:rPr>
                <w:rFonts w:ascii="宋体" w:hAnsi="宋体" w:eastAsia="宋体"/>
                <w:b w:val="0"/>
                <w:sz w:val="21"/>
              </w:rPr>
              <w:t>57.3</w:t>
            </w:r>
          </w:p>
        </w:tc>
      </w:tr>
      <w:tr w14:paraId="07E0A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011A2ABC">
            <w:pPr>
              <w:spacing w:before="40" w:after="40" w:line="240" w:lineRule="auto"/>
              <w:ind w:firstLine="0"/>
              <w:jc w:val="center"/>
            </w:pPr>
            <w:r>
              <w:rPr>
                <w:rFonts w:ascii="宋体" w:hAnsi="宋体" w:eastAsia="宋体"/>
                <w:b w:val="0"/>
                <w:sz w:val="21"/>
              </w:rPr>
              <w:t>硕士及以上</w:t>
            </w:r>
          </w:p>
        </w:tc>
        <w:tc>
          <w:tcPr>
            <w:tcW w:w="2835" w:type="dxa"/>
            <w:tcBorders>
              <w:bottom w:val="single" w:color="000000" w:sz="12" w:space="0"/>
            </w:tcBorders>
          </w:tcPr>
          <w:p w14:paraId="1C76A413">
            <w:pPr>
              <w:spacing w:before="40" w:after="40" w:line="240" w:lineRule="auto"/>
              <w:ind w:firstLine="0"/>
              <w:jc w:val="center"/>
            </w:pPr>
            <w:r>
              <w:rPr>
                <w:rFonts w:ascii="宋体" w:hAnsi="宋体" w:eastAsia="宋体"/>
                <w:b w:val="0"/>
                <w:sz w:val="21"/>
              </w:rPr>
              <w:t>65</w:t>
            </w:r>
          </w:p>
        </w:tc>
        <w:tc>
          <w:tcPr>
            <w:tcW w:w="2835" w:type="dxa"/>
            <w:tcBorders>
              <w:bottom w:val="single" w:color="000000" w:sz="12" w:space="0"/>
            </w:tcBorders>
          </w:tcPr>
          <w:p w14:paraId="7C2F032B">
            <w:pPr>
              <w:spacing w:before="40" w:after="40" w:line="240" w:lineRule="auto"/>
              <w:ind w:firstLine="0"/>
              <w:jc w:val="center"/>
            </w:pPr>
            <w:r>
              <w:rPr>
                <w:rFonts w:ascii="宋体" w:hAnsi="宋体" w:eastAsia="宋体"/>
                <w:b w:val="0"/>
                <w:sz w:val="21"/>
              </w:rPr>
              <w:t>35.1</w:t>
            </w:r>
          </w:p>
        </w:tc>
      </w:tr>
    </w:tbl>
    <w:p w14:paraId="3ACA75F0">
      <w:pPr>
        <w:spacing w:after="0"/>
        <w:ind w:firstLine="0"/>
      </w:pPr>
    </w:p>
    <w:p w14:paraId="1697AF45">
      <w:pPr>
        <w:spacing w:after="0" w:line="360" w:lineRule="auto"/>
        <w:ind w:firstLine="480"/>
        <w:jc w:val="both"/>
      </w:pPr>
      <w:r>
        <w:rPr>
          <w:rFonts w:ascii="宋体" w:hAnsi="宋体" w:eastAsia="宋体"/>
          <w:b w:val="0"/>
          <w:sz w:val="24"/>
        </w:rPr>
        <w:t>注：本科及以上合计171人，其中硕士及以上65人；大专及以下14人。</w:t>
      </w:r>
    </w:p>
    <w:p w14:paraId="7C2E31B2">
      <w:pPr>
        <w:spacing w:after="0" w:line="360" w:lineRule="auto"/>
        <w:ind w:firstLine="480"/>
        <w:jc w:val="both"/>
      </w:pPr>
      <w:r>
        <w:rPr>
          <w:rFonts w:ascii="宋体" w:hAnsi="宋体" w:eastAsia="宋体"/>
          <w:b w:val="0"/>
          <w:sz w:val="24"/>
        </w:rPr>
        <w:t>高学历占比突出，体现了Z公司作为专业服务机构的知识密集型特征，这为复杂招标文件编制与数字化转型提供了人才保障。</w:t>
      </w:r>
    </w:p>
    <w:p w14:paraId="7E0F9A8C">
      <w:pPr>
        <w:spacing w:before="120" w:after="40"/>
        <w:ind w:firstLine="0"/>
        <w:jc w:val="center"/>
      </w:pPr>
      <w:r>
        <w:rPr>
          <w:rFonts w:ascii="宋体" w:hAnsi="宋体" w:eastAsia="宋体"/>
          <w:b/>
          <w:sz w:val="21"/>
        </w:rPr>
        <w:t>表3-4 调查样本工作年限分布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43D6B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6FF7A348">
            <w:pPr>
              <w:spacing w:before="40" w:after="40" w:line="240" w:lineRule="auto"/>
              <w:ind w:firstLine="0"/>
              <w:jc w:val="center"/>
            </w:pPr>
            <w:r>
              <w:rPr>
                <w:rFonts w:ascii="宋体" w:hAnsi="宋体" w:eastAsia="宋体"/>
                <w:b/>
                <w:sz w:val="21"/>
              </w:rPr>
              <w:t>工作年限</w:t>
            </w:r>
          </w:p>
        </w:tc>
        <w:tc>
          <w:tcPr>
            <w:tcW w:w="2835" w:type="dxa"/>
            <w:tcBorders>
              <w:top w:val="single" w:color="000000" w:sz="12" w:space="0"/>
              <w:bottom w:val="single" w:color="000000" w:sz="6" w:space="0"/>
            </w:tcBorders>
          </w:tcPr>
          <w:p w14:paraId="09401B90">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26F4C83C">
            <w:pPr>
              <w:spacing w:before="40" w:after="40" w:line="240" w:lineRule="auto"/>
              <w:ind w:firstLine="0"/>
              <w:jc w:val="center"/>
            </w:pPr>
            <w:r>
              <w:rPr>
                <w:rFonts w:ascii="宋体" w:hAnsi="宋体" w:eastAsia="宋体"/>
                <w:b/>
                <w:sz w:val="21"/>
              </w:rPr>
              <w:t>占比(%)</w:t>
            </w:r>
          </w:p>
        </w:tc>
      </w:tr>
      <w:tr w14:paraId="2621D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7B63341">
            <w:pPr>
              <w:spacing w:before="40" w:after="40" w:line="240" w:lineRule="auto"/>
              <w:ind w:firstLine="0"/>
              <w:jc w:val="center"/>
            </w:pPr>
            <w:r>
              <w:rPr>
                <w:rFonts w:ascii="宋体" w:hAnsi="宋体" w:eastAsia="宋体"/>
                <w:b w:val="0"/>
                <w:sz w:val="21"/>
              </w:rPr>
              <w:t>5年以下</w:t>
            </w:r>
          </w:p>
        </w:tc>
        <w:tc>
          <w:tcPr>
            <w:tcW w:w="2835" w:type="dxa"/>
          </w:tcPr>
          <w:p w14:paraId="211C6F7B">
            <w:pPr>
              <w:spacing w:before="40" w:after="40" w:line="240" w:lineRule="auto"/>
              <w:ind w:firstLine="0"/>
              <w:jc w:val="center"/>
            </w:pPr>
            <w:r>
              <w:rPr>
                <w:rFonts w:ascii="宋体" w:hAnsi="宋体" w:eastAsia="宋体"/>
                <w:b w:val="0"/>
                <w:sz w:val="21"/>
              </w:rPr>
              <w:t>60</w:t>
            </w:r>
          </w:p>
        </w:tc>
        <w:tc>
          <w:tcPr>
            <w:tcW w:w="2835" w:type="dxa"/>
          </w:tcPr>
          <w:p w14:paraId="715EC306">
            <w:pPr>
              <w:spacing w:before="40" w:after="40" w:line="240" w:lineRule="auto"/>
              <w:ind w:firstLine="0"/>
              <w:jc w:val="center"/>
            </w:pPr>
            <w:r>
              <w:rPr>
                <w:rFonts w:ascii="宋体" w:hAnsi="宋体" w:eastAsia="宋体"/>
                <w:b w:val="0"/>
                <w:sz w:val="21"/>
              </w:rPr>
              <w:t>32.4</w:t>
            </w:r>
          </w:p>
        </w:tc>
      </w:tr>
      <w:tr w14:paraId="6F91D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7542AECE">
            <w:pPr>
              <w:spacing w:before="40" w:after="40" w:line="240" w:lineRule="auto"/>
              <w:ind w:firstLine="0"/>
              <w:jc w:val="center"/>
            </w:pPr>
            <w:r>
              <w:rPr>
                <w:rFonts w:ascii="宋体" w:hAnsi="宋体" w:eastAsia="宋体"/>
                <w:b w:val="0"/>
                <w:sz w:val="21"/>
              </w:rPr>
              <w:t>6-10年</w:t>
            </w:r>
          </w:p>
        </w:tc>
        <w:tc>
          <w:tcPr>
            <w:tcW w:w="2835" w:type="dxa"/>
          </w:tcPr>
          <w:p w14:paraId="3CE9C910">
            <w:pPr>
              <w:spacing w:before="40" w:after="40" w:line="240" w:lineRule="auto"/>
              <w:ind w:firstLine="0"/>
              <w:jc w:val="center"/>
            </w:pPr>
            <w:r>
              <w:rPr>
                <w:rFonts w:ascii="宋体" w:hAnsi="宋体" w:eastAsia="宋体"/>
                <w:b w:val="0"/>
                <w:sz w:val="21"/>
              </w:rPr>
              <w:t>76</w:t>
            </w:r>
          </w:p>
        </w:tc>
        <w:tc>
          <w:tcPr>
            <w:tcW w:w="2835" w:type="dxa"/>
          </w:tcPr>
          <w:p w14:paraId="5D3DE70D">
            <w:pPr>
              <w:spacing w:before="40" w:after="40" w:line="240" w:lineRule="auto"/>
              <w:ind w:firstLine="0"/>
              <w:jc w:val="center"/>
            </w:pPr>
            <w:r>
              <w:rPr>
                <w:rFonts w:ascii="宋体" w:hAnsi="宋体" w:eastAsia="宋体"/>
                <w:b w:val="0"/>
                <w:sz w:val="21"/>
              </w:rPr>
              <w:t>41.1</w:t>
            </w:r>
          </w:p>
        </w:tc>
      </w:tr>
      <w:tr w14:paraId="6B139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18527973">
            <w:pPr>
              <w:spacing w:before="40" w:after="40" w:line="240" w:lineRule="auto"/>
              <w:ind w:firstLine="0"/>
              <w:jc w:val="center"/>
            </w:pPr>
            <w:r>
              <w:rPr>
                <w:rFonts w:ascii="宋体" w:hAnsi="宋体" w:eastAsia="宋体"/>
                <w:b w:val="0"/>
                <w:sz w:val="21"/>
              </w:rPr>
              <w:t>11年以上</w:t>
            </w:r>
          </w:p>
        </w:tc>
        <w:tc>
          <w:tcPr>
            <w:tcW w:w="2835" w:type="dxa"/>
            <w:tcBorders>
              <w:bottom w:val="single" w:color="000000" w:sz="12" w:space="0"/>
            </w:tcBorders>
          </w:tcPr>
          <w:p w14:paraId="00A1F6EE">
            <w:pPr>
              <w:spacing w:before="40" w:after="40" w:line="240" w:lineRule="auto"/>
              <w:ind w:firstLine="0"/>
              <w:jc w:val="center"/>
            </w:pPr>
            <w:r>
              <w:rPr>
                <w:rFonts w:ascii="宋体" w:hAnsi="宋体" w:eastAsia="宋体"/>
                <w:b w:val="0"/>
                <w:sz w:val="21"/>
              </w:rPr>
              <w:t>49</w:t>
            </w:r>
          </w:p>
        </w:tc>
        <w:tc>
          <w:tcPr>
            <w:tcW w:w="2835" w:type="dxa"/>
            <w:tcBorders>
              <w:bottom w:val="single" w:color="000000" w:sz="12" w:space="0"/>
            </w:tcBorders>
          </w:tcPr>
          <w:p w14:paraId="421C6F56">
            <w:pPr>
              <w:spacing w:before="40" w:after="40" w:line="240" w:lineRule="auto"/>
              <w:ind w:firstLine="0"/>
              <w:jc w:val="center"/>
            </w:pPr>
            <w:r>
              <w:rPr>
                <w:rFonts w:ascii="宋体" w:hAnsi="宋体" w:eastAsia="宋体"/>
                <w:b w:val="0"/>
                <w:sz w:val="21"/>
              </w:rPr>
              <w:t>26.5</w:t>
            </w:r>
          </w:p>
        </w:tc>
      </w:tr>
    </w:tbl>
    <w:p w14:paraId="097CFF68">
      <w:pPr>
        <w:spacing w:after="0"/>
        <w:ind w:firstLine="0"/>
      </w:pPr>
    </w:p>
    <w:p w14:paraId="036A6179">
      <w:pPr>
        <w:spacing w:after="0" w:line="360" w:lineRule="auto"/>
        <w:ind w:firstLine="480"/>
        <w:jc w:val="both"/>
      </w:pPr>
      <w:r>
        <w:rPr>
          <w:rFonts w:ascii="宋体" w:hAnsi="宋体" w:eastAsia="宋体"/>
          <w:b w:val="0"/>
          <w:sz w:val="24"/>
        </w:rPr>
        <w:t>工作年限以6-10年占比最高（41.1%），样本经验结构较为合理，能够提供对工作流程的深入反馈。</w:t>
      </w:r>
    </w:p>
    <w:p w14:paraId="4C3C68FB">
      <w:pPr>
        <w:spacing w:before="120" w:after="40"/>
        <w:ind w:firstLine="0"/>
        <w:jc w:val="center"/>
      </w:pPr>
      <w:r>
        <w:rPr>
          <w:rFonts w:ascii="宋体" w:hAnsi="宋体" w:eastAsia="宋体"/>
          <w:b/>
          <w:sz w:val="21"/>
        </w:rPr>
        <w:t>表3-5 调查样本职位分布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5958C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4220F6DB">
            <w:pPr>
              <w:spacing w:before="40" w:after="40" w:line="240" w:lineRule="auto"/>
              <w:ind w:firstLine="0"/>
              <w:jc w:val="center"/>
            </w:pPr>
            <w:r>
              <w:rPr>
                <w:rFonts w:ascii="宋体" w:hAnsi="宋体" w:eastAsia="宋体"/>
                <w:b/>
                <w:sz w:val="21"/>
              </w:rPr>
              <w:t>职位级别</w:t>
            </w:r>
          </w:p>
        </w:tc>
        <w:tc>
          <w:tcPr>
            <w:tcW w:w="2835" w:type="dxa"/>
            <w:tcBorders>
              <w:top w:val="single" w:color="000000" w:sz="12" w:space="0"/>
              <w:bottom w:val="single" w:color="000000" w:sz="6" w:space="0"/>
            </w:tcBorders>
          </w:tcPr>
          <w:p w14:paraId="5E2523B1">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62CB2EFB">
            <w:pPr>
              <w:spacing w:before="40" w:after="40" w:line="240" w:lineRule="auto"/>
              <w:ind w:firstLine="0"/>
              <w:jc w:val="center"/>
            </w:pPr>
            <w:r>
              <w:rPr>
                <w:rFonts w:ascii="宋体" w:hAnsi="宋体" w:eastAsia="宋体"/>
                <w:b/>
                <w:sz w:val="21"/>
              </w:rPr>
              <w:t>占比(%)</w:t>
            </w:r>
          </w:p>
        </w:tc>
      </w:tr>
      <w:tr w14:paraId="09E5C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BC46354">
            <w:pPr>
              <w:spacing w:before="40" w:after="40" w:line="240" w:lineRule="auto"/>
              <w:ind w:firstLine="0"/>
              <w:jc w:val="center"/>
            </w:pPr>
            <w:r>
              <w:rPr>
                <w:rFonts w:ascii="宋体" w:hAnsi="宋体" w:eastAsia="宋体"/>
                <w:b w:val="0"/>
                <w:sz w:val="21"/>
              </w:rPr>
              <w:t>普通员工</w:t>
            </w:r>
          </w:p>
        </w:tc>
        <w:tc>
          <w:tcPr>
            <w:tcW w:w="2835" w:type="dxa"/>
          </w:tcPr>
          <w:p w14:paraId="1CF2C89A">
            <w:pPr>
              <w:spacing w:before="40" w:after="40" w:line="240" w:lineRule="auto"/>
              <w:ind w:firstLine="0"/>
              <w:jc w:val="center"/>
            </w:pPr>
            <w:r>
              <w:rPr>
                <w:rFonts w:ascii="宋体" w:hAnsi="宋体" w:eastAsia="宋体"/>
                <w:b w:val="0"/>
                <w:sz w:val="21"/>
              </w:rPr>
              <w:t>109</w:t>
            </w:r>
          </w:p>
        </w:tc>
        <w:tc>
          <w:tcPr>
            <w:tcW w:w="2835" w:type="dxa"/>
          </w:tcPr>
          <w:p w14:paraId="05694570">
            <w:pPr>
              <w:spacing w:before="40" w:after="40" w:line="240" w:lineRule="auto"/>
              <w:ind w:firstLine="0"/>
              <w:jc w:val="center"/>
            </w:pPr>
            <w:r>
              <w:rPr>
                <w:rFonts w:ascii="宋体" w:hAnsi="宋体" w:eastAsia="宋体"/>
                <w:b w:val="0"/>
                <w:sz w:val="21"/>
              </w:rPr>
              <w:t>58.9</w:t>
            </w:r>
          </w:p>
        </w:tc>
      </w:tr>
      <w:tr w14:paraId="260BF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5B95AE5">
            <w:pPr>
              <w:spacing w:before="40" w:after="40" w:line="240" w:lineRule="auto"/>
              <w:ind w:firstLine="0"/>
              <w:jc w:val="center"/>
            </w:pPr>
            <w:r>
              <w:rPr>
                <w:rFonts w:ascii="宋体" w:hAnsi="宋体" w:eastAsia="宋体"/>
                <w:b w:val="0"/>
                <w:sz w:val="21"/>
              </w:rPr>
              <w:t>中层管理人员</w:t>
            </w:r>
          </w:p>
        </w:tc>
        <w:tc>
          <w:tcPr>
            <w:tcW w:w="2835" w:type="dxa"/>
          </w:tcPr>
          <w:p w14:paraId="424137F3">
            <w:pPr>
              <w:spacing w:before="40" w:after="40" w:line="240" w:lineRule="auto"/>
              <w:ind w:firstLine="0"/>
              <w:jc w:val="center"/>
            </w:pPr>
            <w:r>
              <w:rPr>
                <w:rFonts w:ascii="宋体" w:hAnsi="宋体" w:eastAsia="宋体"/>
                <w:b w:val="0"/>
                <w:sz w:val="21"/>
              </w:rPr>
              <w:t>51</w:t>
            </w:r>
          </w:p>
        </w:tc>
        <w:tc>
          <w:tcPr>
            <w:tcW w:w="2835" w:type="dxa"/>
          </w:tcPr>
          <w:p w14:paraId="5D26CC97">
            <w:pPr>
              <w:spacing w:before="40" w:after="40" w:line="240" w:lineRule="auto"/>
              <w:ind w:firstLine="0"/>
              <w:jc w:val="center"/>
            </w:pPr>
            <w:r>
              <w:rPr>
                <w:rFonts w:ascii="宋体" w:hAnsi="宋体" w:eastAsia="宋体"/>
                <w:b w:val="0"/>
                <w:sz w:val="21"/>
              </w:rPr>
              <w:t>27.6</w:t>
            </w:r>
          </w:p>
        </w:tc>
      </w:tr>
      <w:tr w14:paraId="268ED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675088A0">
            <w:pPr>
              <w:spacing w:before="40" w:after="40" w:line="240" w:lineRule="auto"/>
              <w:ind w:firstLine="0"/>
              <w:jc w:val="center"/>
            </w:pPr>
            <w:r>
              <w:rPr>
                <w:rFonts w:ascii="宋体" w:hAnsi="宋体" w:eastAsia="宋体"/>
                <w:b w:val="0"/>
                <w:sz w:val="21"/>
              </w:rPr>
              <w:t>高层管理人员</w:t>
            </w:r>
          </w:p>
        </w:tc>
        <w:tc>
          <w:tcPr>
            <w:tcW w:w="2835" w:type="dxa"/>
            <w:tcBorders>
              <w:bottom w:val="single" w:color="000000" w:sz="12" w:space="0"/>
            </w:tcBorders>
          </w:tcPr>
          <w:p w14:paraId="4E983045">
            <w:pPr>
              <w:spacing w:before="40" w:after="40" w:line="240" w:lineRule="auto"/>
              <w:ind w:firstLine="0"/>
              <w:jc w:val="center"/>
            </w:pPr>
            <w:r>
              <w:rPr>
                <w:rFonts w:ascii="宋体" w:hAnsi="宋体" w:eastAsia="宋体"/>
                <w:b w:val="0"/>
                <w:sz w:val="21"/>
              </w:rPr>
              <w:t>25</w:t>
            </w:r>
          </w:p>
        </w:tc>
        <w:tc>
          <w:tcPr>
            <w:tcW w:w="2835" w:type="dxa"/>
            <w:tcBorders>
              <w:bottom w:val="single" w:color="000000" w:sz="12" w:space="0"/>
            </w:tcBorders>
          </w:tcPr>
          <w:p w14:paraId="70ED80CB">
            <w:pPr>
              <w:spacing w:before="40" w:after="40" w:line="240" w:lineRule="auto"/>
              <w:ind w:firstLine="0"/>
              <w:jc w:val="center"/>
            </w:pPr>
            <w:r>
              <w:rPr>
                <w:rFonts w:ascii="宋体" w:hAnsi="宋体" w:eastAsia="宋体"/>
                <w:b w:val="0"/>
                <w:sz w:val="21"/>
              </w:rPr>
              <w:t>13.5</w:t>
            </w:r>
          </w:p>
        </w:tc>
      </w:tr>
    </w:tbl>
    <w:p w14:paraId="5CA8EF66">
      <w:pPr>
        <w:spacing w:after="0"/>
        <w:ind w:firstLine="0"/>
      </w:pPr>
    </w:p>
    <w:p w14:paraId="2D9903DD">
      <w:pPr>
        <w:spacing w:after="0" w:line="360" w:lineRule="auto"/>
        <w:ind w:firstLine="480"/>
        <w:jc w:val="both"/>
      </w:pPr>
      <w:r>
        <w:rPr>
          <w:rFonts w:ascii="宋体" w:hAnsi="宋体" w:eastAsia="宋体"/>
          <w:b w:val="0"/>
          <w:sz w:val="24"/>
        </w:rPr>
        <w:t>职位分布覆盖执行层到决策层，确保了多视角的现状描述。普通员工占比最高，其反馈更贴近一线操作。</w:t>
      </w:r>
    </w:p>
    <w:p w14:paraId="69987BEA">
      <w:pPr>
        <w:spacing w:before="120" w:after="40"/>
        <w:ind w:firstLine="0"/>
        <w:jc w:val="center"/>
      </w:pPr>
      <w:r>
        <w:rPr>
          <w:rFonts w:ascii="宋体" w:hAnsi="宋体" w:eastAsia="宋体"/>
          <w:b/>
          <w:sz w:val="21"/>
        </w:rPr>
        <w:t>表3-6 调查样本部门分布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62F1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0B2FA4E3">
            <w:pPr>
              <w:spacing w:before="40" w:after="40" w:line="240" w:lineRule="auto"/>
              <w:ind w:firstLine="0"/>
              <w:jc w:val="center"/>
            </w:pPr>
            <w:r>
              <w:rPr>
                <w:rFonts w:ascii="宋体" w:hAnsi="宋体" w:eastAsia="宋体"/>
                <w:b/>
                <w:sz w:val="21"/>
              </w:rPr>
              <w:t>部门</w:t>
            </w:r>
          </w:p>
        </w:tc>
        <w:tc>
          <w:tcPr>
            <w:tcW w:w="2835" w:type="dxa"/>
            <w:tcBorders>
              <w:top w:val="single" w:color="000000" w:sz="12" w:space="0"/>
              <w:bottom w:val="single" w:color="000000" w:sz="6" w:space="0"/>
            </w:tcBorders>
          </w:tcPr>
          <w:p w14:paraId="0820CEF1">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7E99F013">
            <w:pPr>
              <w:spacing w:before="40" w:after="40" w:line="240" w:lineRule="auto"/>
              <w:ind w:firstLine="0"/>
              <w:jc w:val="center"/>
            </w:pPr>
            <w:r>
              <w:rPr>
                <w:rFonts w:ascii="宋体" w:hAnsi="宋体" w:eastAsia="宋体"/>
                <w:b/>
                <w:sz w:val="21"/>
              </w:rPr>
              <w:t>占比(%)</w:t>
            </w:r>
          </w:p>
        </w:tc>
      </w:tr>
      <w:tr w14:paraId="3EF9C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3C8F94F">
            <w:pPr>
              <w:spacing w:before="40" w:after="40" w:line="240" w:lineRule="auto"/>
              <w:ind w:firstLine="0"/>
              <w:jc w:val="center"/>
            </w:pPr>
            <w:r>
              <w:rPr>
                <w:rFonts w:ascii="宋体" w:hAnsi="宋体" w:eastAsia="宋体"/>
                <w:b w:val="0"/>
                <w:sz w:val="21"/>
              </w:rPr>
              <w:t>招标代理部</w:t>
            </w:r>
          </w:p>
        </w:tc>
        <w:tc>
          <w:tcPr>
            <w:tcW w:w="2835" w:type="dxa"/>
          </w:tcPr>
          <w:p w14:paraId="51731C12">
            <w:pPr>
              <w:spacing w:before="40" w:after="40" w:line="240" w:lineRule="auto"/>
              <w:ind w:firstLine="0"/>
              <w:jc w:val="center"/>
            </w:pPr>
            <w:r>
              <w:rPr>
                <w:rFonts w:ascii="宋体" w:hAnsi="宋体" w:eastAsia="宋体"/>
                <w:b w:val="0"/>
                <w:sz w:val="21"/>
              </w:rPr>
              <w:t>79</w:t>
            </w:r>
          </w:p>
        </w:tc>
        <w:tc>
          <w:tcPr>
            <w:tcW w:w="2835" w:type="dxa"/>
          </w:tcPr>
          <w:p w14:paraId="6956AF78">
            <w:pPr>
              <w:spacing w:before="40" w:after="40" w:line="240" w:lineRule="auto"/>
              <w:ind w:firstLine="0"/>
              <w:jc w:val="center"/>
            </w:pPr>
            <w:r>
              <w:rPr>
                <w:rFonts w:ascii="宋体" w:hAnsi="宋体" w:eastAsia="宋体"/>
                <w:b w:val="0"/>
                <w:sz w:val="21"/>
              </w:rPr>
              <w:t>42.7</w:t>
            </w:r>
          </w:p>
        </w:tc>
      </w:tr>
      <w:tr w14:paraId="6BD61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B2E702D">
            <w:pPr>
              <w:spacing w:before="40" w:after="40" w:line="240" w:lineRule="auto"/>
              <w:ind w:firstLine="0"/>
              <w:jc w:val="center"/>
            </w:pPr>
            <w:r>
              <w:rPr>
                <w:rFonts w:ascii="宋体" w:hAnsi="宋体" w:eastAsia="宋体"/>
                <w:b w:val="0"/>
                <w:sz w:val="21"/>
              </w:rPr>
              <w:t>造价咨询部</w:t>
            </w:r>
          </w:p>
        </w:tc>
        <w:tc>
          <w:tcPr>
            <w:tcW w:w="2835" w:type="dxa"/>
          </w:tcPr>
          <w:p w14:paraId="2CAB4222">
            <w:pPr>
              <w:spacing w:before="40" w:after="40" w:line="240" w:lineRule="auto"/>
              <w:ind w:firstLine="0"/>
              <w:jc w:val="center"/>
            </w:pPr>
            <w:r>
              <w:rPr>
                <w:rFonts w:ascii="宋体" w:hAnsi="宋体" w:eastAsia="宋体"/>
                <w:b w:val="0"/>
                <w:sz w:val="21"/>
              </w:rPr>
              <w:t>47</w:t>
            </w:r>
          </w:p>
        </w:tc>
        <w:tc>
          <w:tcPr>
            <w:tcW w:w="2835" w:type="dxa"/>
          </w:tcPr>
          <w:p w14:paraId="230B0BE2">
            <w:pPr>
              <w:spacing w:before="40" w:after="40" w:line="240" w:lineRule="auto"/>
              <w:ind w:firstLine="0"/>
              <w:jc w:val="center"/>
            </w:pPr>
            <w:r>
              <w:rPr>
                <w:rFonts w:ascii="宋体" w:hAnsi="宋体" w:eastAsia="宋体"/>
                <w:b w:val="0"/>
                <w:sz w:val="21"/>
              </w:rPr>
              <w:t>25.4</w:t>
            </w:r>
          </w:p>
        </w:tc>
      </w:tr>
      <w:tr w14:paraId="09899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57983D5">
            <w:pPr>
              <w:spacing w:before="40" w:after="40" w:line="240" w:lineRule="auto"/>
              <w:ind w:firstLine="0"/>
              <w:jc w:val="center"/>
            </w:pPr>
            <w:r>
              <w:rPr>
                <w:rFonts w:ascii="宋体" w:hAnsi="宋体" w:eastAsia="宋体"/>
                <w:b w:val="0"/>
                <w:sz w:val="21"/>
              </w:rPr>
              <w:t>管理部</w:t>
            </w:r>
          </w:p>
        </w:tc>
        <w:tc>
          <w:tcPr>
            <w:tcW w:w="2835" w:type="dxa"/>
          </w:tcPr>
          <w:p w14:paraId="5FF6D38D">
            <w:pPr>
              <w:spacing w:before="40" w:after="40" w:line="240" w:lineRule="auto"/>
              <w:ind w:firstLine="0"/>
              <w:jc w:val="center"/>
            </w:pPr>
            <w:r>
              <w:rPr>
                <w:rFonts w:ascii="宋体" w:hAnsi="宋体" w:eastAsia="宋体"/>
                <w:b w:val="0"/>
                <w:sz w:val="21"/>
              </w:rPr>
              <w:t>35</w:t>
            </w:r>
          </w:p>
        </w:tc>
        <w:tc>
          <w:tcPr>
            <w:tcW w:w="2835" w:type="dxa"/>
          </w:tcPr>
          <w:p w14:paraId="0EA7A10F">
            <w:pPr>
              <w:spacing w:before="40" w:after="40" w:line="240" w:lineRule="auto"/>
              <w:ind w:firstLine="0"/>
              <w:jc w:val="center"/>
            </w:pPr>
            <w:r>
              <w:rPr>
                <w:rFonts w:ascii="宋体" w:hAnsi="宋体" w:eastAsia="宋体"/>
                <w:b w:val="0"/>
                <w:sz w:val="21"/>
              </w:rPr>
              <w:t>18.9</w:t>
            </w:r>
          </w:p>
        </w:tc>
      </w:tr>
      <w:tr w14:paraId="0786D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3BBFCCA0">
            <w:pPr>
              <w:spacing w:before="40" w:after="40" w:line="240" w:lineRule="auto"/>
              <w:ind w:firstLine="0"/>
              <w:jc w:val="center"/>
            </w:pPr>
            <w:r>
              <w:rPr>
                <w:rFonts w:ascii="宋体" w:hAnsi="宋体" w:eastAsia="宋体"/>
                <w:b w:val="0"/>
                <w:sz w:val="21"/>
              </w:rPr>
              <w:t>其他部门</w:t>
            </w:r>
          </w:p>
        </w:tc>
        <w:tc>
          <w:tcPr>
            <w:tcW w:w="2835" w:type="dxa"/>
            <w:tcBorders>
              <w:bottom w:val="single" w:color="000000" w:sz="12" w:space="0"/>
            </w:tcBorders>
          </w:tcPr>
          <w:p w14:paraId="50330EC9">
            <w:pPr>
              <w:spacing w:before="40" w:after="40" w:line="240" w:lineRule="auto"/>
              <w:ind w:firstLine="0"/>
              <w:jc w:val="center"/>
            </w:pPr>
            <w:r>
              <w:rPr>
                <w:rFonts w:ascii="宋体" w:hAnsi="宋体" w:eastAsia="宋体"/>
                <w:b w:val="0"/>
                <w:sz w:val="21"/>
              </w:rPr>
              <w:t>24</w:t>
            </w:r>
          </w:p>
        </w:tc>
        <w:tc>
          <w:tcPr>
            <w:tcW w:w="2835" w:type="dxa"/>
            <w:tcBorders>
              <w:bottom w:val="single" w:color="000000" w:sz="12" w:space="0"/>
            </w:tcBorders>
          </w:tcPr>
          <w:p w14:paraId="12DECE48">
            <w:pPr>
              <w:spacing w:before="40" w:after="40" w:line="240" w:lineRule="auto"/>
              <w:ind w:firstLine="0"/>
              <w:jc w:val="center"/>
            </w:pPr>
            <w:r>
              <w:rPr>
                <w:rFonts w:ascii="宋体" w:hAnsi="宋体" w:eastAsia="宋体"/>
                <w:b w:val="0"/>
                <w:sz w:val="21"/>
              </w:rPr>
              <w:t>13.0</w:t>
            </w:r>
          </w:p>
        </w:tc>
      </w:tr>
    </w:tbl>
    <w:p w14:paraId="6BF62BC1">
      <w:pPr>
        <w:spacing w:after="0"/>
        <w:ind w:firstLine="0"/>
      </w:pPr>
    </w:p>
    <w:p w14:paraId="5107CD0A">
      <w:pPr>
        <w:spacing w:after="0" w:line="360" w:lineRule="auto"/>
        <w:ind w:firstLine="480"/>
        <w:jc w:val="both"/>
      </w:pPr>
      <w:r>
        <w:rPr>
          <w:rFonts w:ascii="宋体" w:hAnsi="宋体" w:eastAsia="宋体"/>
          <w:b w:val="0"/>
          <w:sz w:val="24"/>
        </w:rPr>
        <w:t>招标代理部占比最大，符合Z公司核心业务特征，其他部门包括造价咨询部与管理部等。</w:t>
      </w:r>
    </w:p>
    <w:p w14:paraId="0A2EF4E3">
      <w:pPr>
        <w:spacing w:before="120" w:after="40"/>
        <w:ind w:firstLine="0"/>
        <w:jc w:val="center"/>
      </w:pPr>
      <w:r>
        <w:rPr>
          <w:rFonts w:ascii="宋体" w:hAnsi="宋体" w:eastAsia="宋体"/>
          <w:b/>
          <w:sz w:val="21"/>
        </w:rPr>
        <w:t>表3-7 调查样本地域分布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27F31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4FDDCA2A">
            <w:pPr>
              <w:spacing w:before="40" w:after="40" w:line="240" w:lineRule="auto"/>
              <w:ind w:firstLine="0"/>
              <w:jc w:val="center"/>
            </w:pPr>
            <w:r>
              <w:rPr>
                <w:rFonts w:ascii="宋体" w:hAnsi="宋体" w:eastAsia="宋体"/>
                <w:b/>
                <w:sz w:val="21"/>
              </w:rPr>
              <w:t>地域</w:t>
            </w:r>
          </w:p>
        </w:tc>
        <w:tc>
          <w:tcPr>
            <w:tcW w:w="2835" w:type="dxa"/>
            <w:tcBorders>
              <w:top w:val="single" w:color="000000" w:sz="12" w:space="0"/>
              <w:bottom w:val="single" w:color="000000" w:sz="6" w:space="0"/>
            </w:tcBorders>
          </w:tcPr>
          <w:p w14:paraId="2E84C5D6">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02B9D429">
            <w:pPr>
              <w:spacing w:before="40" w:after="40" w:line="240" w:lineRule="auto"/>
              <w:ind w:firstLine="0"/>
              <w:jc w:val="center"/>
            </w:pPr>
            <w:r>
              <w:rPr>
                <w:rFonts w:ascii="宋体" w:hAnsi="宋体" w:eastAsia="宋体"/>
                <w:b/>
                <w:sz w:val="21"/>
              </w:rPr>
              <w:t>占比(%)</w:t>
            </w:r>
          </w:p>
        </w:tc>
      </w:tr>
      <w:tr w14:paraId="2A5A0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EC4F163">
            <w:pPr>
              <w:spacing w:before="40" w:after="40" w:line="240" w:lineRule="auto"/>
              <w:ind w:firstLine="0"/>
              <w:jc w:val="center"/>
            </w:pPr>
            <w:r>
              <w:rPr>
                <w:rFonts w:ascii="宋体" w:hAnsi="宋体" w:eastAsia="宋体"/>
                <w:b w:val="0"/>
                <w:sz w:val="21"/>
              </w:rPr>
              <w:t>总部（北京）</w:t>
            </w:r>
          </w:p>
        </w:tc>
        <w:tc>
          <w:tcPr>
            <w:tcW w:w="2835" w:type="dxa"/>
          </w:tcPr>
          <w:p w14:paraId="6B08BDBA">
            <w:pPr>
              <w:spacing w:before="40" w:after="40" w:line="240" w:lineRule="auto"/>
              <w:ind w:firstLine="0"/>
              <w:jc w:val="center"/>
            </w:pPr>
            <w:r>
              <w:rPr>
                <w:rFonts w:ascii="宋体" w:hAnsi="宋体" w:eastAsia="宋体"/>
                <w:b w:val="0"/>
                <w:sz w:val="21"/>
              </w:rPr>
              <w:t>121</w:t>
            </w:r>
          </w:p>
        </w:tc>
        <w:tc>
          <w:tcPr>
            <w:tcW w:w="2835" w:type="dxa"/>
          </w:tcPr>
          <w:p w14:paraId="4FFAEDCA">
            <w:pPr>
              <w:spacing w:before="40" w:after="40" w:line="240" w:lineRule="auto"/>
              <w:ind w:firstLine="0"/>
              <w:jc w:val="center"/>
            </w:pPr>
            <w:r>
              <w:rPr>
                <w:rFonts w:ascii="宋体" w:hAnsi="宋体" w:eastAsia="宋体"/>
                <w:b w:val="0"/>
                <w:sz w:val="21"/>
              </w:rPr>
              <w:t>65.4</w:t>
            </w:r>
          </w:p>
        </w:tc>
      </w:tr>
      <w:tr w14:paraId="30342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5124E717">
            <w:pPr>
              <w:spacing w:before="40" w:after="40" w:line="240" w:lineRule="auto"/>
              <w:ind w:firstLine="0"/>
              <w:jc w:val="center"/>
            </w:pPr>
            <w:r>
              <w:rPr>
                <w:rFonts w:ascii="宋体" w:hAnsi="宋体" w:eastAsia="宋体"/>
                <w:b w:val="0"/>
                <w:sz w:val="21"/>
              </w:rPr>
              <w:t>分支机构</w:t>
            </w:r>
          </w:p>
        </w:tc>
        <w:tc>
          <w:tcPr>
            <w:tcW w:w="2835" w:type="dxa"/>
            <w:tcBorders>
              <w:bottom w:val="single" w:color="000000" w:sz="12" w:space="0"/>
            </w:tcBorders>
          </w:tcPr>
          <w:p w14:paraId="558347BA">
            <w:pPr>
              <w:spacing w:before="40" w:after="40" w:line="240" w:lineRule="auto"/>
              <w:ind w:firstLine="0"/>
              <w:jc w:val="center"/>
            </w:pPr>
            <w:r>
              <w:rPr>
                <w:rFonts w:ascii="宋体" w:hAnsi="宋体" w:eastAsia="宋体"/>
                <w:b w:val="0"/>
                <w:sz w:val="21"/>
              </w:rPr>
              <w:t>64</w:t>
            </w:r>
          </w:p>
        </w:tc>
        <w:tc>
          <w:tcPr>
            <w:tcW w:w="2835" w:type="dxa"/>
            <w:tcBorders>
              <w:bottom w:val="single" w:color="000000" w:sz="12" w:space="0"/>
            </w:tcBorders>
          </w:tcPr>
          <w:p w14:paraId="6A105482">
            <w:pPr>
              <w:spacing w:before="40" w:after="40" w:line="240" w:lineRule="auto"/>
              <w:ind w:firstLine="0"/>
              <w:jc w:val="center"/>
            </w:pPr>
            <w:r>
              <w:rPr>
                <w:rFonts w:ascii="宋体" w:hAnsi="宋体" w:eastAsia="宋体"/>
                <w:b w:val="0"/>
                <w:sz w:val="21"/>
              </w:rPr>
              <w:t>34.6</w:t>
            </w:r>
          </w:p>
        </w:tc>
      </w:tr>
    </w:tbl>
    <w:p w14:paraId="058CDFB0">
      <w:pPr>
        <w:spacing w:after="0"/>
        <w:ind w:firstLine="0"/>
      </w:pPr>
    </w:p>
    <w:p w14:paraId="7162756C">
      <w:pPr>
        <w:spacing w:after="0" w:line="360" w:lineRule="auto"/>
        <w:ind w:firstLine="480"/>
        <w:jc w:val="both"/>
      </w:pPr>
      <w:r>
        <w:rPr>
          <w:rFonts w:ascii="宋体" w:hAnsi="宋体" w:eastAsia="宋体"/>
          <w:b w:val="0"/>
          <w:sz w:val="24"/>
        </w:rPr>
        <w:t>总部样本占比更高，但分支机构覆盖全国多个省市，确保了地域代表性。</w:t>
      </w:r>
    </w:p>
    <w:p w14:paraId="5A85573F">
      <w:pPr>
        <w:spacing w:after="0" w:line="360" w:lineRule="auto"/>
        <w:ind w:firstLine="480"/>
        <w:jc w:val="both"/>
      </w:pPr>
      <w:r>
        <w:rPr>
          <w:rFonts w:ascii="宋体" w:hAnsi="宋体" w:eastAsia="宋体"/>
          <w:b w:val="0"/>
          <w:sz w:val="24"/>
        </w:rPr>
        <w:t>注：表3-1至表3-7数据来源均为问卷调查结果（N=185）。</w:t>
      </w:r>
    </w:p>
    <w:p w14:paraId="713BFCAF">
      <w:pPr>
        <w:spacing w:after="0" w:line="360" w:lineRule="auto"/>
        <w:ind w:firstLine="480"/>
        <w:jc w:val="both"/>
      </w:pPr>
      <w:r>
        <w:rPr>
          <w:rFonts w:ascii="宋体" w:hAnsi="宋体" w:eastAsia="宋体"/>
          <w:b w:val="0"/>
          <w:sz w:val="24"/>
        </w:rPr>
        <w:t>总体样本大小适中，抽样误差控制在5%以内。样本的部门、职位与地域结构与公司整体员工结构基本一致，具有较好的代表性。这些表格数据为后续现状分析提供了量化基础，增强了研究的客观性和说服力。样本结构如图3-2所示。</w:t>
      </w:r>
    </w:p>
    <w:p w14:paraId="69E2D904">
      <w:pPr>
        <w:spacing w:before="160" w:after="60" w:line="240" w:lineRule="auto"/>
        <w:ind w:firstLine="0"/>
        <w:jc w:val="center"/>
      </w:pPr>
      <w:r>
        <w:drawing>
          <wp:inline distT="0" distB="0" distL="114300" distR="114300">
            <wp:extent cx="5399405" cy="2837180"/>
            <wp:effectExtent l="0" t="0" r="1079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00000" cy="2837436"/>
                    </a:xfrm>
                    <a:prstGeom prst="rect">
                      <a:avLst/>
                    </a:prstGeom>
                  </pic:spPr>
                </pic:pic>
              </a:graphicData>
            </a:graphic>
          </wp:inline>
        </w:drawing>
      </w:r>
    </w:p>
    <w:p w14:paraId="7F841EB8">
      <w:pPr>
        <w:spacing w:after="160" w:line="240" w:lineRule="auto"/>
        <w:ind w:firstLine="0"/>
        <w:jc w:val="center"/>
      </w:pPr>
      <w:r>
        <w:rPr>
          <w:rFonts w:ascii="宋体" w:hAnsi="宋体" w:eastAsia="宋体"/>
          <w:b/>
          <w:sz w:val="21"/>
        </w:rPr>
        <w:t>图3-2 调查样本结构（N=185）</w:t>
      </w:r>
    </w:p>
    <w:p w14:paraId="4404F9CE">
      <w:pPr>
        <w:spacing w:after="200" w:line="240" w:lineRule="auto"/>
        <w:ind w:firstLine="0"/>
        <w:jc w:val="center"/>
      </w:pPr>
      <w:r>
        <w:rPr>
          <w:rFonts w:ascii="宋体" w:hAnsi="宋体" w:eastAsia="宋体"/>
          <w:b w:val="0"/>
          <w:color w:val="595959"/>
          <w:sz w:val="17"/>
        </w:rPr>
        <w:t>数据来源：问卷调查结果，对应表3-1至表3-7。</w:t>
      </w:r>
    </w:p>
    <w:p w14:paraId="1CCF7E15">
      <w:pPr>
        <w:pStyle w:val="6"/>
      </w:pPr>
      <w:r>
        <w:t>2）调查现状情况</w:t>
      </w:r>
    </w:p>
    <w:p w14:paraId="3B6E5EF1">
      <w:pPr>
        <w:spacing w:after="0" w:line="360" w:lineRule="auto"/>
        <w:ind w:firstLine="480"/>
        <w:jc w:val="both"/>
      </w:pPr>
      <w:r>
        <w:rPr>
          <w:rFonts w:ascii="宋体" w:hAnsi="宋体" w:eastAsia="宋体"/>
          <w:b w:val="0"/>
          <w:sz w:val="24"/>
        </w:rPr>
        <w:t>调查现状情况聚焦于Z公司工作流程的实际运行，包括整体流程框架、数字化工具应用、流程衔接与资源利用效率等方面。结果显示，公司流程已初步实现数字化，但集成度和协同水平有待提升。以下分层阐述，并以表3-8至表3-10呈现，以增强数据的深度解读。</w:t>
      </w:r>
    </w:p>
    <w:p w14:paraId="58D08A4C">
      <w:pPr>
        <w:spacing w:after="0" w:line="360" w:lineRule="auto"/>
        <w:ind w:firstLine="480"/>
        <w:jc w:val="both"/>
      </w:pPr>
      <w:r>
        <w:rPr>
          <w:rFonts w:ascii="宋体" w:hAnsi="宋体" w:eastAsia="宋体"/>
          <w:b w:val="0"/>
          <w:sz w:val="24"/>
        </w:rPr>
        <w:t>首先，整体工作流程框架。Z公司的招标代理流程遵循行业规范与公司内部制度，主要分为六个阶段：项目受理与立项，受理委托并建立项目档案；招标文件编制，依据范本与项目特点编制文件并作合规核对；公告发布与答疑，发布公告并处理澄清答疑；开标与清标，组织开标、记录报价并开展清标比对；评审与定标，组织专家评审、形成评标报告并公示定标结果；归档与合同，完成成果归档与合同签订。根据问卷，85.4%的受访者认为流程标准化程度高，但52.4%指出节点之间衔接不顺畅。例如，从文件编制到合规核对、从清标到评审报告的过渡依赖人工传递，平均耗时3-5天。问卷结果与访谈相互印证：流程框架较为坚实，但执行环节存在瓶颈。</w:t>
      </w:r>
    </w:p>
    <w:p w14:paraId="02A1C155">
      <w:pPr>
        <w:spacing w:after="0" w:line="360" w:lineRule="auto"/>
        <w:ind w:firstLine="480"/>
        <w:jc w:val="both"/>
      </w:pPr>
      <w:r>
        <w:rPr>
          <w:rFonts w:ascii="宋体" w:hAnsi="宋体" w:eastAsia="宋体"/>
          <w:b w:val="0"/>
          <w:sz w:val="24"/>
        </w:rPr>
        <w:t>在数字化应用方面，公司已引入多项工具。2025年2月上线的智能作业平台支持文档全格式解析、清标辅助评分、合规检查与知识库检索，实现部分环节自动化。问卷结果显示，数字化工具使用率达68.6%，其中云计算和大数据应用占比最高。例如，文档解析与条款提取功能用于招标文件预审，访谈反映其明显缩短了人工通读时间。然而，集成度低：仅有45.9%的受访者表示工具间无缝对接。常见问题包括系统兼容性和数据孤岛。访谈中，一位项目经理提到：“投标文件解析在一个系统，清标结果又要在另一个表格里汇总，来回导数据很容易出错。”问卷中工具集成度得分与流程效率感知得分同向变化，提示数字化集成不足可能拖累整体效率。</w:t>
      </w:r>
    </w:p>
    <w:p w14:paraId="10C21BA8">
      <w:pPr>
        <w:spacing w:before="120" w:after="40"/>
        <w:ind w:firstLine="0"/>
        <w:jc w:val="center"/>
      </w:pPr>
      <w:r>
        <w:rPr>
          <w:rFonts w:ascii="宋体" w:hAnsi="宋体" w:eastAsia="宋体"/>
          <w:b/>
          <w:sz w:val="21"/>
        </w:rPr>
        <w:t>表3-8 数字化工具应用分布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5EBF9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126" w:type="dxa"/>
            <w:tcBorders>
              <w:top w:val="single" w:color="000000" w:sz="12" w:space="0"/>
              <w:bottom w:val="single" w:color="000000" w:sz="6" w:space="0"/>
            </w:tcBorders>
          </w:tcPr>
          <w:p w14:paraId="396D0805">
            <w:pPr>
              <w:spacing w:before="40" w:after="40" w:line="240" w:lineRule="auto"/>
              <w:ind w:firstLine="0"/>
              <w:jc w:val="center"/>
            </w:pPr>
            <w:r>
              <w:rPr>
                <w:rFonts w:ascii="宋体" w:hAnsi="宋体" w:eastAsia="宋体"/>
                <w:b/>
                <w:sz w:val="21"/>
              </w:rPr>
              <w:t>工具类型</w:t>
            </w:r>
          </w:p>
        </w:tc>
        <w:tc>
          <w:tcPr>
            <w:tcW w:w="2126" w:type="dxa"/>
            <w:tcBorders>
              <w:top w:val="single" w:color="000000" w:sz="12" w:space="0"/>
              <w:bottom w:val="single" w:color="000000" w:sz="6" w:space="0"/>
            </w:tcBorders>
          </w:tcPr>
          <w:p w14:paraId="00F272D7">
            <w:pPr>
              <w:spacing w:before="40" w:after="40" w:line="240" w:lineRule="auto"/>
              <w:ind w:firstLine="0"/>
              <w:jc w:val="center"/>
            </w:pPr>
            <w:r>
              <w:rPr>
                <w:rFonts w:ascii="宋体" w:hAnsi="宋体" w:eastAsia="宋体"/>
                <w:b/>
                <w:sz w:val="21"/>
              </w:rPr>
              <w:t>使用率(%)</w:t>
            </w:r>
          </w:p>
        </w:tc>
        <w:tc>
          <w:tcPr>
            <w:tcW w:w="2126" w:type="dxa"/>
            <w:tcBorders>
              <w:top w:val="single" w:color="000000" w:sz="12" w:space="0"/>
              <w:bottom w:val="single" w:color="000000" w:sz="6" w:space="0"/>
            </w:tcBorders>
          </w:tcPr>
          <w:p w14:paraId="442966F4">
            <w:pPr>
              <w:spacing w:before="40" w:after="40" w:line="240" w:lineRule="auto"/>
              <w:ind w:firstLine="0"/>
              <w:jc w:val="center"/>
            </w:pPr>
            <w:r>
              <w:rPr>
                <w:rFonts w:ascii="宋体" w:hAnsi="宋体" w:eastAsia="宋体"/>
                <w:b/>
                <w:sz w:val="21"/>
              </w:rPr>
              <w:t>均值</w:t>
            </w:r>
          </w:p>
        </w:tc>
        <w:tc>
          <w:tcPr>
            <w:tcW w:w="2126" w:type="dxa"/>
            <w:tcBorders>
              <w:top w:val="single" w:color="000000" w:sz="12" w:space="0"/>
              <w:bottom w:val="single" w:color="000000" w:sz="6" w:space="0"/>
            </w:tcBorders>
          </w:tcPr>
          <w:p w14:paraId="1E755EC6">
            <w:pPr>
              <w:spacing w:before="40" w:after="40" w:line="240" w:lineRule="auto"/>
              <w:ind w:firstLine="0"/>
              <w:jc w:val="center"/>
            </w:pPr>
            <w:r>
              <w:rPr>
                <w:rFonts w:ascii="宋体" w:hAnsi="宋体" w:eastAsia="宋体"/>
                <w:b/>
                <w:sz w:val="21"/>
              </w:rPr>
              <w:t>标准差</w:t>
            </w:r>
          </w:p>
        </w:tc>
      </w:tr>
      <w:tr w14:paraId="50256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499C23EC">
            <w:pPr>
              <w:spacing w:before="40" w:after="40" w:line="240" w:lineRule="auto"/>
              <w:ind w:firstLine="0"/>
              <w:jc w:val="center"/>
            </w:pPr>
            <w:r>
              <w:rPr>
                <w:rFonts w:ascii="宋体" w:hAnsi="宋体" w:eastAsia="宋体"/>
                <w:b w:val="0"/>
                <w:sz w:val="21"/>
              </w:rPr>
              <w:t>云计算/大数据</w:t>
            </w:r>
          </w:p>
        </w:tc>
        <w:tc>
          <w:tcPr>
            <w:tcW w:w="2126" w:type="dxa"/>
          </w:tcPr>
          <w:p w14:paraId="1FB47F1C">
            <w:pPr>
              <w:spacing w:before="40" w:after="40" w:line="240" w:lineRule="auto"/>
              <w:ind w:firstLine="0"/>
              <w:jc w:val="center"/>
            </w:pPr>
            <w:r>
              <w:rPr>
                <w:rFonts w:ascii="宋体" w:hAnsi="宋体" w:eastAsia="宋体"/>
                <w:b w:val="0"/>
                <w:sz w:val="21"/>
              </w:rPr>
              <w:t>72.4</w:t>
            </w:r>
          </w:p>
        </w:tc>
        <w:tc>
          <w:tcPr>
            <w:tcW w:w="2126" w:type="dxa"/>
          </w:tcPr>
          <w:p w14:paraId="48625C88">
            <w:pPr>
              <w:spacing w:before="40" w:after="40" w:line="240" w:lineRule="auto"/>
              <w:ind w:firstLine="0"/>
              <w:jc w:val="center"/>
            </w:pPr>
            <w:r>
              <w:rPr>
                <w:rFonts w:ascii="宋体" w:hAnsi="宋体" w:eastAsia="宋体"/>
                <w:b w:val="0"/>
                <w:sz w:val="21"/>
              </w:rPr>
              <w:t>4.1</w:t>
            </w:r>
          </w:p>
        </w:tc>
        <w:tc>
          <w:tcPr>
            <w:tcW w:w="2126" w:type="dxa"/>
          </w:tcPr>
          <w:p w14:paraId="6F417523">
            <w:pPr>
              <w:spacing w:before="40" w:after="40" w:line="240" w:lineRule="auto"/>
              <w:ind w:firstLine="0"/>
              <w:jc w:val="center"/>
            </w:pPr>
            <w:r>
              <w:rPr>
                <w:rFonts w:ascii="宋体" w:hAnsi="宋体" w:eastAsia="宋体"/>
                <w:b w:val="0"/>
                <w:sz w:val="21"/>
              </w:rPr>
              <w:t>0.9</w:t>
            </w:r>
          </w:p>
        </w:tc>
      </w:tr>
      <w:tr w14:paraId="4BA59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44CAB36">
            <w:pPr>
              <w:spacing w:before="40" w:after="40" w:line="240" w:lineRule="auto"/>
              <w:ind w:firstLine="0"/>
              <w:jc w:val="center"/>
            </w:pPr>
            <w:r>
              <w:rPr>
                <w:rFonts w:ascii="宋体" w:hAnsi="宋体" w:eastAsia="宋体"/>
                <w:b w:val="0"/>
                <w:sz w:val="21"/>
              </w:rPr>
              <w:t>人工智能/自动化</w:t>
            </w:r>
          </w:p>
        </w:tc>
        <w:tc>
          <w:tcPr>
            <w:tcW w:w="2126" w:type="dxa"/>
          </w:tcPr>
          <w:p w14:paraId="0EFDA301">
            <w:pPr>
              <w:spacing w:before="40" w:after="40" w:line="240" w:lineRule="auto"/>
              <w:ind w:firstLine="0"/>
              <w:jc w:val="center"/>
            </w:pPr>
            <w:r>
              <w:rPr>
                <w:rFonts w:ascii="宋体" w:hAnsi="宋体" w:eastAsia="宋体"/>
                <w:b w:val="0"/>
                <w:sz w:val="21"/>
              </w:rPr>
              <w:t>58.9</w:t>
            </w:r>
          </w:p>
        </w:tc>
        <w:tc>
          <w:tcPr>
            <w:tcW w:w="2126" w:type="dxa"/>
          </w:tcPr>
          <w:p w14:paraId="14B00002">
            <w:pPr>
              <w:spacing w:before="40" w:after="40" w:line="240" w:lineRule="auto"/>
              <w:ind w:firstLine="0"/>
              <w:jc w:val="center"/>
            </w:pPr>
            <w:r>
              <w:rPr>
                <w:rFonts w:ascii="宋体" w:hAnsi="宋体" w:eastAsia="宋体"/>
                <w:b w:val="0"/>
                <w:sz w:val="21"/>
              </w:rPr>
              <w:t>3.6</w:t>
            </w:r>
          </w:p>
        </w:tc>
        <w:tc>
          <w:tcPr>
            <w:tcW w:w="2126" w:type="dxa"/>
          </w:tcPr>
          <w:p w14:paraId="788C1B1E">
            <w:pPr>
              <w:spacing w:before="40" w:after="40" w:line="240" w:lineRule="auto"/>
              <w:ind w:firstLine="0"/>
              <w:jc w:val="center"/>
            </w:pPr>
            <w:r>
              <w:rPr>
                <w:rFonts w:ascii="宋体" w:hAnsi="宋体" w:eastAsia="宋体"/>
                <w:b w:val="0"/>
                <w:sz w:val="21"/>
              </w:rPr>
              <w:t>1.2</w:t>
            </w:r>
          </w:p>
        </w:tc>
      </w:tr>
      <w:tr w14:paraId="0FE3F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EF459FB">
            <w:pPr>
              <w:spacing w:before="40" w:after="40" w:line="240" w:lineRule="auto"/>
              <w:ind w:firstLine="0"/>
              <w:jc w:val="center"/>
            </w:pPr>
            <w:r>
              <w:rPr>
                <w:rFonts w:ascii="宋体" w:hAnsi="宋体" w:eastAsia="宋体"/>
                <w:b w:val="0"/>
                <w:sz w:val="21"/>
              </w:rPr>
              <w:t>区块链/安全工具</w:t>
            </w:r>
          </w:p>
        </w:tc>
        <w:tc>
          <w:tcPr>
            <w:tcW w:w="2126" w:type="dxa"/>
          </w:tcPr>
          <w:p w14:paraId="53CB502E">
            <w:pPr>
              <w:spacing w:before="40" w:after="40" w:line="240" w:lineRule="auto"/>
              <w:ind w:firstLine="0"/>
              <w:jc w:val="center"/>
            </w:pPr>
            <w:r>
              <w:rPr>
                <w:rFonts w:ascii="宋体" w:hAnsi="宋体" w:eastAsia="宋体"/>
                <w:b w:val="0"/>
                <w:sz w:val="21"/>
              </w:rPr>
              <w:t>45.4</w:t>
            </w:r>
          </w:p>
        </w:tc>
        <w:tc>
          <w:tcPr>
            <w:tcW w:w="2126" w:type="dxa"/>
          </w:tcPr>
          <w:p w14:paraId="3BE89B72">
            <w:pPr>
              <w:spacing w:before="40" w:after="40" w:line="240" w:lineRule="auto"/>
              <w:ind w:firstLine="0"/>
              <w:jc w:val="center"/>
            </w:pPr>
            <w:r>
              <w:rPr>
                <w:rFonts w:ascii="宋体" w:hAnsi="宋体" w:eastAsia="宋体"/>
                <w:b w:val="0"/>
                <w:sz w:val="21"/>
              </w:rPr>
              <w:t>3.1</w:t>
            </w:r>
          </w:p>
        </w:tc>
        <w:tc>
          <w:tcPr>
            <w:tcW w:w="2126" w:type="dxa"/>
          </w:tcPr>
          <w:p w14:paraId="57C303CD">
            <w:pPr>
              <w:spacing w:before="40" w:after="40" w:line="240" w:lineRule="auto"/>
              <w:ind w:firstLine="0"/>
              <w:jc w:val="center"/>
            </w:pPr>
            <w:r>
              <w:rPr>
                <w:rFonts w:ascii="宋体" w:hAnsi="宋体" w:eastAsia="宋体"/>
                <w:b w:val="0"/>
                <w:sz w:val="21"/>
              </w:rPr>
              <w:t>1.3</w:t>
            </w:r>
          </w:p>
        </w:tc>
      </w:tr>
      <w:tr w14:paraId="3A75F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12" w:space="0"/>
            </w:tcBorders>
          </w:tcPr>
          <w:p w14:paraId="6FBA8EEE">
            <w:pPr>
              <w:spacing w:before="40" w:after="40" w:line="240" w:lineRule="auto"/>
              <w:ind w:firstLine="0"/>
              <w:jc w:val="center"/>
            </w:pPr>
            <w:r>
              <w:rPr>
                <w:rFonts w:ascii="宋体" w:hAnsi="宋体" w:eastAsia="宋体"/>
                <w:b w:val="0"/>
                <w:sz w:val="21"/>
              </w:rPr>
              <w:t>整体集成度</w:t>
            </w:r>
          </w:p>
        </w:tc>
        <w:tc>
          <w:tcPr>
            <w:tcW w:w="2126" w:type="dxa"/>
            <w:tcBorders>
              <w:bottom w:val="single" w:color="000000" w:sz="12" w:space="0"/>
            </w:tcBorders>
          </w:tcPr>
          <w:p w14:paraId="510AF3B4">
            <w:pPr>
              <w:spacing w:before="40" w:after="40" w:line="240" w:lineRule="auto"/>
              <w:ind w:firstLine="0"/>
              <w:jc w:val="center"/>
            </w:pPr>
            <w:r>
              <w:rPr>
                <w:rFonts w:ascii="宋体" w:hAnsi="宋体" w:eastAsia="宋体"/>
                <w:b w:val="0"/>
                <w:sz w:val="21"/>
              </w:rPr>
              <w:t>45.9</w:t>
            </w:r>
          </w:p>
        </w:tc>
        <w:tc>
          <w:tcPr>
            <w:tcW w:w="2126" w:type="dxa"/>
            <w:tcBorders>
              <w:bottom w:val="single" w:color="000000" w:sz="12" w:space="0"/>
            </w:tcBorders>
          </w:tcPr>
          <w:p w14:paraId="3802F86E">
            <w:pPr>
              <w:spacing w:before="40" w:after="40" w:line="240" w:lineRule="auto"/>
              <w:ind w:firstLine="0"/>
              <w:jc w:val="center"/>
            </w:pPr>
            <w:r>
              <w:rPr>
                <w:rFonts w:ascii="宋体" w:hAnsi="宋体" w:eastAsia="宋体"/>
                <w:b w:val="0"/>
                <w:sz w:val="21"/>
              </w:rPr>
              <w:t>3.2</w:t>
            </w:r>
          </w:p>
        </w:tc>
        <w:tc>
          <w:tcPr>
            <w:tcW w:w="2126" w:type="dxa"/>
            <w:tcBorders>
              <w:bottom w:val="single" w:color="000000" w:sz="12" w:space="0"/>
            </w:tcBorders>
          </w:tcPr>
          <w:p w14:paraId="26D4D9C9">
            <w:pPr>
              <w:spacing w:before="40" w:after="40" w:line="240" w:lineRule="auto"/>
              <w:ind w:firstLine="0"/>
              <w:jc w:val="center"/>
            </w:pPr>
            <w:r>
              <w:rPr>
                <w:rFonts w:ascii="宋体" w:hAnsi="宋体" w:eastAsia="宋体"/>
                <w:b w:val="0"/>
                <w:sz w:val="21"/>
              </w:rPr>
              <w:t>1.1</w:t>
            </w:r>
          </w:p>
        </w:tc>
      </w:tr>
    </w:tbl>
    <w:p w14:paraId="1C161128">
      <w:pPr>
        <w:spacing w:after="0"/>
        <w:ind w:firstLine="0"/>
      </w:pPr>
    </w:p>
    <w:p w14:paraId="5206B8D2">
      <w:pPr>
        <w:spacing w:after="0" w:line="360" w:lineRule="auto"/>
        <w:ind w:firstLine="480"/>
        <w:jc w:val="both"/>
      </w:pPr>
      <w:r>
        <w:rPr>
          <w:rFonts w:ascii="宋体" w:hAnsi="宋体" w:eastAsia="宋体"/>
          <w:b w:val="0"/>
          <w:sz w:val="24"/>
        </w:rPr>
        <w:t>该表显示云计算应用最广泛，但集成度最低，需优化。工具使用率与集成度如图3-3所示。</w:t>
      </w:r>
    </w:p>
    <w:p w14:paraId="1A79D3B5">
      <w:pPr>
        <w:spacing w:before="160" w:after="60" w:line="240" w:lineRule="auto"/>
        <w:ind w:firstLine="0"/>
        <w:jc w:val="center"/>
      </w:pPr>
      <w:r>
        <w:drawing>
          <wp:inline distT="0" distB="0" distL="114300" distR="114300">
            <wp:extent cx="5039995" cy="1929130"/>
            <wp:effectExtent l="0" t="0" r="444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40000" cy="1929270"/>
                    </a:xfrm>
                    <a:prstGeom prst="rect">
                      <a:avLst/>
                    </a:prstGeom>
                  </pic:spPr>
                </pic:pic>
              </a:graphicData>
            </a:graphic>
          </wp:inline>
        </w:drawing>
      </w:r>
    </w:p>
    <w:p w14:paraId="1CC2EBB8">
      <w:pPr>
        <w:spacing w:after="160" w:line="240" w:lineRule="auto"/>
        <w:ind w:firstLine="0"/>
        <w:jc w:val="center"/>
      </w:pPr>
      <w:r>
        <w:rPr>
          <w:rFonts w:ascii="宋体" w:hAnsi="宋体" w:eastAsia="宋体"/>
          <w:b/>
          <w:sz w:val="21"/>
        </w:rPr>
        <w:t>图3-3 数字化工具使用率、集成度与满意度</w:t>
      </w:r>
    </w:p>
    <w:p w14:paraId="45512641">
      <w:pPr>
        <w:spacing w:after="200" w:line="240" w:lineRule="auto"/>
        <w:ind w:firstLine="0"/>
        <w:jc w:val="center"/>
      </w:pPr>
      <w:r>
        <w:rPr>
          <w:rFonts w:ascii="宋体" w:hAnsi="宋体" w:eastAsia="宋体"/>
          <w:b w:val="0"/>
          <w:color w:val="595959"/>
          <w:sz w:val="17"/>
        </w:rPr>
        <w:t>数据来源：表3-8。</w:t>
      </w:r>
    </w:p>
    <w:p w14:paraId="16BE837A">
      <w:pPr>
        <w:spacing w:after="0" w:line="360" w:lineRule="auto"/>
        <w:ind w:firstLine="480"/>
        <w:jc w:val="both"/>
      </w:pPr>
      <w:r>
        <w:rPr>
          <w:rFonts w:ascii="宋体" w:hAnsi="宋体" w:eastAsia="宋体"/>
          <w:b w:val="0"/>
          <w:sz w:val="24"/>
        </w:rPr>
        <w:t>资源利用效率方面，调查显示流程冗余导致浪费。问卷均值3.5表示资源效率中等，标准差1.0。具体而言，纸质文档使用占比仍达40%，文件打印、签字与存档环节造成额外消耗；员工数字化意识得分3.7，但技能培训覆盖率仅55%；节点延时问题突出，52.4%的受访者认为节点延时时长影响交付；无效返工与资源浪费率约15%。与动态能力理论相符，公司感知机会但抓住能力不足。从分组均值看，资源效率与数字化应用水平同向变化，数字化意识与培训覆盖率也呈现一致方向；高学历组的资源效率得分略高于低学历组，访谈亦印证了教育背景对工具掌握程度的影响。</w:t>
      </w:r>
    </w:p>
    <w:p w14:paraId="5009AB31">
      <w:pPr>
        <w:spacing w:before="120" w:after="40"/>
        <w:ind w:firstLine="0"/>
        <w:jc w:val="center"/>
      </w:pPr>
      <w:r>
        <w:rPr>
          <w:rFonts w:ascii="宋体" w:hAnsi="宋体" w:eastAsia="宋体"/>
          <w:b/>
          <w:sz w:val="21"/>
        </w:rPr>
        <w:t>表3-9 流程与资源效率关键指标</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69752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126" w:type="dxa"/>
            <w:tcBorders>
              <w:top w:val="single" w:color="000000" w:sz="12" w:space="0"/>
              <w:bottom w:val="single" w:color="000000" w:sz="6" w:space="0"/>
            </w:tcBorders>
          </w:tcPr>
          <w:p w14:paraId="326B9AE0">
            <w:pPr>
              <w:spacing w:before="40" w:after="40" w:line="240" w:lineRule="auto"/>
              <w:ind w:firstLine="0"/>
              <w:jc w:val="center"/>
            </w:pPr>
            <w:r>
              <w:rPr>
                <w:rFonts w:ascii="宋体" w:hAnsi="宋体" w:eastAsia="宋体"/>
                <w:b/>
                <w:sz w:val="21"/>
              </w:rPr>
              <w:t>指标</w:t>
            </w:r>
          </w:p>
        </w:tc>
        <w:tc>
          <w:tcPr>
            <w:tcW w:w="2126" w:type="dxa"/>
            <w:tcBorders>
              <w:top w:val="single" w:color="000000" w:sz="12" w:space="0"/>
              <w:bottom w:val="single" w:color="000000" w:sz="6" w:space="0"/>
            </w:tcBorders>
          </w:tcPr>
          <w:p w14:paraId="5083CA46">
            <w:pPr>
              <w:spacing w:before="40" w:after="40" w:line="240" w:lineRule="auto"/>
              <w:ind w:firstLine="0"/>
              <w:jc w:val="center"/>
            </w:pPr>
            <w:r>
              <w:rPr>
                <w:rFonts w:ascii="宋体" w:hAnsi="宋体" w:eastAsia="宋体"/>
                <w:b/>
                <w:sz w:val="21"/>
              </w:rPr>
              <w:t>均值</w:t>
            </w:r>
          </w:p>
        </w:tc>
        <w:tc>
          <w:tcPr>
            <w:tcW w:w="2126" w:type="dxa"/>
            <w:tcBorders>
              <w:top w:val="single" w:color="000000" w:sz="12" w:space="0"/>
              <w:bottom w:val="single" w:color="000000" w:sz="6" w:space="0"/>
            </w:tcBorders>
          </w:tcPr>
          <w:p w14:paraId="6D2711D5">
            <w:pPr>
              <w:spacing w:before="40" w:after="40" w:line="240" w:lineRule="auto"/>
              <w:ind w:firstLine="0"/>
              <w:jc w:val="center"/>
            </w:pPr>
            <w:r>
              <w:rPr>
                <w:rFonts w:ascii="宋体" w:hAnsi="宋体" w:eastAsia="宋体"/>
                <w:b/>
                <w:sz w:val="21"/>
              </w:rPr>
              <w:t>标准差</w:t>
            </w:r>
          </w:p>
        </w:tc>
        <w:tc>
          <w:tcPr>
            <w:tcW w:w="2126" w:type="dxa"/>
            <w:tcBorders>
              <w:top w:val="single" w:color="000000" w:sz="12" w:space="0"/>
              <w:bottom w:val="single" w:color="000000" w:sz="6" w:space="0"/>
            </w:tcBorders>
          </w:tcPr>
          <w:p w14:paraId="65440A9A">
            <w:pPr>
              <w:spacing w:before="40" w:after="40" w:line="240" w:lineRule="auto"/>
              <w:ind w:firstLine="0"/>
              <w:jc w:val="center"/>
            </w:pPr>
            <w:r>
              <w:rPr>
                <w:rFonts w:ascii="宋体" w:hAnsi="宋体" w:eastAsia="宋体"/>
                <w:b/>
                <w:sz w:val="21"/>
              </w:rPr>
              <w:t>问题占比(%)</w:t>
            </w:r>
          </w:p>
        </w:tc>
      </w:tr>
      <w:tr w14:paraId="076A1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808BB03">
            <w:pPr>
              <w:spacing w:before="40" w:after="40" w:line="240" w:lineRule="auto"/>
              <w:ind w:firstLine="0"/>
              <w:jc w:val="center"/>
            </w:pPr>
            <w:r>
              <w:rPr>
                <w:rFonts w:ascii="宋体" w:hAnsi="宋体" w:eastAsia="宋体"/>
                <w:b w:val="0"/>
                <w:sz w:val="21"/>
              </w:rPr>
              <w:t>纸质文档使用</w:t>
            </w:r>
          </w:p>
        </w:tc>
        <w:tc>
          <w:tcPr>
            <w:tcW w:w="2126" w:type="dxa"/>
          </w:tcPr>
          <w:p w14:paraId="2223A637">
            <w:pPr>
              <w:spacing w:before="40" w:after="40" w:line="240" w:lineRule="auto"/>
              <w:ind w:firstLine="0"/>
              <w:jc w:val="center"/>
            </w:pPr>
            <w:r>
              <w:rPr>
                <w:rFonts w:ascii="宋体" w:hAnsi="宋体" w:eastAsia="宋体"/>
                <w:b w:val="0"/>
                <w:sz w:val="21"/>
              </w:rPr>
              <w:t>3.4</w:t>
            </w:r>
          </w:p>
        </w:tc>
        <w:tc>
          <w:tcPr>
            <w:tcW w:w="2126" w:type="dxa"/>
          </w:tcPr>
          <w:p w14:paraId="2AE642AD">
            <w:pPr>
              <w:spacing w:before="40" w:after="40" w:line="240" w:lineRule="auto"/>
              <w:ind w:firstLine="0"/>
              <w:jc w:val="center"/>
            </w:pPr>
            <w:r>
              <w:rPr>
                <w:rFonts w:ascii="宋体" w:hAnsi="宋体" w:eastAsia="宋体"/>
                <w:b w:val="0"/>
                <w:sz w:val="21"/>
              </w:rPr>
              <w:t>1.1</w:t>
            </w:r>
          </w:p>
        </w:tc>
        <w:tc>
          <w:tcPr>
            <w:tcW w:w="2126" w:type="dxa"/>
          </w:tcPr>
          <w:p w14:paraId="1B960279">
            <w:pPr>
              <w:spacing w:before="40" w:after="40" w:line="240" w:lineRule="auto"/>
              <w:ind w:firstLine="0"/>
              <w:jc w:val="center"/>
            </w:pPr>
            <w:r>
              <w:rPr>
                <w:rFonts w:ascii="宋体" w:hAnsi="宋体" w:eastAsia="宋体"/>
                <w:b w:val="0"/>
                <w:sz w:val="21"/>
              </w:rPr>
              <w:t>40.0</w:t>
            </w:r>
          </w:p>
        </w:tc>
      </w:tr>
      <w:tr w14:paraId="12A26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636D414">
            <w:pPr>
              <w:spacing w:before="40" w:after="40" w:line="240" w:lineRule="auto"/>
              <w:ind w:firstLine="0"/>
              <w:jc w:val="center"/>
            </w:pPr>
            <w:r>
              <w:rPr>
                <w:rFonts w:ascii="宋体" w:hAnsi="宋体" w:eastAsia="宋体"/>
                <w:b w:val="0"/>
                <w:sz w:val="21"/>
              </w:rPr>
              <w:t>节点延时</w:t>
            </w:r>
          </w:p>
        </w:tc>
        <w:tc>
          <w:tcPr>
            <w:tcW w:w="2126" w:type="dxa"/>
          </w:tcPr>
          <w:p w14:paraId="3125437E">
            <w:pPr>
              <w:spacing w:before="40" w:after="40" w:line="240" w:lineRule="auto"/>
              <w:ind w:firstLine="0"/>
              <w:jc w:val="center"/>
            </w:pPr>
            <w:r>
              <w:rPr>
                <w:rFonts w:ascii="宋体" w:hAnsi="宋体" w:eastAsia="宋体"/>
                <w:b w:val="0"/>
                <w:sz w:val="21"/>
              </w:rPr>
              <w:t>3.2</w:t>
            </w:r>
          </w:p>
        </w:tc>
        <w:tc>
          <w:tcPr>
            <w:tcW w:w="2126" w:type="dxa"/>
          </w:tcPr>
          <w:p w14:paraId="3E68099C">
            <w:pPr>
              <w:spacing w:before="40" w:after="40" w:line="240" w:lineRule="auto"/>
              <w:ind w:firstLine="0"/>
              <w:jc w:val="center"/>
            </w:pPr>
            <w:r>
              <w:rPr>
                <w:rFonts w:ascii="宋体" w:hAnsi="宋体" w:eastAsia="宋体"/>
                <w:b w:val="0"/>
                <w:sz w:val="21"/>
              </w:rPr>
              <w:t>1.2</w:t>
            </w:r>
          </w:p>
        </w:tc>
        <w:tc>
          <w:tcPr>
            <w:tcW w:w="2126" w:type="dxa"/>
          </w:tcPr>
          <w:p w14:paraId="2426AABC">
            <w:pPr>
              <w:spacing w:before="40" w:after="40" w:line="240" w:lineRule="auto"/>
              <w:ind w:firstLine="0"/>
              <w:jc w:val="center"/>
            </w:pPr>
            <w:r>
              <w:rPr>
                <w:rFonts w:ascii="宋体" w:hAnsi="宋体" w:eastAsia="宋体"/>
                <w:b w:val="0"/>
                <w:sz w:val="21"/>
              </w:rPr>
              <w:t>52.4</w:t>
            </w:r>
          </w:p>
        </w:tc>
      </w:tr>
      <w:tr w14:paraId="0EFB5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12" w:space="0"/>
            </w:tcBorders>
          </w:tcPr>
          <w:p w14:paraId="05AD1463">
            <w:pPr>
              <w:spacing w:before="40" w:after="40" w:line="240" w:lineRule="auto"/>
              <w:ind w:firstLine="0"/>
              <w:jc w:val="center"/>
            </w:pPr>
            <w:r>
              <w:rPr>
                <w:rFonts w:ascii="宋体" w:hAnsi="宋体" w:eastAsia="宋体"/>
                <w:b w:val="0"/>
                <w:sz w:val="21"/>
              </w:rPr>
              <w:t>整体效率满意度</w:t>
            </w:r>
          </w:p>
        </w:tc>
        <w:tc>
          <w:tcPr>
            <w:tcW w:w="2126" w:type="dxa"/>
            <w:tcBorders>
              <w:bottom w:val="single" w:color="000000" w:sz="12" w:space="0"/>
            </w:tcBorders>
          </w:tcPr>
          <w:p w14:paraId="5312F408">
            <w:pPr>
              <w:spacing w:before="40" w:after="40" w:line="240" w:lineRule="auto"/>
              <w:ind w:firstLine="0"/>
              <w:jc w:val="center"/>
            </w:pPr>
            <w:r>
              <w:rPr>
                <w:rFonts w:ascii="宋体" w:hAnsi="宋体" w:eastAsia="宋体"/>
                <w:b w:val="0"/>
                <w:sz w:val="21"/>
              </w:rPr>
              <w:t>3.5</w:t>
            </w:r>
          </w:p>
        </w:tc>
        <w:tc>
          <w:tcPr>
            <w:tcW w:w="2126" w:type="dxa"/>
            <w:tcBorders>
              <w:bottom w:val="single" w:color="000000" w:sz="12" w:space="0"/>
            </w:tcBorders>
          </w:tcPr>
          <w:p w14:paraId="397DCB9B">
            <w:pPr>
              <w:spacing w:before="40" w:after="40" w:line="240" w:lineRule="auto"/>
              <w:ind w:firstLine="0"/>
              <w:jc w:val="center"/>
            </w:pPr>
            <w:r>
              <w:rPr>
                <w:rFonts w:ascii="宋体" w:hAnsi="宋体" w:eastAsia="宋体"/>
                <w:b w:val="0"/>
                <w:sz w:val="21"/>
              </w:rPr>
              <w:t>1.0</w:t>
            </w:r>
          </w:p>
        </w:tc>
        <w:tc>
          <w:tcPr>
            <w:tcW w:w="2126" w:type="dxa"/>
            <w:tcBorders>
              <w:bottom w:val="single" w:color="000000" w:sz="12" w:space="0"/>
            </w:tcBorders>
          </w:tcPr>
          <w:p w14:paraId="6B055918">
            <w:pPr>
              <w:spacing w:before="40" w:after="40" w:line="240" w:lineRule="auto"/>
              <w:ind w:firstLine="0"/>
              <w:jc w:val="center"/>
            </w:pPr>
            <w:r>
              <w:rPr>
                <w:rFonts w:ascii="宋体" w:hAnsi="宋体" w:eastAsia="宋体"/>
                <w:b w:val="0"/>
                <w:sz w:val="21"/>
              </w:rPr>
              <w:t>—</w:t>
            </w:r>
          </w:p>
        </w:tc>
      </w:tr>
    </w:tbl>
    <w:p w14:paraId="00B323B4">
      <w:pPr>
        <w:spacing w:after="0"/>
        <w:ind w:firstLine="0"/>
      </w:pPr>
    </w:p>
    <w:p w14:paraId="240669AB">
      <w:pPr>
        <w:spacing w:after="0" w:line="360" w:lineRule="auto"/>
        <w:ind w:firstLine="480"/>
        <w:jc w:val="both"/>
      </w:pPr>
      <w:r>
        <w:rPr>
          <w:rFonts w:ascii="宋体" w:hAnsi="宋体" w:eastAsia="宋体"/>
          <w:b w:val="0"/>
          <w:sz w:val="24"/>
        </w:rPr>
        <w:t>该表突出节点延时问题，延时占比过半。</w:t>
      </w:r>
    </w:p>
    <w:p w14:paraId="1799A53D">
      <w:pPr>
        <w:spacing w:before="120" w:after="40"/>
        <w:ind w:firstLine="0"/>
        <w:jc w:val="center"/>
      </w:pPr>
      <w:r>
        <w:rPr>
          <w:rFonts w:ascii="宋体" w:hAnsi="宋体" w:eastAsia="宋体"/>
          <w:b/>
          <w:sz w:val="21"/>
        </w:rPr>
        <w:t>表3-10 人力与激励状况关键指标</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7B366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126" w:type="dxa"/>
            <w:tcBorders>
              <w:top w:val="single" w:color="000000" w:sz="12" w:space="0"/>
              <w:bottom w:val="single" w:color="000000" w:sz="6" w:space="0"/>
            </w:tcBorders>
          </w:tcPr>
          <w:p w14:paraId="6C94E773">
            <w:pPr>
              <w:spacing w:before="40" w:after="40" w:line="240" w:lineRule="auto"/>
              <w:ind w:firstLine="0"/>
              <w:jc w:val="center"/>
            </w:pPr>
            <w:r>
              <w:rPr>
                <w:rFonts w:ascii="宋体" w:hAnsi="宋体" w:eastAsia="宋体"/>
                <w:b/>
                <w:sz w:val="21"/>
              </w:rPr>
              <w:t>指标</w:t>
            </w:r>
          </w:p>
        </w:tc>
        <w:tc>
          <w:tcPr>
            <w:tcW w:w="2126" w:type="dxa"/>
            <w:tcBorders>
              <w:top w:val="single" w:color="000000" w:sz="12" w:space="0"/>
              <w:bottom w:val="single" w:color="000000" w:sz="6" w:space="0"/>
            </w:tcBorders>
          </w:tcPr>
          <w:p w14:paraId="14FFA873">
            <w:pPr>
              <w:spacing w:before="40" w:after="40" w:line="240" w:lineRule="auto"/>
              <w:ind w:firstLine="0"/>
              <w:jc w:val="center"/>
            </w:pPr>
            <w:r>
              <w:rPr>
                <w:rFonts w:ascii="宋体" w:hAnsi="宋体" w:eastAsia="宋体"/>
                <w:b/>
                <w:sz w:val="21"/>
              </w:rPr>
              <w:t>均值</w:t>
            </w:r>
          </w:p>
        </w:tc>
        <w:tc>
          <w:tcPr>
            <w:tcW w:w="2126" w:type="dxa"/>
            <w:tcBorders>
              <w:top w:val="single" w:color="000000" w:sz="12" w:space="0"/>
              <w:bottom w:val="single" w:color="000000" w:sz="6" w:space="0"/>
            </w:tcBorders>
          </w:tcPr>
          <w:p w14:paraId="60D5EA01">
            <w:pPr>
              <w:spacing w:before="40" w:after="40" w:line="240" w:lineRule="auto"/>
              <w:ind w:firstLine="0"/>
              <w:jc w:val="center"/>
            </w:pPr>
            <w:r>
              <w:rPr>
                <w:rFonts w:ascii="宋体" w:hAnsi="宋体" w:eastAsia="宋体"/>
                <w:b/>
                <w:sz w:val="21"/>
              </w:rPr>
              <w:t>标准差</w:t>
            </w:r>
          </w:p>
        </w:tc>
        <w:tc>
          <w:tcPr>
            <w:tcW w:w="2126" w:type="dxa"/>
            <w:tcBorders>
              <w:top w:val="single" w:color="000000" w:sz="12" w:space="0"/>
              <w:bottom w:val="single" w:color="000000" w:sz="6" w:space="0"/>
            </w:tcBorders>
          </w:tcPr>
          <w:p w14:paraId="2298675A">
            <w:pPr>
              <w:spacing w:before="40" w:after="40" w:line="240" w:lineRule="auto"/>
              <w:ind w:firstLine="0"/>
              <w:jc w:val="center"/>
            </w:pPr>
            <w:r>
              <w:rPr>
                <w:rFonts w:ascii="宋体" w:hAnsi="宋体" w:eastAsia="宋体"/>
                <w:b/>
                <w:sz w:val="21"/>
              </w:rPr>
              <w:t>问题占比(%)</w:t>
            </w:r>
          </w:p>
        </w:tc>
      </w:tr>
      <w:tr w14:paraId="545E0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03D6256">
            <w:pPr>
              <w:spacing w:before="40" w:after="40" w:line="240" w:lineRule="auto"/>
              <w:ind w:firstLine="0"/>
              <w:jc w:val="center"/>
            </w:pPr>
            <w:r>
              <w:rPr>
                <w:rFonts w:ascii="宋体" w:hAnsi="宋体" w:eastAsia="宋体"/>
                <w:b w:val="0"/>
                <w:sz w:val="21"/>
              </w:rPr>
              <w:t>数字化意识</w:t>
            </w:r>
          </w:p>
        </w:tc>
        <w:tc>
          <w:tcPr>
            <w:tcW w:w="2126" w:type="dxa"/>
          </w:tcPr>
          <w:p w14:paraId="392FCBFA">
            <w:pPr>
              <w:spacing w:before="40" w:after="40" w:line="240" w:lineRule="auto"/>
              <w:ind w:firstLine="0"/>
              <w:jc w:val="center"/>
            </w:pPr>
            <w:r>
              <w:rPr>
                <w:rFonts w:ascii="宋体" w:hAnsi="宋体" w:eastAsia="宋体"/>
                <w:b w:val="0"/>
                <w:sz w:val="21"/>
              </w:rPr>
              <w:t>3.7</w:t>
            </w:r>
          </w:p>
        </w:tc>
        <w:tc>
          <w:tcPr>
            <w:tcW w:w="2126" w:type="dxa"/>
          </w:tcPr>
          <w:p w14:paraId="521DB519">
            <w:pPr>
              <w:spacing w:before="40" w:after="40" w:line="240" w:lineRule="auto"/>
              <w:ind w:firstLine="0"/>
              <w:jc w:val="center"/>
            </w:pPr>
            <w:r>
              <w:rPr>
                <w:rFonts w:ascii="宋体" w:hAnsi="宋体" w:eastAsia="宋体"/>
                <w:b w:val="0"/>
                <w:sz w:val="21"/>
              </w:rPr>
              <w:t>1.0</w:t>
            </w:r>
          </w:p>
        </w:tc>
        <w:tc>
          <w:tcPr>
            <w:tcW w:w="2126" w:type="dxa"/>
          </w:tcPr>
          <w:p w14:paraId="39802D09">
            <w:pPr>
              <w:spacing w:before="40" w:after="40" w:line="240" w:lineRule="auto"/>
              <w:ind w:firstLine="0"/>
              <w:jc w:val="center"/>
            </w:pPr>
            <w:r>
              <w:rPr>
                <w:rFonts w:ascii="宋体" w:hAnsi="宋体" w:eastAsia="宋体"/>
                <w:b w:val="0"/>
                <w:sz w:val="21"/>
              </w:rPr>
              <w:t>—</w:t>
            </w:r>
          </w:p>
        </w:tc>
      </w:tr>
      <w:tr w14:paraId="57A4B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E6CFB94">
            <w:pPr>
              <w:spacing w:before="40" w:after="40" w:line="240" w:lineRule="auto"/>
              <w:ind w:firstLine="0"/>
              <w:jc w:val="center"/>
            </w:pPr>
            <w:r>
              <w:rPr>
                <w:rFonts w:ascii="宋体" w:hAnsi="宋体" w:eastAsia="宋体"/>
                <w:b w:val="0"/>
                <w:sz w:val="21"/>
              </w:rPr>
              <w:t>培训覆盖率</w:t>
            </w:r>
          </w:p>
        </w:tc>
        <w:tc>
          <w:tcPr>
            <w:tcW w:w="2126" w:type="dxa"/>
          </w:tcPr>
          <w:p w14:paraId="264D8AC9">
            <w:pPr>
              <w:spacing w:before="40" w:after="40" w:line="240" w:lineRule="auto"/>
              <w:ind w:firstLine="0"/>
              <w:jc w:val="center"/>
            </w:pPr>
            <w:r>
              <w:rPr>
                <w:rFonts w:ascii="宋体" w:hAnsi="宋体" w:eastAsia="宋体"/>
                <w:b w:val="0"/>
                <w:sz w:val="21"/>
              </w:rPr>
              <w:t>3.1</w:t>
            </w:r>
          </w:p>
        </w:tc>
        <w:tc>
          <w:tcPr>
            <w:tcW w:w="2126" w:type="dxa"/>
          </w:tcPr>
          <w:p w14:paraId="0B52B3CF">
            <w:pPr>
              <w:spacing w:before="40" w:after="40" w:line="240" w:lineRule="auto"/>
              <w:ind w:firstLine="0"/>
              <w:jc w:val="center"/>
            </w:pPr>
            <w:r>
              <w:rPr>
                <w:rFonts w:ascii="宋体" w:hAnsi="宋体" w:eastAsia="宋体"/>
                <w:b w:val="0"/>
                <w:sz w:val="21"/>
              </w:rPr>
              <w:t>1.3</w:t>
            </w:r>
          </w:p>
        </w:tc>
        <w:tc>
          <w:tcPr>
            <w:tcW w:w="2126" w:type="dxa"/>
          </w:tcPr>
          <w:p w14:paraId="1BDA0D7A">
            <w:pPr>
              <w:spacing w:before="40" w:after="40" w:line="240" w:lineRule="auto"/>
              <w:ind w:firstLine="0"/>
              <w:jc w:val="center"/>
            </w:pPr>
            <w:r>
              <w:rPr>
                <w:rFonts w:ascii="宋体" w:hAnsi="宋体" w:eastAsia="宋体"/>
                <w:b w:val="0"/>
                <w:sz w:val="21"/>
              </w:rPr>
              <w:t>55.0</w:t>
            </w:r>
          </w:p>
        </w:tc>
      </w:tr>
      <w:tr w14:paraId="31B2B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2126" w:type="dxa"/>
            <w:tcBorders>
              <w:bottom w:val="single" w:color="000000" w:sz="12" w:space="0"/>
            </w:tcBorders>
          </w:tcPr>
          <w:p w14:paraId="51C0886D">
            <w:pPr>
              <w:spacing w:before="40" w:after="40" w:line="240" w:lineRule="auto"/>
              <w:ind w:firstLine="0"/>
              <w:jc w:val="center"/>
            </w:pPr>
            <w:r>
              <w:rPr>
                <w:rFonts w:ascii="宋体" w:hAnsi="宋体" w:eastAsia="宋体"/>
                <w:b w:val="0"/>
                <w:sz w:val="21"/>
              </w:rPr>
              <w:t>激励机制认同</w:t>
            </w:r>
          </w:p>
        </w:tc>
        <w:tc>
          <w:tcPr>
            <w:tcW w:w="2126" w:type="dxa"/>
            <w:tcBorders>
              <w:bottom w:val="single" w:color="000000" w:sz="12" w:space="0"/>
            </w:tcBorders>
          </w:tcPr>
          <w:p w14:paraId="49A37C2D">
            <w:pPr>
              <w:spacing w:before="40" w:after="40" w:line="240" w:lineRule="auto"/>
              <w:ind w:firstLine="0"/>
              <w:jc w:val="center"/>
            </w:pPr>
            <w:r>
              <w:rPr>
                <w:rFonts w:ascii="宋体" w:hAnsi="宋体" w:eastAsia="宋体"/>
                <w:b w:val="0"/>
                <w:sz w:val="21"/>
              </w:rPr>
              <w:t>3.1</w:t>
            </w:r>
          </w:p>
        </w:tc>
        <w:tc>
          <w:tcPr>
            <w:tcW w:w="2126" w:type="dxa"/>
            <w:tcBorders>
              <w:bottom w:val="single" w:color="000000" w:sz="12" w:space="0"/>
            </w:tcBorders>
          </w:tcPr>
          <w:p w14:paraId="4620F3E1">
            <w:pPr>
              <w:spacing w:before="40" w:after="40" w:line="240" w:lineRule="auto"/>
              <w:ind w:firstLine="0"/>
              <w:jc w:val="center"/>
            </w:pPr>
            <w:r>
              <w:rPr>
                <w:rFonts w:ascii="宋体" w:hAnsi="宋体" w:eastAsia="宋体"/>
                <w:b w:val="0"/>
                <w:sz w:val="21"/>
              </w:rPr>
              <w:t>1.1</w:t>
            </w:r>
          </w:p>
        </w:tc>
        <w:tc>
          <w:tcPr>
            <w:tcW w:w="2126" w:type="dxa"/>
            <w:tcBorders>
              <w:bottom w:val="single" w:color="000000" w:sz="12" w:space="0"/>
            </w:tcBorders>
          </w:tcPr>
          <w:p w14:paraId="1ED82B35">
            <w:pPr>
              <w:spacing w:before="40" w:after="40" w:line="240" w:lineRule="auto"/>
              <w:ind w:firstLine="0"/>
              <w:jc w:val="center"/>
            </w:pPr>
            <w:r>
              <w:rPr>
                <w:rFonts w:ascii="宋体" w:hAnsi="宋体" w:eastAsia="宋体"/>
                <w:b w:val="0"/>
                <w:sz w:val="21"/>
              </w:rPr>
              <w:t>40.5</w:t>
            </w:r>
          </w:p>
        </w:tc>
      </w:tr>
    </w:tbl>
    <w:p w14:paraId="6E921DA2">
      <w:pPr>
        <w:spacing w:after="0"/>
        <w:ind w:firstLine="0"/>
      </w:pPr>
    </w:p>
    <w:p w14:paraId="55AD571A">
      <w:pPr>
        <w:spacing w:after="0" w:line="360" w:lineRule="auto"/>
        <w:ind w:firstLine="480"/>
        <w:jc w:val="both"/>
      </w:pPr>
      <w:r>
        <w:rPr>
          <w:rFonts w:ascii="宋体" w:hAnsi="宋体" w:eastAsia="宋体"/>
          <w:b w:val="0"/>
          <w:sz w:val="24"/>
        </w:rPr>
        <w:t>该表显示员工数字化意识尚可，但培训覆盖不足、激励机制对数字化实践的支持偏弱。</w:t>
      </w:r>
    </w:p>
    <w:p w14:paraId="7D6E6812">
      <w:pPr>
        <w:spacing w:after="0" w:line="360" w:lineRule="auto"/>
        <w:ind w:firstLine="480"/>
        <w:jc w:val="both"/>
      </w:pPr>
      <w:r>
        <w:rPr>
          <w:rFonts w:ascii="宋体" w:hAnsi="宋体" w:eastAsia="宋体"/>
          <w:b w:val="0"/>
          <w:sz w:val="24"/>
        </w:rPr>
        <w:t>注：表3-8至表3-10数据来源均为问卷调查结果（N=185），均值为Likert五级量表得分。</w:t>
      </w:r>
    </w:p>
    <w:p w14:paraId="078FDC60">
      <w:pPr>
        <w:spacing w:after="0" w:line="360" w:lineRule="auto"/>
        <w:ind w:firstLine="480"/>
        <w:jc w:val="both"/>
      </w:pPr>
      <w:r>
        <w:rPr>
          <w:rFonts w:ascii="宋体" w:hAnsi="宋体" w:eastAsia="宋体"/>
          <w:b w:val="0"/>
          <w:sz w:val="24"/>
        </w:rPr>
        <w:t>此外，部门间存在差异。分组均值显示，招标代理部数字化得分高于管理部，但两部门流程衔接得分均偏低。地域分析显示，总部效率高于分支机构，可能因资源分配不均。整体现状积极：公司服务覆盖“一带一路”相关项目，国际业务数字化程度较高；但挑战明显，如技术基础设施薄弱。这些发现通过描述性比较与访谈相互印证，增强了可靠性，为问题分析提供依据。</w:t>
      </w:r>
    </w:p>
    <w:p w14:paraId="460E2A2D">
      <w:pPr>
        <w:spacing w:after="0" w:line="360" w:lineRule="auto"/>
        <w:ind w:firstLine="480"/>
        <w:jc w:val="both"/>
      </w:pPr>
      <w:r>
        <w:rPr>
          <w:rFonts w:ascii="宋体" w:hAnsi="宋体" w:eastAsia="宋体"/>
          <w:b w:val="0"/>
          <w:sz w:val="24"/>
        </w:rPr>
        <w:t>综上，调查结果揭示Z公司工作流程现状的二元性：数字化转型初见成效，但集成优化空间大。这些量化与定性结合的分析，为后续问题诊断奠定基础。三大核心问题的量化表征如图3-4所示。</w:t>
      </w:r>
    </w:p>
    <w:p w14:paraId="2F8E516D">
      <w:pPr>
        <w:spacing w:before="160" w:after="60" w:line="240" w:lineRule="auto"/>
        <w:ind w:firstLine="0"/>
        <w:jc w:val="center"/>
      </w:pPr>
      <w:r>
        <w:drawing>
          <wp:inline distT="0" distB="0" distL="114300" distR="114300">
            <wp:extent cx="5039995" cy="2693670"/>
            <wp:effectExtent l="0" t="0" r="444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040000" cy="2694078"/>
                    </a:xfrm>
                    <a:prstGeom prst="rect">
                      <a:avLst/>
                    </a:prstGeom>
                  </pic:spPr>
                </pic:pic>
              </a:graphicData>
            </a:graphic>
          </wp:inline>
        </w:drawing>
      </w:r>
    </w:p>
    <w:p w14:paraId="0B7F7A06">
      <w:pPr>
        <w:spacing w:after="160" w:line="240" w:lineRule="auto"/>
        <w:ind w:firstLine="0"/>
        <w:jc w:val="center"/>
      </w:pPr>
      <w:r>
        <w:rPr>
          <w:rFonts w:ascii="宋体" w:hAnsi="宋体" w:eastAsia="宋体"/>
          <w:b/>
          <w:sz w:val="21"/>
        </w:rPr>
        <w:t>图3-4 三大核心问题的量化表征</w:t>
      </w:r>
    </w:p>
    <w:p w14:paraId="1ABBADCE">
      <w:pPr>
        <w:spacing w:after="200" w:line="240" w:lineRule="auto"/>
        <w:ind w:firstLine="0"/>
        <w:jc w:val="center"/>
      </w:pPr>
      <w:r>
        <w:rPr>
          <w:rFonts w:ascii="宋体" w:hAnsi="宋体" w:eastAsia="宋体"/>
          <w:b w:val="0"/>
          <w:color w:val="595959"/>
          <w:sz w:val="17"/>
        </w:rPr>
        <w:t>数据来源：3.1.2节与3.2节调查结果；无效返工与资源浪费率为访谈估算值。</w:t>
      </w:r>
    </w:p>
    <w:p w14:paraId="169D7D0F">
      <w:pPr>
        <w:pStyle w:val="4"/>
      </w:pPr>
      <w:bookmarkStart w:id="28" w:name="_Toc14737"/>
      <w:r>
        <w:t>3.2 存在问题</w:t>
      </w:r>
      <w:bookmarkEnd w:id="28"/>
    </w:p>
    <w:p w14:paraId="7213647C">
      <w:pPr>
        <w:spacing w:after="0" w:line="360" w:lineRule="auto"/>
        <w:ind w:firstLine="480"/>
        <w:jc w:val="both"/>
      </w:pPr>
      <w:r>
        <w:rPr>
          <w:rFonts w:ascii="宋体" w:hAnsi="宋体" w:eastAsia="宋体"/>
          <w:b w:val="0"/>
          <w:sz w:val="24"/>
        </w:rPr>
        <w:t>基于前述调查结果和现状分析，本节深入探讨Z公司工作流程中存在的关键问题。这些问题直接源于公司日常运营实践，影响了工作效率、资源利用与服务质量。具体而言，主要问题包括数字化工具集成度低、流程节点冗余与时限管控薄弱、员工数字化技能与工具采纳不足三个方面。这些问题相互关联、相互强化，共同构成了公司工作流程优化的主要障碍。调查数据显示，超过70%的受访者认为这些问题对公司绩效产生中等以上影响，这进一步凸显了问题诊断的必要性和紧迫性。</w:t>
      </w:r>
    </w:p>
    <w:p w14:paraId="1C5BD64A">
      <w:pPr>
        <w:pStyle w:val="5"/>
      </w:pPr>
      <w:bookmarkStart w:id="29" w:name="_Toc10477"/>
      <w:r>
        <w:t>3.2.1 数字化工具集成度低</w:t>
      </w:r>
      <w:bookmarkEnd w:id="29"/>
    </w:p>
    <w:p w14:paraId="37F10985">
      <w:pPr>
        <w:spacing w:after="0" w:line="360" w:lineRule="auto"/>
        <w:ind w:firstLine="480"/>
        <w:jc w:val="both"/>
      </w:pPr>
      <w:r>
        <w:rPr>
          <w:rFonts w:ascii="宋体" w:hAnsi="宋体" w:eastAsia="宋体"/>
          <w:b w:val="0"/>
          <w:sz w:val="24"/>
        </w:rPr>
        <w:t>数字化工具集成度低是Z公司工作流程中的核心问题。尽管公司已引入多项数字技术，但工具之间缺乏有效衔接，导致数据流动不畅、操作重复和系统孤岛现象频发。根据调查，仅45.9%的受访者对工具集成度表示满意，员工在访谈中多次提到“数据需多次手动转移”和“不同系统间兼容性差”等实际困难。</w:t>
      </w:r>
    </w:p>
    <w:p w14:paraId="7E4F86D2">
      <w:pPr>
        <w:spacing w:after="0" w:line="360" w:lineRule="auto"/>
        <w:ind w:firstLine="480"/>
        <w:jc w:val="both"/>
      </w:pPr>
      <w:r>
        <w:rPr>
          <w:rFonts w:ascii="宋体" w:hAnsi="宋体" w:eastAsia="宋体"/>
          <w:b w:val="0"/>
          <w:sz w:val="24"/>
        </w:rPr>
        <w:t>这一问题在工作流程的具体环节中体现明显。例如，在投标文件解析到清标评分的过渡阶段，工作人员常常需要先在解析模块导出结果，再手动导入清标统计表，访谈反映这一过程往往需要一两个小时，增加了出错风险。同样，在合规检查环节，规则库检索结果与文件修订记录分散在不同界面，导致复核人员需要反复切换。问卷显示，虽然云计算和大数据工具的使用率较高，但集成度得分明显低于单一工具使用得分，凸显了系统间壁垒的严重性。</w:t>
      </w:r>
    </w:p>
    <w:p w14:paraId="414BD6FD">
      <w:pPr>
        <w:spacing w:after="0" w:line="360" w:lineRule="auto"/>
        <w:ind w:firstLine="480"/>
        <w:jc w:val="both"/>
      </w:pPr>
      <w:r>
        <w:rPr>
          <w:rFonts w:ascii="宋体" w:hAnsi="宋体" w:eastAsia="宋体"/>
          <w:b w:val="0"/>
          <w:sz w:val="24"/>
        </w:rPr>
        <w:t>地域和部门差异也加剧了这一问题。分组结果显示，总部员工对集成度的评价高于分支机构，这可能与资源分配不均衡有关。问卷结果显示，工具集成度评价与资源利用效率评价同向变化；访谈估计，集成度低带来的重复劳动与时间浪费使每个项目额外消耗约10%的资源。</w:t>
      </w:r>
    </w:p>
    <w:p w14:paraId="5A9552C9">
      <w:pPr>
        <w:spacing w:after="0" w:line="360" w:lineRule="auto"/>
        <w:ind w:firstLine="480"/>
        <w:jc w:val="both"/>
      </w:pPr>
      <w:r>
        <w:rPr>
          <w:rFonts w:ascii="宋体" w:hAnsi="宋体" w:eastAsia="宋体"/>
          <w:b w:val="0"/>
          <w:sz w:val="24"/>
        </w:rPr>
        <w:t>在公司日常运营中，这一问题不仅提升了运营成本，还限制了数字化工具潜力的充分发挥。访谈中，一位中层管理人员指出，工具碎片化使得跨部门协作困难，尤其在处理大型或跨地域项目时表现突出。如果不加以改进，这一问题将继续阻碍公司工作流程的整体智能化升级，影响服务时效性和客户满意度。</w:t>
      </w:r>
    </w:p>
    <w:p w14:paraId="2CEEB922">
      <w:pPr>
        <w:pStyle w:val="5"/>
      </w:pPr>
      <w:bookmarkStart w:id="30" w:name="_Toc2271"/>
      <w:r>
        <w:t>3.2.2 流程节点冗余与时限管控薄弱</w:t>
      </w:r>
      <w:bookmarkEnd w:id="30"/>
    </w:p>
    <w:p w14:paraId="16E22370">
      <w:pPr>
        <w:spacing w:after="0" w:line="360" w:lineRule="auto"/>
        <w:ind w:firstLine="480"/>
        <w:jc w:val="both"/>
      </w:pPr>
      <w:r>
        <w:rPr>
          <w:rFonts w:ascii="宋体" w:hAnsi="宋体" w:eastAsia="宋体"/>
          <w:b w:val="0"/>
          <w:sz w:val="24"/>
        </w:rPr>
        <w:t>流程节点冗余与时限管控薄弱是Z公司工作流程中普遍且突出的问题，主要表现为环节重复设置、审批层级过多以及节点时限缺少统一度量。根据问卷调查，52.4%的受访者认为节点衔接不顺畅，无效返工与资源浪费现象在多个阶段均有体现，平均浪费率约为15%。</w:t>
      </w:r>
    </w:p>
    <w:p w14:paraId="7B62E886">
      <w:pPr>
        <w:spacing w:after="0" w:line="360" w:lineRule="auto"/>
        <w:ind w:firstLine="480"/>
        <w:jc w:val="both"/>
      </w:pPr>
      <w:r>
        <w:rPr>
          <w:rFonts w:ascii="宋体" w:hAnsi="宋体" w:eastAsia="宋体"/>
          <w:b w:val="0"/>
          <w:sz w:val="24"/>
        </w:rPr>
        <w:t>具体而言，在成果复核环节，往往设置多轮审核，每轮均需重新审阅和修改文档，平均造成2天的延时。同时，纸质文档的使用占比仍高达40%，尽管公司推行电子化，但部分环节仍需打印、签字和存档，导致印刷、存储和物流资源的额外消耗。在文件编制阶段，条款合规核对依赖人工逐条比对，重复劳动较多；在开标清标阶段，报价与指标比对依赖表格手工整理，进一步增加了时间和差错成本。访谈中，员工反映这些冗余操作往往源于历史习惯和风险防控考虑，但实际增值有限。</w:t>
      </w:r>
    </w:p>
    <w:p w14:paraId="1971029E">
      <w:pPr>
        <w:spacing w:after="0" w:line="360" w:lineRule="auto"/>
        <w:ind w:firstLine="480"/>
        <w:jc w:val="both"/>
      </w:pPr>
      <w:r>
        <w:rPr>
          <w:rFonts w:ascii="宋体" w:hAnsi="宋体" w:eastAsia="宋体"/>
          <w:b w:val="0"/>
          <w:sz w:val="24"/>
        </w:rPr>
        <w:t>部门间比较显示，管理部的流程冗余感知最强，招标代理部次之，这反映出跨部门协调机制的不足。问卷结果显示，流程冗余感知越强的部门，其资源效率评价越低。这不仅表现为直接的经济成本上升，还包括隐性的时间成本和人力消耗。</w:t>
      </w:r>
    </w:p>
    <w:p w14:paraId="306ECEF6">
      <w:pPr>
        <w:spacing w:after="0" w:line="360" w:lineRule="auto"/>
        <w:ind w:firstLine="480"/>
        <w:jc w:val="both"/>
      </w:pPr>
      <w:r>
        <w:rPr>
          <w:rFonts w:ascii="宋体" w:hAnsi="宋体" w:eastAsia="宋体"/>
          <w:b w:val="0"/>
          <w:sz w:val="24"/>
        </w:rPr>
        <w:t>在公司日常项目执行中，这一问题直接影响了运营效率和响应速度。例如，一个标准招标项目本可压缩至更短周期，但因冗余环节明显延长。访谈进一步揭示，冗余还导致员工工作负担加重，降低了对核心专业判断的专注度。如果持续存在，这一问题将进一步放大公司在市场竞争中的劣势，尤其是在客户对时效性要求日益提高的背景下。</w:t>
      </w:r>
    </w:p>
    <w:p w14:paraId="3AD3C8AA">
      <w:pPr>
        <w:pStyle w:val="5"/>
      </w:pPr>
      <w:bookmarkStart w:id="31" w:name="_Toc13091"/>
      <w:r>
        <w:t>3.2.3 员工数字化技能与工具采纳不足</w:t>
      </w:r>
      <w:bookmarkEnd w:id="31"/>
    </w:p>
    <w:p w14:paraId="307D6E7D">
      <w:pPr>
        <w:spacing w:after="0" w:line="360" w:lineRule="auto"/>
        <w:ind w:firstLine="480"/>
        <w:jc w:val="both"/>
      </w:pPr>
      <w:r>
        <w:rPr>
          <w:rFonts w:ascii="宋体" w:hAnsi="宋体" w:eastAsia="宋体"/>
          <w:b w:val="0"/>
          <w:sz w:val="24"/>
        </w:rPr>
        <w:t>员工数字化技能与工具采纳不足是Z公司工作流程中人力资源层面的主要问题。这一问题主要体现为员工对数字化工具的认知相对薄弱，以及相关实践技能的培训覆盖不足，导致在日常工作中难以充分发挥数字化工具效能。根据问卷，员工整体数字化意识得分仅为3.7，数字化技能培训覆盖率约为55%，仅40.5%的受访者认为现有激励机制鼓励数字化实践。</w:t>
      </w:r>
    </w:p>
    <w:p w14:paraId="74DAB1FF">
      <w:pPr>
        <w:spacing w:after="0" w:line="360" w:lineRule="auto"/>
        <w:ind w:firstLine="480"/>
        <w:jc w:val="both"/>
      </w:pPr>
      <w:r>
        <w:rPr>
          <w:rFonts w:ascii="宋体" w:hAnsi="宋体" w:eastAsia="宋体"/>
          <w:b w:val="0"/>
          <w:sz w:val="24"/>
        </w:rPr>
        <w:t>在实际操作中，这一问题表现为员工在项目执行过程中往往沿用传统方式。例如，在文件编制环节，部分员工仍以人工检索历史范本为主，未优先使用平台的知识库与条款推荐功能；在清标阶段，工作人员倾向于用电子表格逐项比对，而未使用平台的辅助评分模块。访谈中，多位员工表示，虽然了解公司数字化战略，但缺乏具体操作复杂系统或优化流程的实用技能。</w:t>
      </w:r>
    </w:p>
    <w:p w14:paraId="6BD392D0">
      <w:pPr>
        <w:spacing w:after="0" w:line="360" w:lineRule="auto"/>
        <w:ind w:firstLine="480"/>
        <w:jc w:val="both"/>
      </w:pPr>
      <w:r>
        <w:rPr>
          <w:rFonts w:ascii="宋体" w:hAnsi="宋体" w:eastAsia="宋体"/>
          <w:b w:val="0"/>
          <w:sz w:val="24"/>
        </w:rPr>
        <w:t>群体差异分析显示，高学历员工的数字化意识得分高于其他群体，年轻员工意识相对较高，而工作年限较长员工的技能更新滞后。工作年限11年以上员工对数字化工具熟练度均值仅3.2，而5年以下员工达4.1。这表明问题与培训体系的针对性不足密切相关。问卷结果显示，数字化意识与工作流程效率评价同向变化，即意识和技能不足会降低项目中的执行效果。</w:t>
      </w:r>
    </w:p>
    <w:p w14:paraId="4BF41D9C">
      <w:pPr>
        <w:spacing w:after="0" w:line="360" w:lineRule="auto"/>
        <w:ind w:firstLine="480"/>
        <w:jc w:val="both"/>
      </w:pPr>
      <w:r>
        <w:rPr>
          <w:rFonts w:ascii="宋体" w:hAnsi="宋体" w:eastAsia="宋体"/>
          <w:b w:val="0"/>
          <w:sz w:val="24"/>
        </w:rPr>
        <w:t>在公司整体运营中，这一问题不仅影响内部效率目标的达成，还限制了对外服务的专业性。访谈中，一位管理人员指出，员工技能缺口使得公司在推广数据类咨询与全过程工程咨询等新服务时面临内部执行障碍。如果不加以改进，这一问题可能导致公司在数字化转型浪潮中落后于同行，影响长期发展。</w:t>
      </w:r>
    </w:p>
    <w:p w14:paraId="5695DEC0">
      <w:pPr>
        <w:pStyle w:val="4"/>
      </w:pPr>
      <w:bookmarkStart w:id="32" w:name="_Toc6522"/>
      <w:r>
        <w:t>3.3 本章小结</w:t>
      </w:r>
      <w:bookmarkEnd w:id="32"/>
    </w:p>
    <w:p w14:paraId="4A7D4ADA">
      <w:pPr>
        <w:spacing w:after="0" w:line="360" w:lineRule="auto"/>
        <w:ind w:firstLine="480"/>
        <w:jc w:val="both"/>
      </w:pPr>
      <w:r>
        <w:rPr>
          <w:rFonts w:ascii="宋体" w:hAnsi="宋体" w:eastAsia="宋体"/>
          <w:b w:val="0"/>
          <w:sz w:val="24"/>
        </w:rPr>
        <w:t>本章通过多源数据采集与分析，全面描绘了Z公司工作流程的现状，并诊断了主要问题，为后续成因剖析与对策建议提供了事实基础。首先，详细说明了数据来源与处理方法，包括问卷调查、半结构化访谈以及系统资料与二手数据，并运用描述性统计与分组比较，结合访谈与系统资料交叉验证，确保数据可靠性与代表性。通过表格形式呈现了样本基本信息，证实样本结构与公司整体高度一致。</w:t>
      </w:r>
    </w:p>
    <w:p w14:paraId="64B1EF4E">
      <w:pPr>
        <w:spacing w:after="0" w:line="360" w:lineRule="auto"/>
        <w:ind w:firstLine="480"/>
        <w:jc w:val="both"/>
      </w:pPr>
      <w:r>
        <w:rPr>
          <w:rFonts w:ascii="宋体" w:hAnsi="宋体" w:eastAsia="宋体"/>
          <w:b w:val="0"/>
          <w:sz w:val="24"/>
        </w:rPr>
        <w:t>其次，现状分析显示Z公司流程已初步数字化，但问题突出：整体框架标准化但节点衔接不畅；数字化应用广泛却集成度低；资源利用效率中等，冗余与浪费并存。统计结果与访谈相互印证，揭示了积极进展与瓶颈并存的二元特征。</w:t>
      </w:r>
    </w:p>
    <w:p w14:paraId="19A0C217">
      <w:pPr>
        <w:spacing w:after="0" w:line="360" w:lineRule="auto"/>
        <w:ind w:firstLine="480"/>
        <w:jc w:val="both"/>
      </w:pPr>
      <w:r>
        <w:rPr>
          <w:rFonts w:ascii="宋体" w:hAnsi="宋体" w:eastAsia="宋体"/>
          <w:b w:val="0"/>
          <w:sz w:val="24"/>
        </w:rPr>
        <w:t>最后，本章诊断了三个核心问题：数字化工具集成度低、流程节点冗余与时限管控薄弱、员工数字化技能与工具采纳不足。这些问题通过量化指标与定性描述相结合的方式呈现，突出了其严重性与相互关联性。</w:t>
      </w:r>
    </w:p>
    <w:p w14:paraId="748B6261">
      <w:pPr>
        <w:pStyle w:val="3"/>
        <w:pageBreakBefore/>
      </w:pPr>
      <w:bookmarkStart w:id="33" w:name="_Toc11457"/>
      <w:r>
        <w:t>第4章 原因分析</w:t>
      </w:r>
      <w:bookmarkEnd w:id="33"/>
    </w:p>
    <w:p w14:paraId="0F6362CE">
      <w:pPr>
        <w:spacing w:after="0" w:line="360" w:lineRule="auto"/>
        <w:ind w:firstLine="480"/>
        <w:jc w:val="both"/>
      </w:pPr>
      <w:r>
        <w:rPr>
          <w:rFonts w:ascii="宋体" w:hAnsi="宋体" w:eastAsia="宋体"/>
          <w:b w:val="0"/>
          <w:sz w:val="24"/>
        </w:rPr>
        <w:t>本章对Z公司工作流程中存在的问题进行成因剖析。前述章节已识别出数字化工具集成度低、流程节点冗余与时限管控薄弱以及员工数字化技能不足等主要问题。这些问题的产生并非单一因素所致，而是内部管理、技术、人力资源以及外部环境等多维度因素交互作用的结果。具体而言，本章从内部管理机制滞后、技术基础设施薄弱、流程设计与外部标准脱节以及人力资源培训体系不健全四个方面展开分析。这些成因基于调查数据、访谈记录和公司运营实际的综合考察，通过调查数据的描述性比较与定性描述相结合的方式进行阐述。分析结果显示，这些因素相互强化，形成问题链条，制约了公司数字化再造的进程。明确这些成因，有助于为后续对策建议提供针对性指导。</w:t>
      </w:r>
    </w:p>
    <w:p w14:paraId="672281BD">
      <w:pPr>
        <w:pStyle w:val="4"/>
      </w:pPr>
      <w:bookmarkStart w:id="34" w:name="_Toc32507"/>
      <w:r>
        <w:t>4.1 内部管理机制滞后</w:t>
      </w:r>
      <w:bookmarkEnd w:id="34"/>
    </w:p>
    <w:p w14:paraId="4016E138">
      <w:pPr>
        <w:spacing w:after="0" w:line="360" w:lineRule="auto"/>
        <w:ind w:firstLine="480"/>
        <w:jc w:val="both"/>
      </w:pPr>
      <w:r>
        <w:rPr>
          <w:rFonts w:ascii="宋体" w:hAnsi="宋体" w:eastAsia="宋体"/>
          <w:b w:val="0"/>
          <w:sz w:val="24"/>
        </w:rPr>
        <w:t>内部管理机制滞后是Z公司工作流程问题产生的最主要成因之一。这一滞后主要体现在决策链条过长、部门间协调不畅、绩效激励机制不完善以及战略执行力不足等方面。这些因素源于公司长期形成的层级式管理模式，虽然在早期发展阶段有助于风险控制和业务稳定，但随着数字化转型的推进，已难以适应快速变化的内外部环境。根据访谈记录，多位中高层管理人员承认，当前管理机制在响应新需求时往往存在明显延迟，与行业领先机构相比决策周期偏长。</w:t>
      </w:r>
    </w:p>
    <w:p w14:paraId="6113EDB2">
      <w:pPr>
        <w:spacing w:after="0" w:line="360" w:lineRule="auto"/>
        <w:ind w:firstLine="480"/>
        <w:jc w:val="both"/>
      </w:pPr>
      <w:r>
        <w:rPr>
          <w:rFonts w:ascii="宋体" w:hAnsi="宋体" w:eastAsia="宋体"/>
          <w:b w:val="0"/>
          <w:sz w:val="24"/>
        </w:rPr>
        <w:t>首先，在数字化工具集成度低的问题上，内部管理机制滞后表现得尤为突出。公司智能作业平台与业务、财务、档案等系统本应实现集成，但管理层未及时制定统一的数据标准与集成规范。各部门往往基于自身需求独立采购或开发工具，导致系统间兼容性差。访谈中，一位中层管理人员指出，早期管理系统遗留问题未得到彻底清理，新系统上线时缺乏整体规划审核，造成“各自为政”的局面。地域差异分析显示，总部管理机制相对灵活，而分支机构由于层级汇报链更长，滞后问题更严重。问卷与访谈结果一致显示，管理机制滞后程度较高的部门，其工具集成度评价明显偏低，这解释了为什么集成项目经常延期或效果不佳。</w:t>
      </w:r>
    </w:p>
    <w:p w14:paraId="3845C8F8">
      <w:pPr>
        <w:spacing w:after="0" w:line="360" w:lineRule="auto"/>
        <w:ind w:firstLine="480"/>
        <w:jc w:val="both"/>
      </w:pPr>
      <w:r>
        <w:rPr>
          <w:rFonts w:ascii="宋体" w:hAnsi="宋体" w:eastAsia="宋体"/>
          <w:b w:val="0"/>
          <w:sz w:val="24"/>
        </w:rPr>
        <w:t>其次，对于流程节点冗余问题，内部管理机制滞后同样起到关键作用。公司高层虽认识到流程优化的必要性，但缺乏具体的顶层设计和强有力的跨部门推进机制。招标代理部与技术部门在流程优化需求上的沟通不充分，导致相关模块迟迟未纳入平台开发优先级。问卷调查显示，员工对管理层在流程优化方面的支持力度感知均值仅为3.1，其中分支机构员工的评价更低。问卷结果进一步显示，管理机制滞后程度与流程效率评价呈反向变化，决策缓慢直接导致流程优化的规划和实施滞后。</w:t>
      </w:r>
    </w:p>
    <w:p w14:paraId="07D8ADB1">
      <w:pPr>
        <w:spacing w:after="0" w:line="360" w:lineRule="auto"/>
        <w:ind w:firstLine="480"/>
        <w:jc w:val="both"/>
      </w:pPr>
      <w:r>
        <w:rPr>
          <w:rFonts w:ascii="宋体" w:hAnsi="宋体" w:eastAsia="宋体"/>
          <w:b w:val="0"/>
          <w:sz w:val="24"/>
        </w:rPr>
        <w:t>此外，内部管理机制滞后还间接加剧了员工数字化意识不足的问题。在绩效考核中，传统业务量指标仍占主导，数字化优化贡献的权重不足，导致员工和部门缺乏主动精简流程或提升数字化的动力。问卷显示，仅40.5%的受访者认为现有激励机制鼓励数字化实践。访谈进一步揭示，管理层对流程再造的定期审计机制不健全，冗余环节难以被及时识别和消除。</w:t>
      </w:r>
    </w:p>
    <w:p w14:paraId="2295FABF">
      <w:pPr>
        <w:spacing w:after="0" w:line="360" w:lineRule="auto"/>
        <w:ind w:firstLine="480"/>
        <w:jc w:val="both"/>
      </w:pPr>
      <w:r>
        <w:rPr>
          <w:rFonts w:ascii="宋体" w:hAnsi="宋体" w:eastAsia="宋体"/>
          <w:b w:val="0"/>
          <w:sz w:val="24"/>
        </w:rPr>
        <w:t>公司成立于1997年，前身可追溯至1994年的评审机构，这种历史形成的职能型组织结构强调垂直管理和风险防控，在行业早期发展中发挥了积极作用。然而，随着业务规模扩大和外部环境剧变，这一机制的惯性日益显现。变革阻力主要来自中层管理人员对新机制的适应担忧，以及高层在平衡稳定与创新时的保守倾向。如果内部管理机制不进行实质性改革，这一成因将继续强化其他问题，形成制约公司数字化再造的结构性障碍。</w:t>
      </w:r>
    </w:p>
    <w:p w14:paraId="3FF5F0B2">
      <w:pPr>
        <w:pStyle w:val="4"/>
      </w:pPr>
      <w:bookmarkStart w:id="35" w:name="_Toc1870"/>
      <w:r>
        <w:t>4.2 技术基础设施薄弱</w:t>
      </w:r>
      <w:bookmarkEnd w:id="35"/>
    </w:p>
    <w:p w14:paraId="26961266">
      <w:pPr>
        <w:spacing w:after="0" w:line="360" w:lineRule="auto"/>
        <w:ind w:firstLine="480"/>
        <w:jc w:val="both"/>
      </w:pPr>
      <w:r>
        <w:rPr>
          <w:rFonts w:ascii="宋体" w:hAnsi="宋体" w:eastAsia="宋体"/>
          <w:b w:val="0"/>
          <w:sz w:val="24"/>
        </w:rPr>
        <w:t>技术基础设施薄弱是Z公司工作流程问题产生的另一重要成因。这一薄弱主要体现在既有系统架构分散、接口能力不足、算力与存储资源紧张以及数据安全保障机制不完善等方面。尽管公司近年来加大了数字化投入，但基础设施的更新速度未能跟上业务增长与工具扩展的需求，导致多项问题难以根本解决。根据公司内部技术评估和员工反馈，基础设施整体水平与行业领先机构相比仍有明显差距。</w:t>
      </w:r>
    </w:p>
    <w:p w14:paraId="35DBA34F">
      <w:pPr>
        <w:spacing w:after="0" w:line="360" w:lineRule="auto"/>
        <w:ind w:firstLine="480"/>
        <w:jc w:val="both"/>
      </w:pPr>
      <w:r>
        <w:rPr>
          <w:rFonts w:ascii="宋体" w:hAnsi="宋体" w:eastAsia="宋体"/>
          <w:b w:val="0"/>
          <w:sz w:val="24"/>
        </w:rPr>
        <w:t>首先，在数字化工具集成度低的问题上，技术基础设施薄弱是最直接的技术根源。公司智能作业平台虽具备文档解析与智能审查能力，但底层与既有业务系统、财务系统之间缺乏统一的数据接口层，跨系统数据交互仍依赖导出导入。员工在日常操作中经常遇到系统响应缓慢或数据同步失败的情况，问卷显示，对基础设施满意度的均值仅为3.3。访谈中，技术部门员工指出，多个业务系统建于2010年代初期，最初设计时未充分考虑大数据与大模型推理的负载需求，导致新工具接入时兼容性问题频发。问卷结果显示，基础设施薄弱程度与工具集成度评价呈反向变化，这解释了为什么集成项目常常因技术瓶颈而进展缓慢。</w:t>
      </w:r>
    </w:p>
    <w:p w14:paraId="70464284">
      <w:pPr>
        <w:spacing w:after="0" w:line="360" w:lineRule="auto"/>
        <w:ind w:firstLine="480"/>
        <w:jc w:val="both"/>
      </w:pPr>
      <w:r>
        <w:rPr>
          <w:rFonts w:ascii="宋体" w:hAnsi="宋体" w:eastAsia="宋体"/>
          <w:b w:val="0"/>
          <w:sz w:val="24"/>
        </w:rPr>
        <w:t>其次，对于流程节点冗余问题，技术基础设施薄弱同样构成核心障碍。公司现有平台虽支持数据要素流通与文档处理，但缺乏专用的流程编排接口与规则计算引擎。流程自动化需要稳定的任务调度与状态同步能力，而当前基础设施的并发与存储资源有限，导致许多操作仍需人工干预和线下备份。分支机构的基础设施更为薄弱，与总部形成明显差距，进一步拉大了地域间的效率水平差异。问卷结果显示，基础设施水平与流程自动化能力评价同向变化，基础设施薄弱直接造成流程效率的不足。</w:t>
      </w:r>
    </w:p>
    <w:p w14:paraId="5D62BDC5">
      <w:pPr>
        <w:spacing w:after="0" w:line="360" w:lineRule="auto"/>
        <w:ind w:firstLine="480"/>
        <w:jc w:val="both"/>
      </w:pPr>
      <w:r>
        <w:rPr>
          <w:rFonts w:ascii="宋体" w:hAnsi="宋体" w:eastAsia="宋体"/>
          <w:b w:val="0"/>
          <w:sz w:val="24"/>
        </w:rPr>
        <w:t>此外，技术基础设施薄弱还加剧了员工数字化技能不足的问题。公司数字化系统虽能优化部分环节，但基础设施限制了其全流程覆盖，导致员工在使用过程中频繁遇到技术障碍，降低了学习和应用的积极性。问卷显示，约40%的纸质文档使用源于系统存储容量不足或网络不稳定。访谈揭示，在高峰期项目并发时，系统负载过高迫使员工采用线下方式，无效返工率因此上升。这一问题还间接影响员工对数字化工具的信心，降低了培训效果和实际应用率。</w:t>
      </w:r>
    </w:p>
    <w:p w14:paraId="14C773A0">
      <w:pPr>
        <w:spacing w:after="0" w:line="360" w:lineRule="auto"/>
        <w:ind w:firstLine="480"/>
        <w:jc w:val="both"/>
      </w:pPr>
      <w:r>
        <w:rPr>
          <w:rFonts w:ascii="宋体" w:hAnsi="宋体" w:eastAsia="宋体"/>
          <w:b w:val="0"/>
          <w:sz w:val="24"/>
        </w:rPr>
        <w:t>公司作为高新技术企业，具备一定的技术积累，但基础设施投资优先级长期偏向业务前端而非后端支撑，导致薄弱问题积累。2025年平台上线时虽同步进行了容器化部署改造，但起步较晚，且投资规模相对有限。与行业内部分先行企业相比，Z公司在云资源与检索增强能力方面的部署滞后。如果不大幅加强基础设施建设，这一成因将继续成为数字化再造的技术瓶颈，制约公司整体竞争力的提升。</w:t>
      </w:r>
    </w:p>
    <w:p w14:paraId="73EC9722">
      <w:pPr>
        <w:pStyle w:val="4"/>
      </w:pPr>
      <w:bookmarkStart w:id="36" w:name="_Toc18366"/>
      <w:r>
        <w:t>4.3 流程设计与外部标准脱节</w:t>
      </w:r>
      <w:bookmarkEnd w:id="36"/>
    </w:p>
    <w:p w14:paraId="357BE29A">
      <w:pPr>
        <w:spacing w:after="0" w:line="360" w:lineRule="auto"/>
        <w:ind w:firstLine="480"/>
        <w:jc w:val="both"/>
      </w:pPr>
      <w:r>
        <w:rPr>
          <w:rFonts w:ascii="宋体" w:hAnsi="宋体" w:eastAsia="宋体"/>
          <w:b w:val="0"/>
          <w:sz w:val="24"/>
        </w:rPr>
        <w:t>流程设计与外部标准脱节是导致Z公司当前诸多问题的重要外部性成因。公司现有工作流程主要形成于2010-2020年之间，当时的核心设计逻辑是以程序合规、风险防控和成果准确性为优先级，而电子招投标的全面推行与监管规则、数据接口标准的快速演进主要发生在2013年《电子招标投标办法》实施之后，并在近年明显加速。外部政策环境、市场需求和技术标准发生了根本性变化，但公司流程的迭代速度明显滞后，导致内部流程与外部要求出现系统性错配。公司近一年的延误归因数据也印证了这一判断：按发生频次排序，前三位分别是投标人文本不规范导致反复废标、投标人数量不足三家、甲方修改与澄清需求推迟开标——三者均指向流程设计与外部主体行为、监管规则的衔接不足，而非单纯的人工操作效率问题。</w:t>
      </w:r>
    </w:p>
    <w:p w14:paraId="68DE60F7">
      <w:pPr>
        <w:spacing w:after="0" w:line="360" w:lineRule="auto"/>
        <w:ind w:firstLine="480"/>
        <w:jc w:val="both"/>
      </w:pPr>
      <w:r>
        <w:rPr>
          <w:rFonts w:ascii="宋体" w:hAnsi="宋体" w:eastAsia="宋体"/>
          <w:b w:val="0"/>
          <w:sz w:val="24"/>
        </w:rPr>
        <w:t>首先，在流程冗余与资源浪费问题上，脱节显著。外部市场对招标代理服务时效的要求大幅提升，但公司流程仍保留了基于纸质时代的多轮内部会签、多级审核甚至现场重复核对等环节。这些设计原本是为了应对早期监管严苛、诉讼风险高的环境，而当前监管部门已普遍接受电子签章、电子档案与数字化留痕，公司却未同步精简，造成大量非增值活动。调查显示，成果审核环节平均延时2.1天，纸质流转仍占40%，资源浪费率约15%。地域差异分析显示，东部沿海分支机构受本地数字化试点与电子招投标政策影响更大，员工对流程脱节的感知更强。</w:t>
      </w:r>
    </w:p>
    <w:p w14:paraId="3C1BC6EF">
      <w:pPr>
        <w:spacing w:after="0" w:line="360" w:lineRule="auto"/>
        <w:ind w:firstLine="480"/>
        <w:jc w:val="both"/>
      </w:pPr>
      <w:r>
        <w:rPr>
          <w:rFonts w:ascii="宋体" w:hAnsi="宋体" w:eastAsia="宋体"/>
          <w:b w:val="0"/>
          <w:sz w:val="24"/>
        </w:rPr>
        <w:t>其次，在数字化工具集成度低的问题上，流程设计未能及时对接外部技术标准和行业接口规范。例如，交易平台、公共服务平台与行政监督平台之间的数据字段口径、文件格式与签章要求持续更新，公司现有流程均未预留对应接口，导致自有平台与其他机构的数据无法实现“一键对接”，员工仍需大量手工转换格式，集成效率低下。访谈中多名项目经理反映，“客户提供的文件格式往往是交易平台导出的版本，我们的系统读不进去，只能让客户再转一次”，这正是流程设计与外部标准脱节的典型表现。</w:t>
      </w:r>
    </w:p>
    <w:p w14:paraId="702E87F2">
      <w:pPr>
        <w:spacing w:after="0" w:line="360" w:lineRule="auto"/>
        <w:ind w:firstLine="480"/>
        <w:jc w:val="both"/>
      </w:pPr>
      <w:r>
        <w:rPr>
          <w:rFonts w:ascii="宋体" w:hAnsi="宋体" w:eastAsia="宋体"/>
          <w:b w:val="0"/>
          <w:sz w:val="24"/>
        </w:rPr>
        <w:t>此外，对于员工数字化技能不足的问题，脱节也起到间接作用。外部环境要求员工掌握新型数字化工具和流程思维，但公司流程设计未能及时引入这些新要求，导致员工在技能更新上缺乏明确的导向和支持。</w:t>
      </w:r>
    </w:p>
    <w:p w14:paraId="43B7B977">
      <w:pPr>
        <w:spacing w:after="0" w:line="360" w:lineRule="auto"/>
        <w:ind w:firstLine="480"/>
        <w:jc w:val="both"/>
      </w:pPr>
      <w:r>
        <w:rPr>
          <w:rFonts w:ascii="宋体" w:hAnsi="宋体" w:eastAsia="宋体"/>
          <w:b w:val="0"/>
          <w:sz w:val="24"/>
        </w:rPr>
        <w:t>总之，公司流程设计仍带有明显的“合规导向、风险厌恶、纸质时代”特征，与当前“数字优先、效率优先”的外部环境形成较大错位。如果不能尽快实现流程与外部政策的动态对齐，这一脱节将成为制约公司服务创新和市场竞争力的长期瓶颈。</w:t>
      </w:r>
    </w:p>
    <w:p w14:paraId="5DA69A91">
      <w:pPr>
        <w:pStyle w:val="4"/>
      </w:pPr>
      <w:bookmarkStart w:id="37" w:name="_Toc14056"/>
      <w:r>
        <w:t>4.4 人力资源培训体系不健全</w:t>
      </w:r>
      <w:bookmarkEnd w:id="37"/>
    </w:p>
    <w:p w14:paraId="6DE202CB">
      <w:pPr>
        <w:spacing w:after="0" w:line="360" w:lineRule="auto"/>
        <w:ind w:firstLine="480"/>
        <w:jc w:val="both"/>
      </w:pPr>
      <w:r>
        <w:rPr>
          <w:rFonts w:ascii="宋体" w:hAnsi="宋体" w:eastAsia="宋体"/>
          <w:b w:val="0"/>
          <w:sz w:val="24"/>
        </w:rPr>
        <w:t>人力资源培训体系不健全是Z公司工作流程问题在人文层面的深层成因，也是最容易被忽视却影响最为持久的因素。公司虽然拥有高学历人才队伍，但培训体系仍停留在传统的专业技能传授阶段，严重缺乏数字化工具应用、流程再造思维等方面的系统培训，导致员工能力结构与公司战略需求出现明显错配。</w:t>
      </w:r>
    </w:p>
    <w:p w14:paraId="28CE8F4C">
      <w:pPr>
        <w:spacing w:after="0" w:line="360" w:lineRule="auto"/>
        <w:ind w:firstLine="480"/>
        <w:jc w:val="both"/>
      </w:pPr>
      <w:r>
        <w:rPr>
          <w:rFonts w:ascii="宋体" w:hAnsi="宋体" w:eastAsia="宋体"/>
          <w:b w:val="0"/>
          <w:sz w:val="24"/>
        </w:rPr>
        <w:t>首先，在员工数字化意识与技能不足的问题上，培训体系不健全是直接根源。公司年度培训计划中，据公司年度培训计划，招标法规、合同管理、造价业务等传统课程占绝大多数，数字化工具应用、数据分析与流程优化类内容占比很小，且多为一次性宣讲而非实操培训。问卷显示，过去两年接受过系统性数字化相关培训的员工仅占55%，其中分支机构更低。培训满意度均值仅3.1，员工普遍反映“知道有系统，但不会实际操作”。问卷结果显示，培训覆盖率与数字化意识得分同向变化，培训缺失直接导致意识和技能双重不足。</w:t>
      </w:r>
    </w:p>
    <w:p w14:paraId="18098E83">
      <w:pPr>
        <w:spacing w:after="0" w:line="360" w:lineRule="auto"/>
        <w:ind w:firstLine="480"/>
        <w:jc w:val="both"/>
      </w:pPr>
      <w:r>
        <w:rPr>
          <w:rFonts w:ascii="宋体" w:hAnsi="宋体" w:eastAsia="宋体"/>
          <w:b w:val="0"/>
          <w:sz w:val="24"/>
        </w:rPr>
        <w:t>其次，在数字化工具使用不熟练、集成度低的问题上，培训滞后同样负有重要责任。新工具上线后往往仅有1-2天的集中培训，且以功能展示为主，缺乏分层、分岗、分场景的深度实操训练。平台上线初期，部分模块（如智能审查、知识库检索）的功能未被一线充分使用，导致系统投入产出比下降。年轻员工虽然学习意愿强，但缺乏持续跟进培训；老员工则因培训方式单一而参与度低。分组均值显示，工作年限11年以上的员工对数字化工具熟练度均值仅3.2，而5年以下员工达4.1。访谈中多名项目经理表示，“平台功能很强大，但培训只讲了皮毛，实际工作中还是用老办法”。培训体系未能建立“工具上线—专项培训—上岗考核—持续优化”的闭环机制，是集成度低的重要人为因素。</w:t>
      </w:r>
    </w:p>
    <w:p w14:paraId="46B53FF3">
      <w:pPr>
        <w:spacing w:after="0" w:line="360" w:lineRule="auto"/>
        <w:ind w:firstLine="480"/>
        <w:jc w:val="both"/>
      </w:pPr>
      <w:r>
        <w:rPr>
          <w:rFonts w:ascii="宋体" w:hAnsi="宋体" w:eastAsia="宋体"/>
          <w:b w:val="0"/>
          <w:sz w:val="24"/>
        </w:rPr>
        <w:t>再次，培训体系不健全还间接固化了流程冗余。公司从未组织过大规模的业务流程再造或精益管理培训，员工普遍缺乏识别和消除非增值环节的能力。问卷显示，仅28%的员工接受过流程优化相关培训，79%的受访者表示“不知道如何判断某个环节是否可以删除”。这导致即使外部环境变化、数字化工具具备条件，员工仍习惯性沿用传统多级审核、纸质流转等冗余操作。</w:t>
      </w:r>
    </w:p>
    <w:p w14:paraId="4DE11448">
      <w:pPr>
        <w:spacing w:after="0" w:line="360" w:lineRule="auto"/>
        <w:ind w:firstLine="480"/>
        <w:jc w:val="both"/>
      </w:pPr>
      <w:r>
        <w:rPr>
          <w:rFonts w:ascii="宋体" w:hAnsi="宋体" w:eastAsia="宋体"/>
          <w:b w:val="0"/>
          <w:sz w:val="24"/>
        </w:rPr>
        <w:t>最后，从组织层面看，培训资源配置存在结构性偏差：总部培训预算充足但内容陈旧，分支机构培训频次和质量均明显不足；资深项目经理享有较多外部培训机会，而普通员工和后台人员培训覆盖严重不足。这种“不均衡、不持续、不闭环”的培训体系，使公司虽有人才优势，却难以转化为数字化转型的实际能力。</w:t>
      </w:r>
    </w:p>
    <w:p w14:paraId="454DA3E6">
      <w:pPr>
        <w:spacing w:after="0" w:line="360" w:lineRule="auto"/>
        <w:ind w:firstLine="480"/>
        <w:jc w:val="both"/>
      </w:pPr>
      <w:r>
        <w:rPr>
          <w:rFonts w:ascii="宋体" w:hAnsi="宋体" w:eastAsia="宋体"/>
          <w:b w:val="0"/>
          <w:sz w:val="24"/>
        </w:rPr>
        <w:t>公司作为行业头部机构，员工整体素质高，可塑性强，培训体系的不健全并非能力问题，而是战略重视度和机制设计问题。若能快速补齐这一短板，将成为推动工作流程数字化再造的最有力杠杆。问题成因鱼骨图如图4-1所示。</w:t>
      </w:r>
    </w:p>
    <w:p w14:paraId="0DB26458">
      <w:pPr>
        <w:spacing w:before="160" w:after="60" w:line="240" w:lineRule="auto"/>
        <w:ind w:firstLine="0"/>
        <w:jc w:val="center"/>
      </w:pPr>
      <w:r>
        <w:drawing>
          <wp:inline distT="0" distB="0" distL="114300" distR="114300">
            <wp:extent cx="5399405" cy="2760345"/>
            <wp:effectExtent l="0" t="0" r="1079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00000" cy="2760723"/>
                    </a:xfrm>
                    <a:prstGeom prst="rect">
                      <a:avLst/>
                    </a:prstGeom>
                  </pic:spPr>
                </pic:pic>
              </a:graphicData>
            </a:graphic>
          </wp:inline>
        </w:drawing>
      </w:r>
    </w:p>
    <w:p w14:paraId="5C12E116">
      <w:pPr>
        <w:spacing w:after="200" w:line="240" w:lineRule="auto"/>
        <w:ind w:firstLine="0"/>
        <w:jc w:val="center"/>
      </w:pPr>
      <w:r>
        <w:rPr>
          <w:rFonts w:ascii="宋体" w:hAnsi="宋体" w:eastAsia="宋体"/>
          <w:b/>
          <w:sz w:val="21"/>
        </w:rPr>
        <w:t>图4-1 工作流程问题成因鱼骨图</w:t>
      </w:r>
    </w:p>
    <w:p w14:paraId="14B3A30B">
      <w:pPr>
        <w:pStyle w:val="4"/>
      </w:pPr>
      <w:bookmarkStart w:id="38" w:name="_Toc25069"/>
      <w:r>
        <w:t>4.5 本章小结</w:t>
      </w:r>
      <w:bookmarkEnd w:id="38"/>
    </w:p>
    <w:p w14:paraId="7A2A7807">
      <w:pPr>
        <w:spacing w:after="0" w:line="360" w:lineRule="auto"/>
        <w:ind w:firstLine="480"/>
        <w:jc w:val="both"/>
      </w:pPr>
      <w:r>
        <w:rPr>
          <w:rFonts w:ascii="宋体" w:hAnsi="宋体" w:eastAsia="宋体"/>
          <w:b w:val="0"/>
          <w:sz w:val="24"/>
        </w:rPr>
        <w:t>本章尝试从内部管理机制滞后、技术基础设施薄弱、流程设计与外部标准脱节、人力资源培训体系不健全四个维度，对前述问题进行成因剖析，以期揭示问题形成的系统性根源。其一，内部管理机制滞后表现为决策链条偏长、部门间协调不畅与激励导向偏差，上述因素在一定程度上导致流程冗余固化与集成能力不足。其二，技术基础设施薄弱构成重要制约因素，早期系统架构难以支撑工具集成与流程自动化的现实需求，限制了数字化再造的推进空间。其三，流程设计与外部标准脱节使传统以风险防控为导向的流程在应对市场时效要求时显现出适应性不足，客观上放大了流程冗余与效率短板。其四，人力资源培训体系不健全使得员工数字化能力存在结构性缺口，培训内容较为单一、覆盖面有限，进一步加剧了问题累积。</w:t>
      </w:r>
    </w:p>
    <w:p w14:paraId="1C149127">
      <w:pPr>
        <w:spacing w:after="0" w:line="360" w:lineRule="auto"/>
        <w:ind w:firstLine="480"/>
        <w:jc w:val="both"/>
      </w:pPr>
      <w:r>
        <w:rPr>
          <w:rFonts w:ascii="宋体" w:hAnsi="宋体" w:eastAsia="宋体"/>
          <w:b w:val="0"/>
          <w:sz w:val="24"/>
        </w:rPr>
        <w:t>上述成因并非孤立存在，彼此之间呈现相互交织、相互强化的关系：管理机制滞后制约了技术投入的有效性，技术基础薄弱则加剧了流程设计的冗余性，而流程与外部环境的脱节又进一步放大了人力资源能力的短板，由此形成结构性的制约效应。分析过程结合了调查数据的描述性比较以及访谈获得的定性证据，为结论的客观性提供了一定支撑。问题—成因—对策的传导链条如图4-2所示。</w:t>
      </w:r>
    </w:p>
    <w:p w14:paraId="5C29B374">
      <w:pPr>
        <w:spacing w:before="160" w:after="60" w:line="240" w:lineRule="auto"/>
        <w:ind w:firstLine="0"/>
        <w:jc w:val="center"/>
      </w:pPr>
      <w:r>
        <w:drawing>
          <wp:inline distT="0" distB="0" distL="114300" distR="114300">
            <wp:extent cx="5399405" cy="2867660"/>
            <wp:effectExtent l="0" t="0" r="1079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00000" cy="2867835"/>
                    </a:xfrm>
                    <a:prstGeom prst="rect">
                      <a:avLst/>
                    </a:prstGeom>
                  </pic:spPr>
                </pic:pic>
              </a:graphicData>
            </a:graphic>
          </wp:inline>
        </w:drawing>
      </w:r>
    </w:p>
    <w:p w14:paraId="38EE6E48">
      <w:pPr>
        <w:spacing w:after="160" w:line="240" w:lineRule="auto"/>
        <w:ind w:firstLine="0"/>
        <w:jc w:val="center"/>
      </w:pPr>
      <w:r>
        <w:rPr>
          <w:rFonts w:ascii="宋体" w:hAnsi="宋体" w:eastAsia="宋体"/>
          <w:b/>
          <w:sz w:val="21"/>
        </w:rPr>
        <w:t>图4-2 问题—成因—对策的传导链条</w:t>
      </w:r>
    </w:p>
    <w:p w14:paraId="29900D41">
      <w:pPr>
        <w:spacing w:after="200" w:line="240" w:lineRule="auto"/>
        <w:ind w:firstLine="0"/>
        <w:jc w:val="center"/>
      </w:pPr>
      <w:r>
        <w:rPr>
          <w:rFonts w:ascii="宋体" w:hAnsi="宋体" w:eastAsia="宋体"/>
          <w:b w:val="0"/>
          <w:color w:val="595959"/>
          <w:sz w:val="17"/>
        </w:rPr>
        <w:t>注：据第3—5章内容整理；灰线表示成因对问题的归因关系。</w:t>
      </w:r>
    </w:p>
    <w:p w14:paraId="55991FFE">
      <w:pPr>
        <w:spacing w:after="0" w:line="360" w:lineRule="auto"/>
        <w:ind w:firstLine="480"/>
        <w:jc w:val="both"/>
      </w:pPr>
      <w:r>
        <w:rPr>
          <w:rFonts w:ascii="宋体" w:hAnsi="宋体" w:eastAsia="宋体"/>
          <w:b w:val="0"/>
          <w:sz w:val="24"/>
        </w:rPr>
        <w:t>整体而言，本章尝试通过多维度诊断，深化对问题的理解，避免停留于现象层面的描述，转而聚焦于根源性因素的分析。这一分析不仅为后续对策建议提供了可供参照的着力点，也在一定程度上体现了研究的逻辑层次与系统性。作为承上启下的章节，本章意在桥接问题诊断与优化路径之间的衔接，为后续对策设计奠定必要的基础。</w:t>
      </w:r>
    </w:p>
    <w:p w14:paraId="3BC5800F">
      <w:pPr>
        <w:pStyle w:val="3"/>
        <w:pageBreakBefore/>
      </w:pPr>
      <w:bookmarkStart w:id="39" w:name="_Toc6532"/>
      <w:r>
        <w:t>第5章 数字化工作活动平台的设计与实现</w:t>
      </w:r>
      <w:bookmarkEnd w:id="39"/>
    </w:p>
    <w:p w14:paraId="595C49D3">
      <w:pPr>
        <w:spacing w:after="0" w:line="360" w:lineRule="auto"/>
        <w:ind w:firstLine="480"/>
        <w:jc w:val="both"/>
      </w:pPr>
      <w:r>
        <w:rPr>
          <w:rFonts w:ascii="宋体" w:hAnsi="宋体" w:eastAsia="宋体"/>
          <w:b w:val="0"/>
          <w:sz w:val="24"/>
        </w:rPr>
        <w:t>本章基于前述章节对Z公司工作流程现状、存在问题及成因的分析，提出并实现数字化再造的核心方案——数字化工作活动平台。与仅提出对策建议不同，本章给出可运行的系统设计：以五级流程对象承载全周期追踪，以文档解析、清标辅助、风险识别、合规规则库与知识检索等模块替代重复性人工劳动，并以私有化部署与全过程审计满足数据不出内网、过程可追溯的合规要求。这些建议相互关联、形成系统性框架，可操作性强，并考虑了公司作为行业代表性机构的实际条件。</w:t>
      </w:r>
    </w:p>
    <w:p w14:paraId="6999B6D8">
      <w:pPr>
        <w:pStyle w:val="4"/>
      </w:pPr>
      <w:bookmarkStart w:id="40" w:name="_Toc8760"/>
      <w:r>
        <w:t>5.1 平台总体设计</w:t>
      </w:r>
      <w:bookmarkEnd w:id="40"/>
    </w:p>
    <w:p w14:paraId="5252D4F5">
      <w:pPr>
        <w:spacing w:after="0" w:line="360" w:lineRule="auto"/>
        <w:ind w:firstLine="480"/>
        <w:jc w:val="both"/>
      </w:pPr>
      <w:r>
        <w:rPr>
          <w:rFonts w:ascii="宋体" w:hAnsi="宋体" w:eastAsia="宋体"/>
          <w:b w:val="0"/>
          <w:sz w:val="24"/>
        </w:rPr>
        <w:t>平台建设目标有四项：一是流程可见，将“项目—时间轴—里程碑—环节—待办”对象化，使每个项目的进度、责任人与时限可被实时观测；二是作业可助，将招标文件解析、清标比对、条款合规审查等重复性劳动交由系统辅助完成；三是风险可控，通过规则库与风险识别模型，把合规与围串标风险识别前置；四是知识可积，将法规、范本、历史成果沉淀为可检索的组织知识。</w:t>
      </w:r>
    </w:p>
    <w:p w14:paraId="1CF2DC34">
      <w:pPr>
        <w:spacing w:after="0" w:line="360" w:lineRule="auto"/>
        <w:ind w:firstLine="480"/>
        <w:jc w:val="both"/>
      </w:pPr>
      <w:r>
        <w:rPr>
          <w:rFonts w:ascii="宋体" w:hAnsi="宋体" w:eastAsia="宋体"/>
          <w:b w:val="0"/>
          <w:sz w:val="24"/>
        </w:rPr>
        <w:t>设计遵循四项原则。其一是轻量集成，不替换既有交易平台与办公系统，而以接口与数据同步方式嵌入作业流程，降低推广阻力。其二是私有化部署，模型与数据均部署于公司内网，客户资料与评审信息不出内网，满足保密与合规要求。其三是过程留痕，关键操作写入审计日志，文件版本全程可追溯，为事后复核与监管检查提供证据。其四是渐进演进，先试点后推广，按业务线分批上线，避免一次性切换带来的组织冲击。</w:t>
      </w:r>
    </w:p>
    <w:p w14:paraId="0C66F35E">
      <w:pPr>
        <w:spacing w:after="0" w:line="360" w:lineRule="auto"/>
        <w:ind w:firstLine="480"/>
        <w:jc w:val="both"/>
      </w:pPr>
      <w:r>
        <w:rPr>
          <w:rFonts w:ascii="宋体" w:hAnsi="宋体" w:eastAsia="宋体"/>
          <w:b w:val="0"/>
          <w:sz w:val="24"/>
        </w:rPr>
        <w:t>平台采用五层架构。接入层由反向代理与 WSGI 服务器承担 HTTPS 终结与并发调度；应用层采用应用工厂模式组织路由与业务逻辑，按业务域拆分为多个蓝图与服务类；业务能力层承载项目管理与时间轴、文档解析、清标分析、围串标检测、合规检查、智能对话、知识库与信用查询八个能力域；AI 能力层提供状态图代理编排、大模型服务接入、向量检索与提示安全防护；数据与任务层由关系数据库、缓存与消息队列、文件与向量存储构成，并通过定时任务承担数据清理与指标汇总。整体架构如图5-1所示。</w:t>
      </w:r>
    </w:p>
    <w:p w14:paraId="48B1A42A">
      <w:pPr>
        <w:spacing w:before="160" w:after="60" w:line="240" w:lineRule="auto"/>
        <w:ind w:firstLine="0"/>
        <w:jc w:val="center"/>
      </w:pPr>
      <w:r>
        <w:drawing>
          <wp:inline distT="0" distB="0" distL="114300" distR="114300">
            <wp:extent cx="5399405" cy="4003040"/>
            <wp:effectExtent l="0" t="0" r="1079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00000" cy="4003125"/>
                    </a:xfrm>
                    <a:prstGeom prst="rect">
                      <a:avLst/>
                    </a:prstGeom>
                  </pic:spPr>
                </pic:pic>
              </a:graphicData>
            </a:graphic>
          </wp:inline>
        </w:drawing>
      </w:r>
    </w:p>
    <w:p w14:paraId="16594A2D">
      <w:pPr>
        <w:spacing w:after="160" w:line="240" w:lineRule="auto"/>
        <w:ind w:firstLine="0"/>
        <w:jc w:val="center"/>
      </w:pPr>
      <w:r>
        <w:rPr>
          <w:rFonts w:ascii="宋体" w:hAnsi="宋体" w:eastAsia="宋体"/>
          <w:b/>
          <w:sz w:val="21"/>
        </w:rPr>
        <w:t>图5-1 数字化工作活动平台总体技术架构</w:t>
      </w:r>
    </w:p>
    <w:p w14:paraId="6DD9564F">
      <w:pPr>
        <w:spacing w:after="200" w:line="240" w:lineRule="auto"/>
        <w:ind w:firstLine="0"/>
        <w:jc w:val="center"/>
      </w:pPr>
      <w:r>
        <w:rPr>
          <w:rFonts w:ascii="宋体" w:hAnsi="宋体" w:eastAsia="宋体"/>
          <w:b w:val="0"/>
          <w:color w:val="595959"/>
          <w:sz w:val="17"/>
        </w:rPr>
        <w:t>注：据平台系统设计文档、数据库表结构与部署配置整理绘制。</w:t>
      </w:r>
    </w:p>
    <w:p w14:paraId="150C27AA">
      <w:pPr>
        <w:spacing w:after="0" w:line="360" w:lineRule="auto"/>
        <w:ind w:firstLine="480"/>
        <w:jc w:val="both"/>
      </w:pPr>
      <w:r>
        <w:rPr>
          <w:rFonts w:ascii="宋体" w:hAnsi="宋体" w:eastAsia="宋体"/>
          <w:b w:val="0"/>
          <w:sz w:val="24"/>
        </w:rPr>
        <w:t>技术选型遵循成熟、可控、可维护的原则，主要选型如表5-1所示。</w:t>
      </w:r>
    </w:p>
    <w:p w14:paraId="56E1C1A8">
      <w:pPr>
        <w:spacing w:before="120" w:after="40"/>
        <w:ind w:firstLine="0"/>
        <w:jc w:val="center"/>
      </w:pPr>
      <w:r>
        <w:rPr>
          <w:rFonts w:ascii="宋体" w:hAnsi="宋体" w:eastAsia="宋体"/>
          <w:b/>
          <w:sz w:val="21"/>
        </w:rPr>
        <w:t>表5-1 平台主要技术选型</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5C531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79903633">
            <w:pPr>
              <w:spacing w:before="40" w:after="40" w:line="240" w:lineRule="auto"/>
              <w:ind w:firstLine="0"/>
              <w:jc w:val="center"/>
            </w:pPr>
            <w:r>
              <w:rPr>
                <w:rFonts w:ascii="宋体" w:hAnsi="宋体" w:eastAsia="宋体"/>
                <w:b/>
                <w:sz w:val="21"/>
              </w:rPr>
              <w:t>层次</w:t>
            </w:r>
          </w:p>
        </w:tc>
        <w:tc>
          <w:tcPr>
            <w:tcW w:w="2835" w:type="dxa"/>
            <w:tcBorders>
              <w:top w:val="single" w:color="000000" w:sz="12" w:space="0"/>
              <w:bottom w:val="single" w:color="000000" w:sz="6" w:space="0"/>
            </w:tcBorders>
          </w:tcPr>
          <w:p w14:paraId="15ECDA2B">
            <w:pPr>
              <w:spacing w:before="40" w:after="40" w:line="240" w:lineRule="auto"/>
              <w:ind w:firstLine="0"/>
              <w:jc w:val="center"/>
            </w:pPr>
            <w:r>
              <w:rPr>
                <w:rFonts w:ascii="宋体" w:hAnsi="宋体" w:eastAsia="宋体"/>
                <w:b/>
                <w:sz w:val="21"/>
              </w:rPr>
              <w:t>选型</w:t>
            </w:r>
          </w:p>
        </w:tc>
        <w:tc>
          <w:tcPr>
            <w:tcW w:w="2835" w:type="dxa"/>
            <w:tcBorders>
              <w:top w:val="single" w:color="000000" w:sz="12" w:space="0"/>
              <w:bottom w:val="single" w:color="000000" w:sz="6" w:space="0"/>
            </w:tcBorders>
          </w:tcPr>
          <w:p w14:paraId="021D0F92">
            <w:pPr>
              <w:spacing w:before="40" w:after="40" w:line="240" w:lineRule="auto"/>
              <w:ind w:firstLine="0"/>
              <w:jc w:val="center"/>
            </w:pPr>
            <w:r>
              <w:rPr>
                <w:rFonts w:ascii="宋体" w:hAnsi="宋体" w:eastAsia="宋体"/>
                <w:b/>
                <w:sz w:val="21"/>
              </w:rPr>
              <w:t>说明</w:t>
            </w:r>
          </w:p>
        </w:tc>
      </w:tr>
      <w:tr w14:paraId="792F4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13125F6">
            <w:pPr>
              <w:spacing w:before="40" w:after="40" w:line="240" w:lineRule="auto"/>
              <w:ind w:firstLine="0"/>
              <w:jc w:val="center"/>
            </w:pPr>
            <w:r>
              <w:rPr>
                <w:rFonts w:ascii="宋体" w:hAnsi="宋体" w:eastAsia="宋体"/>
                <w:b w:val="0"/>
                <w:sz w:val="21"/>
              </w:rPr>
              <w:t>后端框架</w:t>
            </w:r>
          </w:p>
        </w:tc>
        <w:tc>
          <w:tcPr>
            <w:tcW w:w="2835" w:type="dxa"/>
          </w:tcPr>
          <w:p w14:paraId="567E3F0B">
            <w:pPr>
              <w:spacing w:before="40" w:after="40" w:line="240" w:lineRule="auto"/>
              <w:ind w:firstLine="0"/>
              <w:jc w:val="center"/>
            </w:pPr>
            <w:r>
              <w:rPr>
                <w:rFonts w:ascii="宋体" w:hAnsi="宋体" w:eastAsia="宋体"/>
                <w:b w:val="0"/>
                <w:sz w:val="21"/>
              </w:rPr>
              <w:t>Flask 3.1 + 应用工厂</w:t>
            </w:r>
          </w:p>
        </w:tc>
        <w:tc>
          <w:tcPr>
            <w:tcW w:w="2835" w:type="dxa"/>
          </w:tcPr>
          <w:p w14:paraId="3BB0F57F">
            <w:pPr>
              <w:spacing w:before="40" w:after="40" w:line="240" w:lineRule="auto"/>
              <w:ind w:firstLine="0"/>
              <w:jc w:val="center"/>
            </w:pPr>
            <w:r>
              <w:rPr>
                <w:rFonts w:ascii="宋体" w:hAnsi="宋体" w:eastAsia="宋体"/>
                <w:b w:val="0"/>
                <w:sz w:val="21"/>
              </w:rPr>
              <w:t>按业务域拆分蓝图与服务层</w:t>
            </w:r>
          </w:p>
        </w:tc>
      </w:tr>
      <w:tr w14:paraId="2341E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7F326AA2">
            <w:pPr>
              <w:spacing w:before="40" w:after="40" w:line="240" w:lineRule="auto"/>
              <w:ind w:firstLine="0"/>
              <w:jc w:val="center"/>
            </w:pPr>
            <w:r>
              <w:rPr>
                <w:rFonts w:ascii="宋体" w:hAnsi="宋体" w:eastAsia="宋体"/>
                <w:b w:val="0"/>
                <w:sz w:val="21"/>
              </w:rPr>
              <w:t>数据存储</w:t>
            </w:r>
          </w:p>
        </w:tc>
        <w:tc>
          <w:tcPr>
            <w:tcW w:w="2835" w:type="dxa"/>
          </w:tcPr>
          <w:p w14:paraId="29362738">
            <w:pPr>
              <w:spacing w:before="40" w:after="40" w:line="240" w:lineRule="auto"/>
              <w:ind w:firstLine="0"/>
              <w:jc w:val="center"/>
            </w:pPr>
            <w:r>
              <w:rPr>
                <w:rFonts w:ascii="宋体" w:hAnsi="宋体" w:eastAsia="宋体"/>
                <w:b w:val="0"/>
                <w:sz w:val="21"/>
              </w:rPr>
              <w:t>PostgreSQL 16</w:t>
            </w:r>
          </w:p>
        </w:tc>
        <w:tc>
          <w:tcPr>
            <w:tcW w:w="2835" w:type="dxa"/>
          </w:tcPr>
          <w:p w14:paraId="081540F1">
            <w:pPr>
              <w:spacing w:before="40" w:after="40" w:line="240" w:lineRule="auto"/>
              <w:ind w:firstLine="0"/>
              <w:jc w:val="center"/>
            </w:pPr>
            <w:r>
              <w:rPr>
                <w:rFonts w:ascii="宋体" w:hAnsi="宋体" w:eastAsia="宋体"/>
                <w:b w:val="0"/>
                <w:sz w:val="21"/>
              </w:rPr>
              <w:t>76 张表，幂等建表 + 版本化迁移</w:t>
            </w:r>
          </w:p>
        </w:tc>
      </w:tr>
      <w:tr w14:paraId="79D98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5A70E494">
            <w:pPr>
              <w:spacing w:before="40" w:after="40" w:line="240" w:lineRule="auto"/>
              <w:ind w:firstLine="0"/>
              <w:jc w:val="center"/>
            </w:pPr>
            <w:r>
              <w:rPr>
                <w:rFonts w:ascii="宋体" w:hAnsi="宋体" w:eastAsia="宋体"/>
                <w:b w:val="0"/>
                <w:sz w:val="21"/>
              </w:rPr>
              <w:t>缓存与消息</w:t>
            </w:r>
          </w:p>
        </w:tc>
        <w:tc>
          <w:tcPr>
            <w:tcW w:w="2835" w:type="dxa"/>
          </w:tcPr>
          <w:p w14:paraId="43D2D19C">
            <w:pPr>
              <w:spacing w:before="40" w:after="40" w:line="240" w:lineRule="auto"/>
              <w:ind w:firstLine="0"/>
              <w:jc w:val="center"/>
            </w:pPr>
            <w:r>
              <w:rPr>
                <w:rFonts w:ascii="宋体" w:hAnsi="宋体" w:eastAsia="宋体"/>
                <w:b w:val="0"/>
                <w:sz w:val="21"/>
              </w:rPr>
              <w:t>Redis 7 + Celery 5</w:t>
            </w:r>
          </w:p>
        </w:tc>
        <w:tc>
          <w:tcPr>
            <w:tcW w:w="2835" w:type="dxa"/>
          </w:tcPr>
          <w:p w14:paraId="1335DBCF">
            <w:pPr>
              <w:spacing w:before="40" w:after="40" w:line="240" w:lineRule="auto"/>
              <w:ind w:firstLine="0"/>
              <w:jc w:val="center"/>
            </w:pPr>
            <w:r>
              <w:rPr>
                <w:rFonts w:ascii="宋体" w:hAnsi="宋体" w:eastAsia="宋体"/>
                <w:b w:val="0"/>
                <w:sz w:val="21"/>
              </w:rPr>
              <w:t>异步任务、定时调度与缓存</w:t>
            </w:r>
          </w:p>
        </w:tc>
      </w:tr>
      <w:tr w14:paraId="3D5A1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4B9CB26C">
            <w:pPr>
              <w:spacing w:before="40" w:after="40" w:line="240" w:lineRule="auto"/>
              <w:ind w:firstLine="0"/>
              <w:jc w:val="center"/>
            </w:pPr>
            <w:r>
              <w:rPr>
                <w:rFonts w:ascii="宋体" w:hAnsi="宋体" w:eastAsia="宋体"/>
                <w:b w:val="0"/>
                <w:sz w:val="21"/>
              </w:rPr>
              <w:t>智能编排</w:t>
            </w:r>
          </w:p>
        </w:tc>
        <w:tc>
          <w:tcPr>
            <w:tcW w:w="2835" w:type="dxa"/>
          </w:tcPr>
          <w:p w14:paraId="3ECFF386">
            <w:pPr>
              <w:spacing w:before="40" w:after="40" w:line="240" w:lineRule="auto"/>
              <w:ind w:firstLine="0"/>
              <w:jc w:val="center"/>
            </w:pPr>
            <w:r>
              <w:rPr>
                <w:rFonts w:ascii="宋体" w:hAnsi="宋体" w:eastAsia="宋体"/>
                <w:b w:val="0"/>
                <w:sz w:val="21"/>
              </w:rPr>
              <w:t>LangGraph（状态图代理）</w:t>
            </w:r>
          </w:p>
        </w:tc>
        <w:tc>
          <w:tcPr>
            <w:tcW w:w="2835" w:type="dxa"/>
          </w:tcPr>
          <w:p w14:paraId="5E9B38AB">
            <w:pPr>
              <w:spacing w:before="40" w:after="40" w:line="240" w:lineRule="auto"/>
              <w:ind w:firstLine="0"/>
              <w:jc w:val="center"/>
            </w:pPr>
            <w:r>
              <w:rPr>
                <w:rFonts w:ascii="宋体" w:hAnsi="宋体" w:eastAsia="宋体"/>
                <w:b w:val="0"/>
                <w:sz w:val="21"/>
              </w:rPr>
              <w:t>多步推理与流式输出</w:t>
            </w:r>
          </w:p>
        </w:tc>
      </w:tr>
      <w:tr w14:paraId="31688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97A78B9">
            <w:pPr>
              <w:spacing w:before="40" w:after="40" w:line="240" w:lineRule="auto"/>
              <w:ind w:firstLine="0"/>
              <w:jc w:val="center"/>
            </w:pPr>
            <w:r>
              <w:rPr>
                <w:rFonts w:ascii="宋体" w:hAnsi="宋体" w:eastAsia="宋体"/>
                <w:b w:val="0"/>
                <w:sz w:val="21"/>
              </w:rPr>
              <w:t>模型服务</w:t>
            </w:r>
          </w:p>
        </w:tc>
        <w:tc>
          <w:tcPr>
            <w:tcW w:w="2835" w:type="dxa"/>
          </w:tcPr>
          <w:p w14:paraId="0B3EC093">
            <w:pPr>
              <w:spacing w:before="40" w:after="40" w:line="240" w:lineRule="auto"/>
              <w:ind w:firstLine="0"/>
              <w:jc w:val="center"/>
            </w:pPr>
            <w:r>
              <w:rPr>
                <w:rFonts w:ascii="宋体" w:hAnsi="宋体" w:eastAsia="宋体"/>
                <w:b w:val="0"/>
                <w:sz w:val="21"/>
              </w:rPr>
              <w:t>本地化部署开源大模型（DeepSeek）</w:t>
            </w:r>
          </w:p>
        </w:tc>
        <w:tc>
          <w:tcPr>
            <w:tcW w:w="2835" w:type="dxa"/>
          </w:tcPr>
          <w:p w14:paraId="6B5BF930">
            <w:pPr>
              <w:spacing w:before="40" w:after="40" w:line="240" w:lineRule="auto"/>
              <w:ind w:firstLine="0"/>
              <w:jc w:val="center"/>
            </w:pPr>
            <w:r>
              <w:rPr>
                <w:rFonts w:ascii="宋体" w:hAnsi="宋体" w:eastAsia="宋体"/>
                <w:b w:val="0"/>
                <w:sz w:val="21"/>
              </w:rPr>
              <w:t>模型与数据均部署于公司内网，数据不出内网</w:t>
            </w:r>
          </w:p>
        </w:tc>
      </w:tr>
      <w:tr w14:paraId="08A9A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01322AE">
            <w:pPr>
              <w:spacing w:before="40" w:after="40" w:line="240" w:lineRule="auto"/>
              <w:ind w:firstLine="0"/>
              <w:jc w:val="center"/>
            </w:pPr>
            <w:r>
              <w:rPr>
                <w:rFonts w:ascii="宋体" w:hAnsi="宋体" w:eastAsia="宋体"/>
                <w:b w:val="0"/>
                <w:sz w:val="21"/>
              </w:rPr>
              <w:t>检索增强</w:t>
            </w:r>
          </w:p>
        </w:tc>
        <w:tc>
          <w:tcPr>
            <w:tcW w:w="2835" w:type="dxa"/>
          </w:tcPr>
          <w:p w14:paraId="4CAA1C9C">
            <w:pPr>
              <w:spacing w:before="40" w:after="40" w:line="240" w:lineRule="auto"/>
              <w:ind w:firstLine="0"/>
              <w:jc w:val="center"/>
            </w:pPr>
            <w:r>
              <w:rPr>
                <w:rFonts w:ascii="宋体" w:hAnsi="宋体" w:eastAsia="宋体"/>
                <w:b w:val="0"/>
                <w:sz w:val="21"/>
              </w:rPr>
              <w:t>ChromaDB + 向量模型</w:t>
            </w:r>
          </w:p>
        </w:tc>
        <w:tc>
          <w:tcPr>
            <w:tcW w:w="2835" w:type="dxa"/>
          </w:tcPr>
          <w:p w14:paraId="4C7E8429">
            <w:pPr>
              <w:spacing w:before="40" w:after="40" w:line="240" w:lineRule="auto"/>
              <w:ind w:firstLine="0"/>
              <w:jc w:val="center"/>
            </w:pPr>
            <w:r>
              <w:rPr>
                <w:rFonts w:ascii="宋体" w:hAnsi="宋体" w:eastAsia="宋体"/>
                <w:b w:val="0"/>
                <w:sz w:val="21"/>
              </w:rPr>
              <w:t>知识库语义检索与溯源</w:t>
            </w:r>
          </w:p>
        </w:tc>
      </w:tr>
      <w:tr w14:paraId="7D0ED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4AF23215">
            <w:pPr>
              <w:spacing w:before="40" w:after="40" w:line="240" w:lineRule="auto"/>
              <w:ind w:firstLine="0"/>
              <w:jc w:val="center"/>
            </w:pPr>
            <w:r>
              <w:rPr>
                <w:rFonts w:ascii="宋体" w:hAnsi="宋体" w:eastAsia="宋体"/>
                <w:b w:val="0"/>
                <w:sz w:val="21"/>
              </w:rPr>
              <w:t>文档处理</w:t>
            </w:r>
          </w:p>
        </w:tc>
        <w:tc>
          <w:tcPr>
            <w:tcW w:w="2835" w:type="dxa"/>
          </w:tcPr>
          <w:p w14:paraId="1244716B">
            <w:pPr>
              <w:spacing w:before="40" w:after="40" w:line="240" w:lineRule="auto"/>
              <w:ind w:firstLine="0"/>
              <w:jc w:val="center"/>
            </w:pPr>
            <w:r>
              <w:rPr>
                <w:rFonts w:ascii="宋体" w:hAnsi="宋体" w:eastAsia="宋体"/>
                <w:b w:val="0"/>
                <w:sz w:val="21"/>
              </w:rPr>
              <w:t>PyMuPDF / python-docx / OCR</w:t>
            </w:r>
          </w:p>
        </w:tc>
        <w:tc>
          <w:tcPr>
            <w:tcW w:w="2835" w:type="dxa"/>
          </w:tcPr>
          <w:p w14:paraId="40B97E49">
            <w:pPr>
              <w:spacing w:before="40" w:after="40" w:line="240" w:lineRule="auto"/>
              <w:ind w:firstLine="0"/>
              <w:jc w:val="center"/>
            </w:pPr>
            <w:r>
              <w:rPr>
                <w:rFonts w:ascii="宋体" w:hAnsi="宋体" w:eastAsia="宋体"/>
                <w:b w:val="0"/>
                <w:sz w:val="21"/>
              </w:rPr>
              <w:t>多格式解析与扫描件识别</w:t>
            </w:r>
          </w:p>
        </w:tc>
      </w:tr>
      <w:tr w14:paraId="55D66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31882FC8">
            <w:pPr>
              <w:spacing w:before="40" w:after="40" w:line="240" w:lineRule="auto"/>
              <w:ind w:firstLine="0"/>
              <w:jc w:val="center"/>
            </w:pPr>
            <w:r>
              <w:rPr>
                <w:rFonts w:ascii="宋体" w:hAnsi="宋体" w:eastAsia="宋体"/>
                <w:b w:val="0"/>
                <w:sz w:val="21"/>
              </w:rPr>
              <w:t>部署运维</w:t>
            </w:r>
          </w:p>
        </w:tc>
        <w:tc>
          <w:tcPr>
            <w:tcW w:w="2835" w:type="dxa"/>
            <w:tcBorders>
              <w:bottom w:val="single" w:color="000000" w:sz="12" w:space="0"/>
            </w:tcBorders>
          </w:tcPr>
          <w:p w14:paraId="19729E3B">
            <w:pPr>
              <w:spacing w:before="40" w:after="40" w:line="240" w:lineRule="auto"/>
              <w:ind w:firstLine="0"/>
              <w:jc w:val="center"/>
            </w:pPr>
            <w:r>
              <w:rPr>
                <w:rFonts w:ascii="宋体" w:hAnsi="宋体" w:eastAsia="宋体"/>
                <w:b w:val="0"/>
                <w:sz w:val="21"/>
              </w:rPr>
              <w:t>Docker 编排 + Nginx</w:t>
            </w:r>
          </w:p>
        </w:tc>
        <w:tc>
          <w:tcPr>
            <w:tcW w:w="2835" w:type="dxa"/>
            <w:tcBorders>
              <w:bottom w:val="single" w:color="000000" w:sz="12" w:space="0"/>
            </w:tcBorders>
          </w:tcPr>
          <w:p w14:paraId="052D14D5">
            <w:pPr>
              <w:spacing w:before="40" w:after="40" w:line="240" w:lineRule="auto"/>
              <w:ind w:firstLine="0"/>
              <w:jc w:val="center"/>
            </w:pPr>
            <w:r>
              <w:rPr>
                <w:rFonts w:ascii="宋体" w:hAnsi="宋体" w:eastAsia="宋体"/>
                <w:b w:val="0"/>
                <w:sz w:val="21"/>
              </w:rPr>
              <w:t>六服务容器化，HTTPS 接入</w:t>
            </w:r>
          </w:p>
        </w:tc>
      </w:tr>
    </w:tbl>
    <w:p w14:paraId="67F23E0A">
      <w:pPr>
        <w:spacing w:after="0"/>
        <w:ind w:firstLine="0"/>
      </w:pPr>
    </w:p>
    <w:p w14:paraId="04BADC6A">
      <w:pPr>
        <w:pStyle w:val="4"/>
      </w:pPr>
      <w:bookmarkStart w:id="41" w:name="_Toc11618"/>
      <w:r>
        <w:t>5.2 流程建模与数据设计</w:t>
      </w:r>
      <w:bookmarkEnd w:id="41"/>
    </w:p>
    <w:p w14:paraId="2FD36A8B">
      <w:pPr>
        <w:spacing w:after="0" w:line="360" w:lineRule="auto"/>
        <w:ind w:firstLine="480"/>
        <w:jc w:val="both"/>
      </w:pPr>
      <w:r>
        <w:rPr>
          <w:rFonts w:ascii="宋体" w:hAnsi="宋体" w:eastAsia="宋体"/>
          <w:b w:val="0"/>
          <w:sz w:val="24"/>
        </w:rPr>
        <w:t>流程再造能否落地，关键在于流程是否被“对象化”。平台将招标代理业务抽象为五级对象：项目（project）是业务与成本的归集单元；时间轴（timeline）对应一次完整的招标流程，记录计划与实际起止时间；里程碑（milestone）对应流程中的关键节点，记录计划日期、实际日期、偏差天数与偏差原因分类；环节（step）对应里程碑内的具体作业步骤，记录责任人与完成状态；待办（todo）对应从对话或任务中提取的待办事项，记录创建与完成时间。</w:t>
      </w:r>
    </w:p>
    <w:p w14:paraId="5AE00A7E">
      <w:pPr>
        <w:spacing w:after="0" w:line="360" w:lineRule="auto"/>
        <w:ind w:firstLine="480"/>
        <w:jc w:val="both"/>
      </w:pPr>
      <w:r>
        <w:rPr>
          <w:rFonts w:ascii="宋体" w:hAnsi="宋体" w:eastAsia="宋体"/>
          <w:b w:val="0"/>
          <w:sz w:val="24"/>
        </w:rPr>
        <w:t>这一模型的价值在于：计划与实际的双记录使流程偏差可度量，偏差原因分类使延误可归因，责任人与完成状态使协同可追踪。换言之，再造效果的测量点在设计阶段就被“埋”进了数据结构，而不是事后补记。流程数据模型及其可计算的指标如图5-2所示。</w:t>
      </w:r>
    </w:p>
    <w:p w14:paraId="3A4DBEE2">
      <w:pPr>
        <w:spacing w:before="160" w:after="60" w:line="240" w:lineRule="auto"/>
        <w:ind w:firstLine="0"/>
        <w:jc w:val="center"/>
      </w:pPr>
      <w:r>
        <w:drawing>
          <wp:inline distT="0" distB="0" distL="114300" distR="114300">
            <wp:extent cx="5399405" cy="3561080"/>
            <wp:effectExtent l="0" t="0" r="1079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00000" cy="3561702"/>
                    </a:xfrm>
                    <a:prstGeom prst="rect">
                      <a:avLst/>
                    </a:prstGeom>
                  </pic:spPr>
                </pic:pic>
              </a:graphicData>
            </a:graphic>
          </wp:inline>
        </w:drawing>
      </w:r>
    </w:p>
    <w:p w14:paraId="67F9451E">
      <w:pPr>
        <w:spacing w:after="160" w:line="240" w:lineRule="auto"/>
        <w:ind w:firstLine="0"/>
        <w:jc w:val="center"/>
      </w:pPr>
      <w:r>
        <w:rPr>
          <w:rFonts w:ascii="宋体" w:hAnsi="宋体" w:eastAsia="宋体"/>
          <w:b/>
          <w:sz w:val="21"/>
        </w:rPr>
        <w:t>图5-2 流程数据模型与可计算的过程指标</w:t>
      </w:r>
    </w:p>
    <w:p w14:paraId="22188D79">
      <w:pPr>
        <w:spacing w:after="200" w:line="240" w:lineRule="auto"/>
        <w:ind w:firstLine="0"/>
        <w:jc w:val="center"/>
      </w:pPr>
      <w:r>
        <w:rPr>
          <w:rFonts w:ascii="宋体" w:hAnsi="宋体" w:eastAsia="宋体"/>
          <w:b w:val="0"/>
          <w:color w:val="595959"/>
          <w:sz w:val="17"/>
        </w:rPr>
        <w:t>注：字段名据数据库表结构整理；指标口径见第6章表6-1。</w:t>
      </w:r>
    </w:p>
    <w:p w14:paraId="33684118">
      <w:pPr>
        <w:spacing w:after="0" w:line="360" w:lineRule="auto"/>
        <w:ind w:firstLine="480"/>
        <w:jc w:val="both"/>
      </w:pPr>
      <w:r>
        <w:rPr>
          <w:rFonts w:ascii="宋体" w:hAnsi="宋体" w:eastAsia="宋体"/>
          <w:b w:val="0"/>
          <w:sz w:val="24"/>
        </w:rPr>
        <w:t>数据库共设计76张表，按域划分为项目与流程、文档与版本、清标与审计、合规与法规、知识与检索、用户与权限、审计与日志等类别。其中，项目与流程域是再造的主干，文档与版本域支撑成果质量追溯，清标与审计域承载智能作业结果，合规与法规域沉淀规则，审计与日志域提供可追溯证据。为降低部署与升级成本，表结构采用幂等建表与版本化迁移相结合的方式管理。</w:t>
      </w:r>
    </w:p>
    <w:p w14:paraId="75B13F12">
      <w:pPr>
        <w:spacing w:after="0" w:line="360" w:lineRule="auto"/>
        <w:ind w:firstLine="480"/>
        <w:jc w:val="both"/>
      </w:pPr>
      <w:r>
        <w:rPr>
          <w:rFonts w:ascii="宋体" w:hAnsi="宋体" w:eastAsia="宋体"/>
          <w:b w:val="0"/>
          <w:sz w:val="24"/>
        </w:rPr>
        <w:t>在数据治理层面，平台对项目文件实行版本化管理，每次上传生成新版本并保留操作者与时间戳；对评审与清标结果实行快照化存储，确保结论可复现；对法规库实行版本管理，记录条款的新增、修订与失效，使合规判断能够对应到具体时点的有效条款。这三项设计共同解决了传统作业中“过程不可追溯、结论不可复现、依据不可定位”的痛点。</w:t>
      </w:r>
    </w:p>
    <w:p w14:paraId="17ADC57C">
      <w:pPr>
        <w:pStyle w:val="4"/>
      </w:pPr>
      <w:bookmarkStart w:id="42" w:name="_Toc16644"/>
      <w:r>
        <w:t>5.3 关键功能模块实现</w:t>
      </w:r>
      <w:bookmarkEnd w:id="42"/>
    </w:p>
    <w:p w14:paraId="103E95F6">
      <w:pPr>
        <w:spacing w:after="0" w:line="360" w:lineRule="auto"/>
        <w:ind w:firstLine="480"/>
        <w:jc w:val="both"/>
      </w:pPr>
      <w:r>
        <w:rPr>
          <w:rFonts w:ascii="宋体" w:hAnsi="宋体" w:eastAsia="宋体"/>
          <w:b w:val="0"/>
          <w:sz w:val="24"/>
        </w:rPr>
        <w:t>上述八个能力域按作业场景归并为六个核心功能模块：项目管理与时间轴对应流程对象模型，文档解析、清标分析、合规检查、围标串标检测分别对应前四个模块，智能对话与知识库合并为第五模块，企业信用查询与项目协同合并为第六模块。模块与实现要点如表5-2所示。</w:t>
      </w:r>
    </w:p>
    <w:p w14:paraId="51EBCDFA">
      <w:pPr>
        <w:spacing w:before="120" w:after="40"/>
        <w:ind w:firstLine="0"/>
        <w:jc w:val="center"/>
      </w:pPr>
      <w:r>
        <w:rPr>
          <w:rFonts w:ascii="宋体" w:hAnsi="宋体" w:eastAsia="宋体"/>
          <w:b/>
          <w:sz w:val="21"/>
        </w:rPr>
        <w:t>表5-2 关键功能模块与实现要点</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6A407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7E81E302">
            <w:pPr>
              <w:spacing w:before="40" w:after="40" w:line="240" w:lineRule="auto"/>
              <w:ind w:firstLine="0"/>
              <w:jc w:val="center"/>
            </w:pPr>
            <w:r>
              <w:rPr>
                <w:rFonts w:ascii="宋体" w:hAnsi="宋体" w:eastAsia="宋体"/>
                <w:b/>
                <w:sz w:val="21"/>
              </w:rPr>
              <w:t>模块</w:t>
            </w:r>
          </w:p>
        </w:tc>
        <w:tc>
          <w:tcPr>
            <w:tcW w:w="2835" w:type="dxa"/>
            <w:tcBorders>
              <w:top w:val="single" w:color="000000" w:sz="12" w:space="0"/>
              <w:bottom w:val="single" w:color="000000" w:sz="6" w:space="0"/>
            </w:tcBorders>
          </w:tcPr>
          <w:p w14:paraId="46222308">
            <w:pPr>
              <w:spacing w:before="40" w:after="40" w:line="240" w:lineRule="auto"/>
              <w:ind w:firstLine="0"/>
              <w:jc w:val="center"/>
            </w:pPr>
            <w:r>
              <w:rPr>
                <w:rFonts w:ascii="宋体" w:hAnsi="宋体" w:eastAsia="宋体"/>
                <w:b/>
                <w:sz w:val="21"/>
              </w:rPr>
              <w:t>核心能力</w:t>
            </w:r>
          </w:p>
        </w:tc>
        <w:tc>
          <w:tcPr>
            <w:tcW w:w="2835" w:type="dxa"/>
            <w:tcBorders>
              <w:top w:val="single" w:color="000000" w:sz="12" w:space="0"/>
              <w:bottom w:val="single" w:color="000000" w:sz="6" w:space="0"/>
            </w:tcBorders>
          </w:tcPr>
          <w:p w14:paraId="7AE5D2C9">
            <w:pPr>
              <w:spacing w:before="40" w:after="40" w:line="240" w:lineRule="auto"/>
              <w:ind w:firstLine="0"/>
              <w:jc w:val="center"/>
            </w:pPr>
            <w:r>
              <w:rPr>
                <w:rFonts w:ascii="宋体" w:hAnsi="宋体" w:eastAsia="宋体"/>
                <w:b/>
                <w:sz w:val="21"/>
              </w:rPr>
              <w:t>主要输出</w:t>
            </w:r>
          </w:p>
        </w:tc>
      </w:tr>
      <w:tr w14:paraId="34EB2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EE8903A">
            <w:pPr>
              <w:spacing w:before="40" w:after="40" w:line="240" w:lineRule="auto"/>
              <w:ind w:firstLine="0"/>
              <w:jc w:val="center"/>
            </w:pPr>
            <w:r>
              <w:rPr>
                <w:rFonts w:ascii="宋体" w:hAnsi="宋体" w:eastAsia="宋体"/>
                <w:b w:val="0"/>
                <w:sz w:val="21"/>
              </w:rPr>
              <w:t>文档智能解析</w:t>
            </w:r>
          </w:p>
        </w:tc>
        <w:tc>
          <w:tcPr>
            <w:tcW w:w="2835" w:type="dxa"/>
          </w:tcPr>
          <w:p w14:paraId="03F1B880">
            <w:pPr>
              <w:spacing w:before="40" w:after="40" w:line="240" w:lineRule="auto"/>
              <w:ind w:firstLine="0"/>
              <w:jc w:val="center"/>
            </w:pPr>
            <w:r>
              <w:rPr>
                <w:rFonts w:ascii="宋体" w:hAnsi="宋体" w:eastAsia="宋体"/>
                <w:b w:val="0"/>
                <w:sz w:val="21"/>
              </w:rPr>
              <w:t>多格式解析、章节条款切分、OCR 识别</w:t>
            </w:r>
          </w:p>
        </w:tc>
        <w:tc>
          <w:tcPr>
            <w:tcW w:w="2835" w:type="dxa"/>
          </w:tcPr>
          <w:p w14:paraId="12B616F5">
            <w:pPr>
              <w:spacing w:before="40" w:after="40" w:line="240" w:lineRule="auto"/>
              <w:ind w:firstLine="0"/>
              <w:jc w:val="center"/>
            </w:pPr>
            <w:r>
              <w:rPr>
                <w:rFonts w:ascii="宋体" w:hAnsi="宋体" w:eastAsia="宋体"/>
                <w:b w:val="0"/>
                <w:sz w:val="21"/>
              </w:rPr>
              <w:t>结构化文本、条款索引</w:t>
            </w:r>
          </w:p>
        </w:tc>
      </w:tr>
      <w:tr w14:paraId="1EA81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8A9E6EB">
            <w:pPr>
              <w:spacing w:before="40" w:after="40" w:line="240" w:lineRule="auto"/>
              <w:ind w:firstLine="0"/>
              <w:jc w:val="center"/>
            </w:pPr>
            <w:r>
              <w:rPr>
                <w:rFonts w:ascii="宋体" w:hAnsi="宋体" w:eastAsia="宋体"/>
                <w:b w:val="0"/>
                <w:sz w:val="21"/>
              </w:rPr>
              <w:t>清标辅助评分</w:t>
            </w:r>
          </w:p>
        </w:tc>
        <w:tc>
          <w:tcPr>
            <w:tcW w:w="2835" w:type="dxa"/>
          </w:tcPr>
          <w:p w14:paraId="6247A769">
            <w:pPr>
              <w:spacing w:before="40" w:after="40" w:line="240" w:lineRule="auto"/>
              <w:ind w:firstLine="0"/>
              <w:jc w:val="center"/>
            </w:pPr>
            <w:r>
              <w:rPr>
                <w:rFonts w:ascii="宋体" w:hAnsi="宋体" w:eastAsia="宋体"/>
                <w:b w:val="0"/>
                <w:sz w:val="21"/>
              </w:rPr>
              <w:t>五维度要素提取、加权合成评分</w:t>
            </w:r>
          </w:p>
        </w:tc>
        <w:tc>
          <w:tcPr>
            <w:tcW w:w="2835" w:type="dxa"/>
          </w:tcPr>
          <w:p w14:paraId="04BDC396">
            <w:pPr>
              <w:spacing w:before="40" w:after="40" w:line="240" w:lineRule="auto"/>
              <w:ind w:firstLine="0"/>
              <w:jc w:val="center"/>
            </w:pPr>
            <w:r>
              <w:rPr>
                <w:rFonts w:ascii="宋体" w:hAnsi="宋体" w:eastAsia="宋体"/>
                <w:b w:val="0"/>
                <w:sz w:val="21"/>
              </w:rPr>
              <w:t>评分表、问题清单</w:t>
            </w:r>
          </w:p>
        </w:tc>
      </w:tr>
      <w:tr w14:paraId="63ECB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4DA1667E">
            <w:pPr>
              <w:spacing w:before="40" w:after="40" w:line="240" w:lineRule="auto"/>
              <w:ind w:firstLine="0"/>
              <w:jc w:val="center"/>
            </w:pPr>
            <w:r>
              <w:rPr>
                <w:rFonts w:ascii="宋体" w:hAnsi="宋体" w:eastAsia="宋体"/>
                <w:b w:val="0"/>
                <w:sz w:val="21"/>
              </w:rPr>
              <w:t>围串标风险识别</w:t>
            </w:r>
          </w:p>
        </w:tc>
        <w:tc>
          <w:tcPr>
            <w:tcW w:w="2835" w:type="dxa"/>
          </w:tcPr>
          <w:p w14:paraId="7F03C857">
            <w:pPr>
              <w:spacing w:before="40" w:after="40" w:line="240" w:lineRule="auto"/>
              <w:ind w:firstLine="0"/>
              <w:jc w:val="center"/>
            </w:pPr>
            <w:r>
              <w:rPr>
                <w:rFonts w:ascii="宋体" w:hAnsi="宋体" w:eastAsia="宋体"/>
                <w:b w:val="0"/>
                <w:sz w:val="21"/>
              </w:rPr>
              <w:t>文本相似度、报价异常、关联网络</w:t>
            </w:r>
          </w:p>
        </w:tc>
        <w:tc>
          <w:tcPr>
            <w:tcW w:w="2835" w:type="dxa"/>
          </w:tcPr>
          <w:p w14:paraId="3BA303A3">
            <w:pPr>
              <w:spacing w:before="40" w:after="40" w:line="240" w:lineRule="auto"/>
              <w:ind w:firstLine="0"/>
              <w:jc w:val="center"/>
            </w:pPr>
            <w:r>
              <w:rPr>
                <w:rFonts w:ascii="宋体" w:hAnsi="宋体" w:eastAsia="宋体"/>
                <w:b w:val="0"/>
                <w:sz w:val="21"/>
              </w:rPr>
              <w:t>风险提示清单</w:t>
            </w:r>
          </w:p>
        </w:tc>
      </w:tr>
      <w:tr w14:paraId="68CFC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16A3824">
            <w:pPr>
              <w:spacing w:before="40" w:after="40" w:line="240" w:lineRule="auto"/>
              <w:ind w:firstLine="0"/>
              <w:jc w:val="center"/>
            </w:pPr>
            <w:r>
              <w:rPr>
                <w:rFonts w:ascii="宋体" w:hAnsi="宋体" w:eastAsia="宋体"/>
                <w:b w:val="0"/>
                <w:sz w:val="21"/>
              </w:rPr>
              <w:t>合规检查</w:t>
            </w:r>
          </w:p>
        </w:tc>
        <w:tc>
          <w:tcPr>
            <w:tcW w:w="2835" w:type="dxa"/>
          </w:tcPr>
          <w:p w14:paraId="64CB85EA">
            <w:pPr>
              <w:spacing w:before="40" w:after="40" w:line="240" w:lineRule="auto"/>
              <w:ind w:firstLine="0"/>
              <w:jc w:val="center"/>
            </w:pPr>
            <w:r>
              <w:rPr>
                <w:rFonts w:ascii="宋体" w:hAnsi="宋体" w:eastAsia="宋体"/>
                <w:b w:val="0"/>
                <w:sz w:val="21"/>
              </w:rPr>
              <w:t>法规条款结构化、增量检索与校验</w:t>
            </w:r>
          </w:p>
        </w:tc>
        <w:tc>
          <w:tcPr>
            <w:tcW w:w="2835" w:type="dxa"/>
          </w:tcPr>
          <w:p w14:paraId="29436FA7">
            <w:pPr>
              <w:spacing w:before="40" w:after="40" w:line="240" w:lineRule="auto"/>
              <w:ind w:firstLine="0"/>
              <w:jc w:val="center"/>
            </w:pPr>
            <w:r>
              <w:rPr>
                <w:rFonts w:ascii="宋体" w:hAnsi="宋体" w:eastAsia="宋体"/>
                <w:b w:val="0"/>
                <w:sz w:val="21"/>
              </w:rPr>
              <w:t>合规检查意见</w:t>
            </w:r>
          </w:p>
        </w:tc>
      </w:tr>
      <w:tr w14:paraId="37A8A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436FB71">
            <w:pPr>
              <w:spacing w:before="40" w:after="40" w:line="240" w:lineRule="auto"/>
              <w:ind w:firstLine="0"/>
              <w:jc w:val="center"/>
            </w:pPr>
            <w:r>
              <w:rPr>
                <w:rFonts w:ascii="宋体" w:hAnsi="宋体" w:eastAsia="宋体"/>
                <w:b w:val="0"/>
                <w:sz w:val="21"/>
              </w:rPr>
              <w:t>智能对话与知识库</w:t>
            </w:r>
          </w:p>
        </w:tc>
        <w:tc>
          <w:tcPr>
            <w:tcW w:w="2835" w:type="dxa"/>
          </w:tcPr>
          <w:p w14:paraId="39951ADA">
            <w:pPr>
              <w:spacing w:before="40" w:after="40" w:line="240" w:lineRule="auto"/>
              <w:ind w:firstLine="0"/>
              <w:jc w:val="center"/>
            </w:pPr>
            <w:r>
              <w:rPr>
                <w:rFonts w:ascii="宋体" w:hAnsi="宋体" w:eastAsia="宋体"/>
                <w:b w:val="0"/>
                <w:sz w:val="21"/>
              </w:rPr>
              <w:t>检索增强生成、引用溯源</w:t>
            </w:r>
          </w:p>
        </w:tc>
        <w:tc>
          <w:tcPr>
            <w:tcW w:w="2835" w:type="dxa"/>
          </w:tcPr>
          <w:p w14:paraId="3603426F">
            <w:pPr>
              <w:spacing w:before="40" w:after="40" w:line="240" w:lineRule="auto"/>
              <w:ind w:firstLine="0"/>
              <w:jc w:val="center"/>
            </w:pPr>
            <w:r>
              <w:rPr>
                <w:rFonts w:ascii="宋体" w:hAnsi="宋体" w:eastAsia="宋体"/>
                <w:b w:val="0"/>
                <w:sz w:val="21"/>
              </w:rPr>
              <w:t>问答结果、条款引用</w:t>
            </w:r>
          </w:p>
        </w:tc>
      </w:tr>
      <w:tr w14:paraId="4F97D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7A514700">
            <w:pPr>
              <w:spacing w:before="40" w:after="40" w:line="240" w:lineRule="auto"/>
              <w:ind w:firstLine="0"/>
              <w:jc w:val="center"/>
            </w:pPr>
            <w:r>
              <w:rPr>
                <w:rFonts w:ascii="宋体" w:hAnsi="宋体" w:eastAsia="宋体"/>
                <w:b w:val="0"/>
                <w:sz w:val="21"/>
              </w:rPr>
              <w:t>项目协同与信用查询</w:t>
            </w:r>
          </w:p>
        </w:tc>
        <w:tc>
          <w:tcPr>
            <w:tcW w:w="2835" w:type="dxa"/>
            <w:tcBorders>
              <w:bottom w:val="single" w:color="000000" w:sz="12" w:space="0"/>
            </w:tcBorders>
          </w:tcPr>
          <w:p w14:paraId="1F3A4A0A">
            <w:pPr>
              <w:spacing w:before="40" w:after="40" w:line="240" w:lineRule="auto"/>
              <w:ind w:firstLine="0"/>
              <w:jc w:val="center"/>
            </w:pPr>
            <w:r>
              <w:rPr>
                <w:rFonts w:ascii="宋体" w:hAnsi="宋体" w:eastAsia="宋体"/>
                <w:b w:val="0"/>
                <w:sz w:val="21"/>
              </w:rPr>
              <w:t>文件版本、评论待办、信用采集</w:t>
            </w:r>
          </w:p>
        </w:tc>
        <w:tc>
          <w:tcPr>
            <w:tcW w:w="2835" w:type="dxa"/>
            <w:tcBorders>
              <w:bottom w:val="single" w:color="000000" w:sz="12" w:space="0"/>
            </w:tcBorders>
          </w:tcPr>
          <w:p w14:paraId="08DF88A2">
            <w:pPr>
              <w:spacing w:before="40" w:after="40" w:line="240" w:lineRule="auto"/>
              <w:ind w:firstLine="0"/>
              <w:jc w:val="center"/>
            </w:pPr>
            <w:r>
              <w:rPr>
                <w:rFonts w:ascii="宋体" w:hAnsi="宋体" w:eastAsia="宋体"/>
                <w:b w:val="0"/>
                <w:sz w:val="21"/>
              </w:rPr>
              <w:t>项目档案、信用报告</w:t>
            </w:r>
          </w:p>
        </w:tc>
      </w:tr>
    </w:tbl>
    <w:p w14:paraId="5CC583A2">
      <w:pPr>
        <w:spacing w:after="0"/>
        <w:ind w:firstLine="0"/>
      </w:pPr>
    </w:p>
    <w:p w14:paraId="5F395953">
      <w:pPr>
        <w:spacing w:after="0" w:line="360" w:lineRule="auto"/>
        <w:ind w:firstLine="480"/>
        <w:jc w:val="both"/>
      </w:pPr>
      <w:r>
        <w:rPr>
          <w:rFonts w:ascii="宋体" w:hAnsi="宋体" w:eastAsia="宋体"/>
          <w:b w:val="0"/>
          <w:sz w:val="24"/>
        </w:rPr>
        <w:t>第一，文档智能解析模块。招标文件与投标文件格式多样、篇幅长、条款密集，人工通读耗时且易遗漏。平台集成多格式解析与光学字符识别能力，将文件统一转换为结构化文本，并按章节、条款、表格切分，为后续审查与比对提供基础。解析结果缓存复用，避免重复计算。</w:t>
      </w:r>
    </w:p>
    <w:p w14:paraId="53133898">
      <w:pPr>
        <w:spacing w:after="0" w:line="360" w:lineRule="auto"/>
        <w:ind w:firstLine="480"/>
        <w:jc w:val="both"/>
      </w:pPr>
      <w:r>
        <w:rPr>
          <w:rFonts w:ascii="宋体" w:hAnsi="宋体" w:eastAsia="宋体"/>
          <w:b w:val="0"/>
          <w:sz w:val="24"/>
        </w:rPr>
        <w:t>第二，清标辅助评分模块。清标是招标代理作业中人工投入最集中的环节之一。平台将清标拆解为指标分析、交叉比较、合规检查、智能审查与全量审计五个维度，对各维度分别提取要素并计算得分，再按权重合成综合评分，输出可比对的结果表与问题清单。评分过程保留中间结果，便于复核人员核查判断依据。</w:t>
      </w:r>
    </w:p>
    <w:p w14:paraId="036BBCDC">
      <w:pPr>
        <w:spacing w:after="0" w:line="360" w:lineRule="auto"/>
        <w:ind w:firstLine="480"/>
        <w:jc w:val="both"/>
      </w:pPr>
      <w:r>
        <w:rPr>
          <w:rFonts w:ascii="宋体" w:hAnsi="宋体" w:eastAsia="宋体"/>
          <w:b w:val="0"/>
          <w:sz w:val="24"/>
        </w:rPr>
        <w:t>第三，围标串标风险识别模块。平台以文本相似度计算识别投标文件之间的异常雷同，以报价尾数分布与Benford 检验识别报价异常，以投标主体之间的关联关系构建风险网络，并将多类信号汇总为风险提示。风险识别结果作为评审参考而非结论，最终判断仍由评审专家作出，这符合招标投标程序的合规要求。</w:t>
      </w:r>
    </w:p>
    <w:p w14:paraId="11C67836">
      <w:pPr>
        <w:spacing w:after="0" w:line="360" w:lineRule="auto"/>
        <w:ind w:firstLine="480"/>
        <w:jc w:val="both"/>
      </w:pPr>
      <w:r>
        <w:rPr>
          <w:rFonts w:ascii="宋体" w:hAnsi="宋体" w:eastAsia="宋体"/>
          <w:b w:val="0"/>
          <w:sz w:val="24"/>
        </w:rPr>
        <w:t>第四，合规检查模块。平台以结构化法规库文件加载 15 部国家级法规（合计 619 条，其中 11 部为全文、4 部核心法律为节选），按条款建立规则与关键词映射，支持对招标文件进行条款级合规检索与增量检查。法规库实行版本管理，当法规修订时，平台保留历史版本并标记受影响的条款，使合规检查结论与法规时点严格对应。</w:t>
      </w:r>
    </w:p>
    <w:p w14:paraId="2E4AB736">
      <w:pPr>
        <w:spacing w:after="0" w:line="360" w:lineRule="auto"/>
        <w:ind w:firstLine="480"/>
        <w:jc w:val="both"/>
      </w:pPr>
      <w:r>
        <w:rPr>
          <w:rFonts w:ascii="宋体" w:hAnsi="宋体" w:eastAsia="宋体"/>
          <w:b w:val="0"/>
          <w:sz w:val="24"/>
        </w:rPr>
        <w:t>第五，智能对话与知识库模块。平台以状态图代理编排对话流程，结合检索增强生成技术，将公司范本、历史成果与法规条款作为知识来源，支持自然语言提问、条款引用与溯源。对话过程支持流式输出，降低等待感；同时通过提示注入防护与引用约束，降低模型幻觉带来的风险。</w:t>
      </w:r>
    </w:p>
    <w:p w14:paraId="090D1097">
      <w:pPr>
        <w:spacing w:after="0" w:line="360" w:lineRule="auto"/>
        <w:ind w:firstLine="480"/>
        <w:jc w:val="both"/>
      </w:pPr>
      <w:r>
        <w:rPr>
          <w:rFonts w:ascii="宋体" w:hAnsi="宋体" w:eastAsia="宋体"/>
          <w:b w:val="0"/>
          <w:sz w:val="24"/>
        </w:rPr>
        <w:t>第六，企业信用查询与项目协同模块。平台以浏览器自动化辅助采集公开渠道企业信用信息（验证码等环节需人工介入），形成信用报告；该功能依赖本机浏览器环境，服务器容器部署时需外挂浏览器或由客户端执行。平台以项目空间承载文件共享、版本历史、评论与待办，支持跨部门协同。上述模块均纳入统一权限体系与操作审计，关键动作留痕。</w:t>
      </w:r>
    </w:p>
    <w:p w14:paraId="44D98A92">
      <w:pPr>
        <w:pStyle w:val="4"/>
      </w:pPr>
      <w:bookmarkStart w:id="43" w:name="_Toc14311"/>
      <w:r>
        <w:t>5.4 系统集成、部署与实施推广</w:t>
      </w:r>
      <w:bookmarkEnd w:id="43"/>
    </w:p>
    <w:p w14:paraId="053B45E1">
      <w:pPr>
        <w:spacing w:after="0" w:line="360" w:lineRule="auto"/>
        <w:ind w:firstLine="480"/>
        <w:jc w:val="both"/>
      </w:pPr>
      <w:r>
        <w:rPr>
          <w:rFonts w:ascii="宋体" w:hAnsi="宋体" w:eastAsia="宋体"/>
          <w:b w:val="0"/>
          <w:sz w:val="24"/>
        </w:rPr>
        <w:t>在系统集成方面，平台以接口方式与既有业务系统对接：项目主数据由业务系统同步，成果文件由平台生成后回传档案系统，财务数据按项目编号关联，避免重复录入。对暂不具备接口条件的系统，提供标准模板导入导出作为过渡方案，并在制度上要求“一次录入、多处复用”。</w:t>
      </w:r>
    </w:p>
    <w:p w14:paraId="05C03CC9">
      <w:pPr>
        <w:spacing w:after="0" w:line="360" w:lineRule="auto"/>
        <w:ind w:firstLine="480"/>
        <w:jc w:val="both"/>
      </w:pPr>
      <w:r>
        <w:rPr>
          <w:rFonts w:ascii="宋体" w:hAnsi="宋体" w:eastAsia="宋体"/>
          <w:b w:val="0"/>
          <w:sz w:val="24"/>
        </w:rPr>
        <w:t>在部署方面，平台采用容器化编排，包含应用服务、数据库、缓存、异步任务、调度与反向代理六个服务单元，支持在通用服务器与 GPU 服务器上按需切换。模型推理与文档解析等重负载任务由异步任务队列承载，避免阻塞交互请求；定时任务承担数据清理、指标汇总、模型目录刷新与健康检查等 25 项作业；法规变更由管理端触发影响分析。安全方面，平台实施会话管理、请求限流、文件类型校验与操作审计，并对上传文件进行隔离存储。</w:t>
      </w:r>
    </w:p>
    <w:p w14:paraId="3654885E">
      <w:pPr>
        <w:spacing w:after="0" w:line="360" w:lineRule="auto"/>
        <w:ind w:firstLine="480"/>
        <w:jc w:val="both"/>
      </w:pPr>
      <w:r>
        <w:rPr>
          <w:rFonts w:ascii="宋体" w:hAnsi="宋体" w:eastAsia="宋体"/>
          <w:b w:val="0"/>
          <w:sz w:val="24"/>
        </w:rPr>
        <w:t>在实施推广方面，采取“试点—评估—推广—固化”四步路径。第一阶段选择招标代理部两个业务组试点，重点验证流程对象与清标辅助的可用性；第二阶段以试点项目为样本，收集节点耗时与返工数据，评估效果并修正流程；第三阶段向分支机构推广，同步开展分层培训；第四阶段将流程节点、报送要求与考核指标固化为制度，纳入部门与个人绩效。</w:t>
      </w:r>
    </w:p>
    <w:p w14:paraId="7B7C0CBD">
      <w:pPr>
        <w:spacing w:after="0" w:line="360" w:lineRule="auto"/>
        <w:ind w:firstLine="480"/>
        <w:jc w:val="both"/>
      </w:pPr>
      <w:r>
        <w:rPr>
          <w:rFonts w:ascii="宋体" w:hAnsi="宋体" w:eastAsia="宋体"/>
          <w:b w:val="0"/>
          <w:sz w:val="24"/>
        </w:rPr>
        <w:t>需要强调的是，平台上线不等于再造完成。组织层面的配套改革同样关键：一是调整绩效考核权重，将节点准时率、返工率与工具使用情况纳入考核；二是建立跨部门流程治理小组，负责流程变更的评审与发布；三是建立“工具上线—专项培训—上岗考核—持续优化”的闭环机制。这些措施与平台建设相互支撑，共同构成再造的完整方案。</w:t>
      </w:r>
    </w:p>
    <w:p w14:paraId="384E5890">
      <w:pPr>
        <w:pStyle w:val="4"/>
      </w:pPr>
      <w:bookmarkStart w:id="44" w:name="_Toc2645"/>
      <w:r>
        <w:t>5.5 本章小结</w:t>
      </w:r>
      <w:bookmarkEnd w:id="44"/>
    </w:p>
    <w:p w14:paraId="0AF75965">
      <w:pPr>
        <w:spacing w:after="0" w:line="360" w:lineRule="auto"/>
        <w:ind w:firstLine="480"/>
        <w:jc w:val="both"/>
      </w:pPr>
      <w:r>
        <w:rPr>
          <w:rFonts w:ascii="宋体" w:hAnsi="宋体" w:eastAsia="宋体"/>
          <w:b w:val="0"/>
          <w:sz w:val="24"/>
        </w:rPr>
        <w:t>本章将前述问题与成因转化为可运行的系统方案。首先，明确平台的四项建设目标与四项设计原则，给出五层总体架构与技术选型。其次，提出“项目—时间轴—里程碑—环节—待办”五级流程对象模型，将流程偏差、延误归因与协同状态转化为可计算的数据结构，并从数据治理角度给出文件版本化、结果快照化、法规版本化三项设计。第三，围绕文档解析、清标辅助、风险识别、合规检查、智能对话与项目协同六个模块，说明其实现要点与合规边界。最后，给出系统集成、容器化部署与“试点—评估—推广—固化”的实施路径，并强调组织配套改革与平台建设同等重要。</w:t>
      </w:r>
    </w:p>
    <w:p w14:paraId="5A3F1D57">
      <w:pPr>
        <w:spacing w:after="0" w:line="360" w:lineRule="auto"/>
        <w:ind w:firstLine="480"/>
        <w:jc w:val="both"/>
      </w:pPr>
      <w:r>
        <w:rPr>
          <w:rFonts w:ascii="宋体" w:hAnsi="宋体" w:eastAsia="宋体"/>
          <w:b w:val="0"/>
          <w:sz w:val="24"/>
        </w:rPr>
        <w:t>本章的贡献在于：把“流程再造”从管理倡议落实到可运行的系统与可测量的数据结构，为下一章的效果评估提供了测量基础。</w:t>
      </w:r>
    </w:p>
    <w:p w14:paraId="126AE87A">
      <w:pPr>
        <w:pStyle w:val="3"/>
        <w:pageBreakBefore/>
      </w:pPr>
      <w:bookmarkStart w:id="45" w:name="_Toc18552"/>
      <w:r>
        <w:t>第6章 再造效果评估</w:t>
      </w:r>
      <w:bookmarkEnd w:id="45"/>
    </w:p>
    <w:p w14:paraId="43BC42E9">
      <w:pPr>
        <w:spacing w:after="0" w:line="360" w:lineRule="auto"/>
        <w:ind w:firstLine="480"/>
        <w:jc w:val="both"/>
      </w:pPr>
      <w:r>
        <w:rPr>
          <w:rFonts w:ascii="宋体" w:hAnsi="宋体" w:eastAsia="宋体"/>
          <w:b w:val="0"/>
          <w:sz w:val="24"/>
        </w:rPr>
        <w:t>本章构建再造效果的评价指标体系与测量方案，并在此基础上对Z公司的再造效果进行测算。需要说明的是，受企业数据治理约束，公司业务明细数据不得导出内网；经公司许可，本研究获得近一年运行数据的聚合结果（已作四舍五入与聚合处理，不含客户与项目明细），可用于基线刻画与情景测算的锚定，但因缺少再造前的逐项目基线，尚不足以开展再造前后对照的统计检验。因此本章以“问卷与访谈证据 + 系统设计参数 + 试点期实测基线 + 情景分析”的组合方式开展评估。这一处理既是现实约束下的务实选择，也是本文在方法上的一个自觉安排。</w:t>
      </w:r>
    </w:p>
    <w:p w14:paraId="59115C45">
      <w:pPr>
        <w:pStyle w:val="4"/>
      </w:pPr>
      <w:bookmarkStart w:id="46" w:name="_Toc7614"/>
      <w:r>
        <w:t>6.1 评价指标体系构建</w:t>
      </w:r>
      <w:bookmarkEnd w:id="46"/>
    </w:p>
    <w:p w14:paraId="32986298">
      <w:pPr>
        <w:spacing w:after="0" w:line="360" w:lineRule="auto"/>
        <w:ind w:firstLine="480"/>
        <w:jc w:val="both"/>
      </w:pPr>
      <w:r>
        <w:rPr>
          <w:rFonts w:ascii="宋体" w:hAnsi="宋体" w:eastAsia="宋体"/>
          <w:b w:val="0"/>
          <w:sz w:val="24"/>
        </w:rPr>
        <w:t>指标体系的构建遵循三条原则：一是可测量，指标必须能从系统数据、制度文件或问卷中获得；二是可归因，指标变化应能对应到具体的再造措施；三是可比较，指标在再造前后具有一致的口径。据此构建“目标层—准则层—指标层”三层体系，如图6-1所示。</w:t>
      </w:r>
    </w:p>
    <w:p w14:paraId="0AD7CC63">
      <w:pPr>
        <w:spacing w:before="160" w:after="60" w:line="240" w:lineRule="auto"/>
        <w:ind w:firstLine="0"/>
        <w:jc w:val="center"/>
      </w:pPr>
      <w:r>
        <w:drawing>
          <wp:inline distT="0" distB="0" distL="114300" distR="114300">
            <wp:extent cx="5399405" cy="3053080"/>
            <wp:effectExtent l="0" t="0" r="1079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00000" cy="3053470"/>
                    </a:xfrm>
                    <a:prstGeom prst="rect">
                      <a:avLst/>
                    </a:prstGeom>
                  </pic:spPr>
                </pic:pic>
              </a:graphicData>
            </a:graphic>
          </wp:inline>
        </w:drawing>
      </w:r>
    </w:p>
    <w:p w14:paraId="33352AC4">
      <w:pPr>
        <w:spacing w:after="160" w:line="240" w:lineRule="auto"/>
        <w:ind w:firstLine="0"/>
        <w:jc w:val="center"/>
      </w:pPr>
      <w:r>
        <w:rPr>
          <w:rFonts w:ascii="宋体" w:hAnsi="宋体" w:eastAsia="宋体"/>
          <w:b/>
          <w:sz w:val="21"/>
        </w:rPr>
        <w:t>图6-1 再造效果评价指标体系框架</w:t>
      </w:r>
    </w:p>
    <w:p w14:paraId="3CCFAE65">
      <w:pPr>
        <w:spacing w:after="200" w:line="240" w:lineRule="auto"/>
        <w:ind w:firstLine="0"/>
        <w:jc w:val="center"/>
      </w:pPr>
      <w:r>
        <w:rPr>
          <w:rFonts w:ascii="宋体" w:hAnsi="宋体" w:eastAsia="宋体"/>
          <w:b w:val="0"/>
          <w:color w:val="595959"/>
          <w:sz w:val="17"/>
        </w:rPr>
        <w:t>注：权重在后续实测阶段以熵权法与AHP组合赋权确定；本文情景测算采用等权标准化合成。</w:t>
      </w:r>
    </w:p>
    <w:p w14:paraId="2C234354">
      <w:pPr>
        <w:spacing w:after="0" w:line="360" w:lineRule="auto"/>
        <w:ind w:firstLine="480"/>
        <w:jc w:val="both"/>
      </w:pPr>
      <w:r>
        <w:rPr>
          <w:rFonts w:ascii="宋体" w:hAnsi="宋体" w:eastAsia="宋体"/>
          <w:b w:val="0"/>
          <w:sz w:val="24"/>
        </w:rPr>
        <w:t>准则层包括流程效率、集成水平、资源节约、业务价值与组织能力五个维度。指标层的具体口径与数据来源如表6-1所示。其中，流程周期、计划偏差率、里程碑延误、返工强度与任务响应五项指标可直接由平台数据计算；集成水平与组织能力指标需结合系统日志与问卷；业务价值指标需结合业务台账。</w:t>
      </w:r>
    </w:p>
    <w:p w14:paraId="3D3FAF67">
      <w:pPr>
        <w:spacing w:before="120" w:after="40"/>
        <w:ind w:firstLine="0"/>
        <w:jc w:val="center"/>
      </w:pPr>
      <w:r>
        <w:rPr>
          <w:rFonts w:ascii="宋体" w:hAnsi="宋体" w:eastAsia="宋体"/>
          <w:b/>
          <w:sz w:val="21"/>
        </w:rPr>
        <w:t>表6-1 再造效果评价指标与测量口径</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1C23D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126" w:type="dxa"/>
            <w:tcBorders>
              <w:top w:val="single" w:color="000000" w:sz="12" w:space="0"/>
              <w:bottom w:val="single" w:color="000000" w:sz="6" w:space="0"/>
            </w:tcBorders>
          </w:tcPr>
          <w:p w14:paraId="5E0FB4A2">
            <w:pPr>
              <w:spacing w:before="40" w:after="40" w:line="240" w:lineRule="auto"/>
              <w:ind w:firstLine="0"/>
              <w:jc w:val="center"/>
            </w:pPr>
            <w:r>
              <w:rPr>
                <w:rFonts w:ascii="宋体" w:hAnsi="宋体" w:eastAsia="宋体"/>
                <w:b/>
                <w:sz w:val="21"/>
              </w:rPr>
              <w:t>准则层</w:t>
            </w:r>
          </w:p>
        </w:tc>
        <w:tc>
          <w:tcPr>
            <w:tcW w:w="2126" w:type="dxa"/>
            <w:tcBorders>
              <w:top w:val="single" w:color="000000" w:sz="12" w:space="0"/>
              <w:bottom w:val="single" w:color="000000" w:sz="6" w:space="0"/>
            </w:tcBorders>
          </w:tcPr>
          <w:p w14:paraId="6C9CA701">
            <w:pPr>
              <w:spacing w:before="40" w:after="40" w:line="240" w:lineRule="auto"/>
              <w:ind w:firstLine="0"/>
              <w:jc w:val="center"/>
            </w:pPr>
            <w:r>
              <w:rPr>
                <w:rFonts w:ascii="宋体" w:hAnsi="宋体" w:eastAsia="宋体"/>
                <w:b/>
                <w:sz w:val="21"/>
              </w:rPr>
              <w:t>指标</w:t>
            </w:r>
          </w:p>
        </w:tc>
        <w:tc>
          <w:tcPr>
            <w:tcW w:w="2126" w:type="dxa"/>
            <w:tcBorders>
              <w:top w:val="single" w:color="000000" w:sz="12" w:space="0"/>
              <w:bottom w:val="single" w:color="000000" w:sz="6" w:space="0"/>
            </w:tcBorders>
          </w:tcPr>
          <w:p w14:paraId="2BE0331F">
            <w:pPr>
              <w:spacing w:before="40" w:after="40" w:line="240" w:lineRule="auto"/>
              <w:ind w:firstLine="0"/>
              <w:jc w:val="center"/>
            </w:pPr>
            <w:r>
              <w:rPr>
                <w:rFonts w:ascii="宋体" w:hAnsi="宋体" w:eastAsia="宋体"/>
                <w:b/>
                <w:sz w:val="21"/>
              </w:rPr>
              <w:t>测量口径</w:t>
            </w:r>
          </w:p>
        </w:tc>
        <w:tc>
          <w:tcPr>
            <w:tcW w:w="2126" w:type="dxa"/>
            <w:tcBorders>
              <w:top w:val="single" w:color="000000" w:sz="12" w:space="0"/>
              <w:bottom w:val="single" w:color="000000" w:sz="6" w:space="0"/>
            </w:tcBorders>
          </w:tcPr>
          <w:p w14:paraId="641CFE63">
            <w:pPr>
              <w:spacing w:before="40" w:after="40" w:line="240" w:lineRule="auto"/>
              <w:ind w:firstLine="0"/>
              <w:jc w:val="center"/>
            </w:pPr>
            <w:r>
              <w:rPr>
                <w:rFonts w:ascii="宋体" w:hAnsi="宋体" w:eastAsia="宋体"/>
                <w:b/>
                <w:sz w:val="21"/>
              </w:rPr>
              <w:t>数据来源</w:t>
            </w:r>
          </w:p>
        </w:tc>
      </w:tr>
      <w:tr w14:paraId="27926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B73463B">
            <w:pPr>
              <w:spacing w:before="40" w:after="40" w:line="240" w:lineRule="auto"/>
              <w:ind w:firstLine="0"/>
              <w:jc w:val="center"/>
            </w:pPr>
            <w:r>
              <w:rPr>
                <w:rFonts w:ascii="宋体" w:hAnsi="宋体" w:eastAsia="宋体"/>
                <w:b w:val="0"/>
                <w:sz w:val="21"/>
              </w:rPr>
              <w:t>流程效率</w:t>
            </w:r>
          </w:p>
        </w:tc>
        <w:tc>
          <w:tcPr>
            <w:tcW w:w="2126" w:type="dxa"/>
          </w:tcPr>
          <w:p w14:paraId="59A01788">
            <w:pPr>
              <w:spacing w:before="40" w:after="40" w:line="240" w:lineRule="auto"/>
              <w:ind w:firstLine="0"/>
              <w:jc w:val="center"/>
            </w:pPr>
            <w:r>
              <w:rPr>
                <w:rFonts w:ascii="宋体" w:hAnsi="宋体" w:eastAsia="宋体"/>
                <w:b w:val="0"/>
                <w:sz w:val="21"/>
              </w:rPr>
              <w:t>流程周期</w:t>
            </w:r>
          </w:p>
        </w:tc>
        <w:tc>
          <w:tcPr>
            <w:tcW w:w="2126" w:type="dxa"/>
          </w:tcPr>
          <w:p w14:paraId="04428BF3">
            <w:pPr>
              <w:spacing w:before="40" w:after="40" w:line="240" w:lineRule="auto"/>
              <w:ind w:firstLine="0"/>
              <w:jc w:val="center"/>
            </w:pPr>
            <w:r>
              <w:rPr>
                <w:rFonts w:ascii="宋体" w:hAnsi="宋体" w:eastAsia="宋体"/>
                <w:b w:val="0"/>
                <w:sz w:val="21"/>
              </w:rPr>
              <w:t>实际结束日期 − 实际开始日期（天）</w:t>
            </w:r>
          </w:p>
        </w:tc>
        <w:tc>
          <w:tcPr>
            <w:tcW w:w="2126" w:type="dxa"/>
          </w:tcPr>
          <w:p w14:paraId="4C94E12A">
            <w:pPr>
              <w:spacing w:before="40" w:after="40" w:line="240" w:lineRule="auto"/>
              <w:ind w:firstLine="0"/>
              <w:jc w:val="center"/>
            </w:pPr>
            <w:r>
              <w:rPr>
                <w:rFonts w:ascii="宋体" w:hAnsi="宋体" w:eastAsia="宋体"/>
                <w:b w:val="0"/>
                <w:sz w:val="21"/>
              </w:rPr>
              <w:t>平台时间轴</w:t>
            </w:r>
          </w:p>
        </w:tc>
      </w:tr>
      <w:tr w14:paraId="6D4A3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D72459B">
            <w:pPr>
              <w:spacing w:before="40" w:after="40" w:line="240" w:lineRule="auto"/>
              <w:ind w:firstLine="0"/>
              <w:jc w:val="center"/>
            </w:pPr>
            <w:r>
              <w:rPr>
                <w:rFonts w:ascii="宋体" w:hAnsi="宋体" w:eastAsia="宋体"/>
                <w:b w:val="0"/>
                <w:sz w:val="21"/>
              </w:rPr>
              <w:t>流程效率</w:t>
            </w:r>
          </w:p>
        </w:tc>
        <w:tc>
          <w:tcPr>
            <w:tcW w:w="2126" w:type="dxa"/>
          </w:tcPr>
          <w:p w14:paraId="34ED4D17">
            <w:pPr>
              <w:spacing w:before="40" w:after="40" w:line="240" w:lineRule="auto"/>
              <w:ind w:firstLine="0"/>
              <w:jc w:val="center"/>
            </w:pPr>
            <w:r>
              <w:rPr>
                <w:rFonts w:ascii="宋体" w:hAnsi="宋体" w:eastAsia="宋体"/>
                <w:b w:val="0"/>
                <w:sz w:val="21"/>
              </w:rPr>
              <w:t>计划偏差率</w:t>
            </w:r>
          </w:p>
        </w:tc>
        <w:tc>
          <w:tcPr>
            <w:tcW w:w="2126" w:type="dxa"/>
          </w:tcPr>
          <w:p w14:paraId="5B82774B">
            <w:pPr>
              <w:spacing w:before="40" w:after="40" w:line="240" w:lineRule="auto"/>
              <w:ind w:firstLine="0"/>
              <w:jc w:val="center"/>
            </w:pPr>
            <w:r>
              <w:rPr>
                <w:rFonts w:ascii="宋体" w:hAnsi="宋体" w:eastAsia="宋体"/>
                <w:b w:val="0"/>
                <w:sz w:val="21"/>
              </w:rPr>
              <w:t>(实际周期 − 计划周期) / 计划周期</w:t>
            </w:r>
          </w:p>
        </w:tc>
        <w:tc>
          <w:tcPr>
            <w:tcW w:w="2126" w:type="dxa"/>
          </w:tcPr>
          <w:p w14:paraId="2982FB5C">
            <w:pPr>
              <w:spacing w:before="40" w:after="40" w:line="240" w:lineRule="auto"/>
              <w:ind w:firstLine="0"/>
              <w:jc w:val="center"/>
            </w:pPr>
            <w:r>
              <w:rPr>
                <w:rFonts w:ascii="宋体" w:hAnsi="宋体" w:eastAsia="宋体"/>
                <w:b w:val="0"/>
                <w:sz w:val="21"/>
              </w:rPr>
              <w:t>平台时间轴</w:t>
            </w:r>
          </w:p>
        </w:tc>
      </w:tr>
      <w:tr w14:paraId="78E65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FE9D2B8">
            <w:pPr>
              <w:spacing w:before="40" w:after="40" w:line="240" w:lineRule="auto"/>
              <w:ind w:firstLine="0"/>
              <w:jc w:val="center"/>
            </w:pPr>
            <w:r>
              <w:rPr>
                <w:rFonts w:ascii="宋体" w:hAnsi="宋体" w:eastAsia="宋体"/>
                <w:b w:val="0"/>
                <w:sz w:val="21"/>
              </w:rPr>
              <w:t>流程效率</w:t>
            </w:r>
          </w:p>
        </w:tc>
        <w:tc>
          <w:tcPr>
            <w:tcW w:w="2126" w:type="dxa"/>
          </w:tcPr>
          <w:p w14:paraId="2C541C16">
            <w:pPr>
              <w:spacing w:before="40" w:after="40" w:line="240" w:lineRule="auto"/>
              <w:ind w:firstLine="0"/>
              <w:jc w:val="center"/>
            </w:pPr>
            <w:r>
              <w:rPr>
                <w:rFonts w:ascii="宋体" w:hAnsi="宋体" w:eastAsia="宋体"/>
                <w:b w:val="0"/>
                <w:sz w:val="21"/>
              </w:rPr>
              <w:t>里程碑延误</w:t>
            </w:r>
          </w:p>
        </w:tc>
        <w:tc>
          <w:tcPr>
            <w:tcW w:w="2126" w:type="dxa"/>
          </w:tcPr>
          <w:p w14:paraId="51ED0839">
            <w:pPr>
              <w:spacing w:before="40" w:after="40" w:line="240" w:lineRule="auto"/>
              <w:ind w:firstLine="0"/>
              <w:jc w:val="center"/>
            </w:pPr>
            <w:r>
              <w:rPr>
                <w:rFonts w:ascii="宋体" w:hAnsi="宋体" w:eastAsia="宋体"/>
                <w:b w:val="0"/>
                <w:sz w:val="21"/>
              </w:rPr>
              <w:t>实际日期 − 计划日期（天）</w:t>
            </w:r>
          </w:p>
        </w:tc>
        <w:tc>
          <w:tcPr>
            <w:tcW w:w="2126" w:type="dxa"/>
          </w:tcPr>
          <w:p w14:paraId="26F6D4A1">
            <w:pPr>
              <w:spacing w:before="40" w:after="40" w:line="240" w:lineRule="auto"/>
              <w:ind w:firstLine="0"/>
              <w:jc w:val="center"/>
            </w:pPr>
            <w:r>
              <w:rPr>
                <w:rFonts w:ascii="宋体" w:hAnsi="宋体" w:eastAsia="宋体"/>
                <w:b w:val="0"/>
                <w:sz w:val="21"/>
              </w:rPr>
              <w:t>里程碑记录</w:t>
            </w:r>
          </w:p>
        </w:tc>
      </w:tr>
      <w:tr w14:paraId="68371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4CD967C3">
            <w:pPr>
              <w:spacing w:before="40" w:after="40" w:line="240" w:lineRule="auto"/>
              <w:ind w:firstLine="0"/>
              <w:jc w:val="center"/>
            </w:pPr>
            <w:r>
              <w:rPr>
                <w:rFonts w:ascii="宋体" w:hAnsi="宋体" w:eastAsia="宋体"/>
                <w:b w:val="0"/>
                <w:sz w:val="21"/>
              </w:rPr>
              <w:t>流程效率</w:t>
            </w:r>
          </w:p>
        </w:tc>
        <w:tc>
          <w:tcPr>
            <w:tcW w:w="2126" w:type="dxa"/>
          </w:tcPr>
          <w:p w14:paraId="3E758F99">
            <w:pPr>
              <w:spacing w:before="40" w:after="40" w:line="240" w:lineRule="auto"/>
              <w:ind w:firstLine="0"/>
              <w:jc w:val="center"/>
            </w:pPr>
            <w:r>
              <w:rPr>
                <w:rFonts w:ascii="宋体" w:hAnsi="宋体" w:eastAsia="宋体"/>
                <w:b w:val="0"/>
                <w:sz w:val="21"/>
              </w:rPr>
              <w:t>返工强度</w:t>
            </w:r>
          </w:p>
        </w:tc>
        <w:tc>
          <w:tcPr>
            <w:tcW w:w="2126" w:type="dxa"/>
          </w:tcPr>
          <w:p w14:paraId="0450CA9B">
            <w:pPr>
              <w:spacing w:before="40" w:after="40" w:line="240" w:lineRule="auto"/>
              <w:ind w:firstLine="0"/>
              <w:jc w:val="center"/>
            </w:pPr>
            <w:r>
              <w:rPr>
                <w:rFonts w:ascii="宋体" w:hAnsi="宋体" w:eastAsia="宋体"/>
                <w:b w:val="0"/>
                <w:sz w:val="21"/>
              </w:rPr>
              <w:t>修订轮次、生成次数</w:t>
            </w:r>
          </w:p>
        </w:tc>
        <w:tc>
          <w:tcPr>
            <w:tcW w:w="2126" w:type="dxa"/>
          </w:tcPr>
          <w:p w14:paraId="48C70413">
            <w:pPr>
              <w:spacing w:before="40" w:after="40" w:line="240" w:lineRule="auto"/>
              <w:ind w:firstLine="0"/>
              <w:jc w:val="center"/>
            </w:pPr>
            <w:r>
              <w:rPr>
                <w:rFonts w:ascii="宋体" w:hAnsi="宋体" w:eastAsia="宋体"/>
                <w:b w:val="0"/>
                <w:sz w:val="21"/>
              </w:rPr>
              <w:t>流程 KPI 表</w:t>
            </w:r>
          </w:p>
        </w:tc>
      </w:tr>
      <w:tr w14:paraId="528F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44078038">
            <w:pPr>
              <w:spacing w:before="40" w:after="40" w:line="240" w:lineRule="auto"/>
              <w:ind w:firstLine="0"/>
              <w:jc w:val="center"/>
            </w:pPr>
            <w:r>
              <w:rPr>
                <w:rFonts w:ascii="宋体" w:hAnsi="宋体" w:eastAsia="宋体"/>
                <w:b w:val="0"/>
                <w:sz w:val="21"/>
              </w:rPr>
              <w:t>流程效率</w:t>
            </w:r>
          </w:p>
        </w:tc>
        <w:tc>
          <w:tcPr>
            <w:tcW w:w="2126" w:type="dxa"/>
          </w:tcPr>
          <w:p w14:paraId="100B5051">
            <w:pPr>
              <w:spacing w:before="40" w:after="40" w:line="240" w:lineRule="auto"/>
              <w:ind w:firstLine="0"/>
              <w:jc w:val="center"/>
            </w:pPr>
            <w:r>
              <w:rPr>
                <w:rFonts w:ascii="宋体" w:hAnsi="宋体" w:eastAsia="宋体"/>
                <w:b w:val="0"/>
                <w:sz w:val="21"/>
              </w:rPr>
              <w:t>任务响应</w:t>
            </w:r>
          </w:p>
        </w:tc>
        <w:tc>
          <w:tcPr>
            <w:tcW w:w="2126" w:type="dxa"/>
          </w:tcPr>
          <w:p w14:paraId="63DE9AF6">
            <w:pPr>
              <w:spacing w:before="40" w:after="40" w:line="240" w:lineRule="auto"/>
              <w:ind w:firstLine="0"/>
              <w:jc w:val="center"/>
            </w:pPr>
            <w:r>
              <w:rPr>
                <w:rFonts w:ascii="宋体" w:hAnsi="宋体" w:eastAsia="宋体"/>
                <w:b w:val="0"/>
                <w:sz w:val="21"/>
              </w:rPr>
              <w:t>待办完成时间 − 创建时间（小时）</w:t>
            </w:r>
          </w:p>
        </w:tc>
        <w:tc>
          <w:tcPr>
            <w:tcW w:w="2126" w:type="dxa"/>
          </w:tcPr>
          <w:p w14:paraId="25874089">
            <w:pPr>
              <w:spacing w:before="40" w:after="40" w:line="240" w:lineRule="auto"/>
              <w:ind w:firstLine="0"/>
              <w:jc w:val="center"/>
            </w:pPr>
            <w:r>
              <w:rPr>
                <w:rFonts w:ascii="宋体" w:hAnsi="宋体" w:eastAsia="宋体"/>
                <w:b w:val="0"/>
                <w:sz w:val="21"/>
              </w:rPr>
              <w:t>待办记录</w:t>
            </w:r>
          </w:p>
        </w:tc>
      </w:tr>
      <w:tr w14:paraId="53A4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4E1F404E">
            <w:pPr>
              <w:spacing w:before="40" w:after="40" w:line="240" w:lineRule="auto"/>
              <w:ind w:firstLine="0"/>
              <w:jc w:val="center"/>
            </w:pPr>
            <w:r>
              <w:rPr>
                <w:rFonts w:ascii="宋体" w:hAnsi="宋体" w:eastAsia="宋体"/>
                <w:b w:val="0"/>
                <w:sz w:val="21"/>
              </w:rPr>
              <w:t>集成水平</w:t>
            </w:r>
          </w:p>
        </w:tc>
        <w:tc>
          <w:tcPr>
            <w:tcW w:w="2126" w:type="dxa"/>
          </w:tcPr>
          <w:p w14:paraId="00336198">
            <w:pPr>
              <w:spacing w:before="40" w:after="40" w:line="240" w:lineRule="auto"/>
              <w:ind w:firstLine="0"/>
              <w:jc w:val="center"/>
            </w:pPr>
            <w:r>
              <w:rPr>
                <w:rFonts w:ascii="宋体" w:hAnsi="宋体" w:eastAsia="宋体"/>
                <w:b w:val="0"/>
                <w:sz w:val="21"/>
              </w:rPr>
              <w:t>数据一次录入率</w:t>
            </w:r>
          </w:p>
        </w:tc>
        <w:tc>
          <w:tcPr>
            <w:tcW w:w="2126" w:type="dxa"/>
          </w:tcPr>
          <w:p w14:paraId="7234C6E0">
            <w:pPr>
              <w:spacing w:before="40" w:after="40" w:line="240" w:lineRule="auto"/>
              <w:ind w:firstLine="0"/>
              <w:jc w:val="center"/>
            </w:pPr>
            <w:r>
              <w:rPr>
                <w:rFonts w:ascii="宋体" w:hAnsi="宋体" w:eastAsia="宋体"/>
                <w:b w:val="0"/>
                <w:sz w:val="21"/>
              </w:rPr>
              <w:t>无需重复录入的字段 / 总字段</w:t>
            </w:r>
          </w:p>
        </w:tc>
        <w:tc>
          <w:tcPr>
            <w:tcW w:w="2126" w:type="dxa"/>
          </w:tcPr>
          <w:p w14:paraId="4CC780A1">
            <w:pPr>
              <w:spacing w:before="40" w:after="40" w:line="240" w:lineRule="auto"/>
              <w:ind w:firstLine="0"/>
              <w:jc w:val="center"/>
            </w:pPr>
            <w:r>
              <w:rPr>
                <w:rFonts w:ascii="宋体" w:hAnsi="宋体" w:eastAsia="宋体"/>
                <w:b w:val="0"/>
                <w:sz w:val="21"/>
              </w:rPr>
              <w:t>系统日志</w:t>
            </w:r>
          </w:p>
        </w:tc>
      </w:tr>
      <w:tr w14:paraId="1BB33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0121C711">
            <w:pPr>
              <w:spacing w:before="40" w:after="40" w:line="240" w:lineRule="auto"/>
              <w:ind w:firstLine="0"/>
              <w:jc w:val="center"/>
            </w:pPr>
            <w:r>
              <w:rPr>
                <w:rFonts w:ascii="宋体" w:hAnsi="宋体" w:eastAsia="宋体"/>
                <w:b w:val="0"/>
                <w:sz w:val="21"/>
              </w:rPr>
              <w:t>集成水平</w:t>
            </w:r>
          </w:p>
        </w:tc>
        <w:tc>
          <w:tcPr>
            <w:tcW w:w="2126" w:type="dxa"/>
          </w:tcPr>
          <w:p w14:paraId="2D7190DD">
            <w:pPr>
              <w:spacing w:before="40" w:after="40" w:line="240" w:lineRule="auto"/>
              <w:ind w:firstLine="0"/>
              <w:jc w:val="center"/>
            </w:pPr>
            <w:r>
              <w:rPr>
                <w:rFonts w:ascii="宋体" w:hAnsi="宋体" w:eastAsia="宋体"/>
                <w:b w:val="0"/>
                <w:sz w:val="21"/>
              </w:rPr>
              <w:t>自动流转占比</w:t>
            </w:r>
          </w:p>
        </w:tc>
        <w:tc>
          <w:tcPr>
            <w:tcW w:w="2126" w:type="dxa"/>
          </w:tcPr>
          <w:p w14:paraId="410A299C">
            <w:pPr>
              <w:spacing w:before="40" w:after="40" w:line="240" w:lineRule="auto"/>
              <w:ind w:firstLine="0"/>
              <w:jc w:val="center"/>
            </w:pPr>
            <w:r>
              <w:rPr>
                <w:rFonts w:ascii="宋体" w:hAnsi="宋体" w:eastAsia="宋体"/>
                <w:b w:val="0"/>
                <w:sz w:val="21"/>
              </w:rPr>
              <w:t>接口自动流转单据 / 总单据</w:t>
            </w:r>
          </w:p>
        </w:tc>
        <w:tc>
          <w:tcPr>
            <w:tcW w:w="2126" w:type="dxa"/>
          </w:tcPr>
          <w:p w14:paraId="4487F51B">
            <w:pPr>
              <w:spacing w:before="40" w:after="40" w:line="240" w:lineRule="auto"/>
              <w:ind w:firstLine="0"/>
              <w:jc w:val="center"/>
            </w:pPr>
            <w:r>
              <w:rPr>
                <w:rFonts w:ascii="宋体" w:hAnsi="宋体" w:eastAsia="宋体"/>
                <w:b w:val="0"/>
                <w:sz w:val="21"/>
              </w:rPr>
              <w:t>接口日志</w:t>
            </w:r>
          </w:p>
        </w:tc>
      </w:tr>
      <w:tr w14:paraId="6304C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92027E3">
            <w:pPr>
              <w:spacing w:before="40" w:after="40" w:line="240" w:lineRule="auto"/>
              <w:ind w:firstLine="0"/>
              <w:jc w:val="center"/>
            </w:pPr>
            <w:r>
              <w:rPr>
                <w:rFonts w:ascii="宋体" w:hAnsi="宋体" w:eastAsia="宋体"/>
                <w:b w:val="0"/>
                <w:sz w:val="21"/>
              </w:rPr>
              <w:t>集成水平</w:t>
            </w:r>
          </w:p>
        </w:tc>
        <w:tc>
          <w:tcPr>
            <w:tcW w:w="2126" w:type="dxa"/>
          </w:tcPr>
          <w:p w14:paraId="5A194866">
            <w:pPr>
              <w:spacing w:before="40" w:after="40" w:line="240" w:lineRule="auto"/>
              <w:ind w:firstLine="0"/>
              <w:jc w:val="center"/>
            </w:pPr>
            <w:r>
              <w:rPr>
                <w:rFonts w:ascii="宋体" w:hAnsi="宋体" w:eastAsia="宋体"/>
                <w:b w:val="0"/>
                <w:sz w:val="21"/>
              </w:rPr>
              <w:t>接口成功率</w:t>
            </w:r>
          </w:p>
        </w:tc>
        <w:tc>
          <w:tcPr>
            <w:tcW w:w="2126" w:type="dxa"/>
          </w:tcPr>
          <w:p w14:paraId="03AC66B2">
            <w:pPr>
              <w:spacing w:before="40" w:after="40" w:line="240" w:lineRule="auto"/>
              <w:ind w:firstLine="0"/>
              <w:jc w:val="center"/>
            </w:pPr>
            <w:r>
              <w:rPr>
                <w:rFonts w:ascii="宋体" w:hAnsi="宋体" w:eastAsia="宋体"/>
                <w:b w:val="0"/>
                <w:sz w:val="21"/>
              </w:rPr>
              <w:t>成功调用 / 总调用</w:t>
            </w:r>
          </w:p>
        </w:tc>
        <w:tc>
          <w:tcPr>
            <w:tcW w:w="2126" w:type="dxa"/>
          </w:tcPr>
          <w:p w14:paraId="7CD760AC">
            <w:pPr>
              <w:spacing w:before="40" w:after="40" w:line="240" w:lineRule="auto"/>
              <w:ind w:firstLine="0"/>
              <w:jc w:val="center"/>
            </w:pPr>
            <w:r>
              <w:rPr>
                <w:rFonts w:ascii="宋体" w:hAnsi="宋体" w:eastAsia="宋体"/>
                <w:b w:val="0"/>
                <w:sz w:val="21"/>
              </w:rPr>
              <w:t>接口日志</w:t>
            </w:r>
          </w:p>
        </w:tc>
      </w:tr>
      <w:tr w14:paraId="565B0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2134ACDB">
            <w:pPr>
              <w:spacing w:before="40" w:after="40" w:line="240" w:lineRule="auto"/>
              <w:ind w:firstLine="0"/>
              <w:jc w:val="center"/>
            </w:pPr>
            <w:r>
              <w:rPr>
                <w:rFonts w:ascii="宋体" w:hAnsi="宋体" w:eastAsia="宋体"/>
                <w:b w:val="0"/>
                <w:sz w:val="21"/>
              </w:rPr>
              <w:t>资源节约</w:t>
            </w:r>
          </w:p>
        </w:tc>
        <w:tc>
          <w:tcPr>
            <w:tcW w:w="2126" w:type="dxa"/>
          </w:tcPr>
          <w:p w14:paraId="319EB962">
            <w:pPr>
              <w:spacing w:before="40" w:after="40" w:line="240" w:lineRule="auto"/>
              <w:ind w:firstLine="0"/>
              <w:jc w:val="center"/>
            </w:pPr>
            <w:r>
              <w:rPr>
                <w:rFonts w:ascii="宋体" w:hAnsi="宋体" w:eastAsia="宋体"/>
                <w:b w:val="0"/>
                <w:sz w:val="21"/>
              </w:rPr>
              <w:t>单项目人工工时</w:t>
            </w:r>
          </w:p>
        </w:tc>
        <w:tc>
          <w:tcPr>
            <w:tcW w:w="2126" w:type="dxa"/>
          </w:tcPr>
          <w:p w14:paraId="487FA585">
            <w:pPr>
              <w:spacing w:before="40" w:after="40" w:line="240" w:lineRule="auto"/>
              <w:ind w:firstLine="0"/>
              <w:jc w:val="center"/>
            </w:pPr>
            <w:r>
              <w:rPr>
                <w:rFonts w:ascii="宋体" w:hAnsi="宋体" w:eastAsia="宋体"/>
                <w:b w:val="0"/>
                <w:sz w:val="21"/>
              </w:rPr>
              <w:t>项目工时合计 / 项目数</w:t>
            </w:r>
          </w:p>
        </w:tc>
        <w:tc>
          <w:tcPr>
            <w:tcW w:w="2126" w:type="dxa"/>
          </w:tcPr>
          <w:p w14:paraId="62B599FB">
            <w:pPr>
              <w:spacing w:before="40" w:after="40" w:line="240" w:lineRule="auto"/>
              <w:ind w:firstLine="0"/>
              <w:jc w:val="center"/>
            </w:pPr>
            <w:r>
              <w:rPr>
                <w:rFonts w:ascii="宋体" w:hAnsi="宋体" w:eastAsia="宋体"/>
                <w:b w:val="0"/>
                <w:sz w:val="21"/>
              </w:rPr>
              <w:t>业务台账</w:t>
            </w:r>
          </w:p>
        </w:tc>
      </w:tr>
      <w:tr w14:paraId="5FB29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6A57530">
            <w:pPr>
              <w:spacing w:before="40" w:after="40" w:line="240" w:lineRule="auto"/>
              <w:ind w:firstLine="0"/>
              <w:jc w:val="center"/>
            </w:pPr>
            <w:r>
              <w:rPr>
                <w:rFonts w:ascii="宋体" w:hAnsi="宋体" w:eastAsia="宋体"/>
                <w:b w:val="0"/>
                <w:sz w:val="21"/>
              </w:rPr>
              <w:t>资源节约</w:t>
            </w:r>
          </w:p>
        </w:tc>
        <w:tc>
          <w:tcPr>
            <w:tcW w:w="2126" w:type="dxa"/>
          </w:tcPr>
          <w:p w14:paraId="0D9CE5A0">
            <w:pPr>
              <w:spacing w:before="40" w:after="40" w:line="240" w:lineRule="auto"/>
              <w:ind w:firstLine="0"/>
              <w:jc w:val="center"/>
            </w:pPr>
            <w:r>
              <w:rPr>
                <w:rFonts w:ascii="宋体" w:hAnsi="宋体" w:eastAsia="宋体"/>
                <w:b w:val="0"/>
                <w:sz w:val="21"/>
              </w:rPr>
              <w:t>纸质文档占比</w:t>
            </w:r>
          </w:p>
        </w:tc>
        <w:tc>
          <w:tcPr>
            <w:tcW w:w="2126" w:type="dxa"/>
          </w:tcPr>
          <w:p w14:paraId="73E93AD5">
            <w:pPr>
              <w:spacing w:before="40" w:after="40" w:line="240" w:lineRule="auto"/>
              <w:ind w:firstLine="0"/>
              <w:jc w:val="center"/>
            </w:pPr>
            <w:r>
              <w:rPr>
                <w:rFonts w:ascii="宋体" w:hAnsi="宋体" w:eastAsia="宋体"/>
                <w:b w:val="0"/>
                <w:sz w:val="21"/>
              </w:rPr>
              <w:t>纸质流转文件 / 总文件</w:t>
            </w:r>
          </w:p>
        </w:tc>
        <w:tc>
          <w:tcPr>
            <w:tcW w:w="2126" w:type="dxa"/>
          </w:tcPr>
          <w:p w14:paraId="49692179">
            <w:pPr>
              <w:spacing w:before="40" w:after="40" w:line="240" w:lineRule="auto"/>
              <w:ind w:firstLine="0"/>
              <w:jc w:val="center"/>
            </w:pPr>
            <w:r>
              <w:rPr>
                <w:rFonts w:ascii="宋体" w:hAnsi="宋体" w:eastAsia="宋体"/>
                <w:b w:val="0"/>
                <w:sz w:val="21"/>
              </w:rPr>
              <w:t>档案记录</w:t>
            </w:r>
          </w:p>
        </w:tc>
      </w:tr>
      <w:tr w14:paraId="1659E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3F8F931">
            <w:pPr>
              <w:spacing w:before="40" w:after="40" w:line="240" w:lineRule="auto"/>
              <w:ind w:firstLine="0"/>
              <w:jc w:val="center"/>
            </w:pPr>
            <w:r>
              <w:rPr>
                <w:rFonts w:ascii="宋体" w:hAnsi="宋体" w:eastAsia="宋体"/>
                <w:b w:val="0"/>
                <w:sz w:val="21"/>
              </w:rPr>
              <w:t>资源节约</w:t>
            </w:r>
          </w:p>
        </w:tc>
        <w:tc>
          <w:tcPr>
            <w:tcW w:w="2126" w:type="dxa"/>
          </w:tcPr>
          <w:p w14:paraId="14ABE5D3">
            <w:pPr>
              <w:spacing w:before="40" w:after="40" w:line="240" w:lineRule="auto"/>
              <w:ind w:firstLine="0"/>
              <w:jc w:val="center"/>
            </w:pPr>
            <w:r>
              <w:rPr>
                <w:rFonts w:ascii="宋体" w:hAnsi="宋体" w:eastAsia="宋体"/>
                <w:b w:val="0"/>
                <w:sz w:val="21"/>
              </w:rPr>
              <w:t>人工搬运次数</w:t>
            </w:r>
          </w:p>
        </w:tc>
        <w:tc>
          <w:tcPr>
            <w:tcW w:w="2126" w:type="dxa"/>
          </w:tcPr>
          <w:p w14:paraId="1FE238CF">
            <w:pPr>
              <w:spacing w:before="40" w:after="40" w:line="240" w:lineRule="auto"/>
              <w:ind w:firstLine="0"/>
              <w:jc w:val="center"/>
            </w:pPr>
            <w:r>
              <w:rPr>
                <w:rFonts w:ascii="宋体" w:hAnsi="宋体" w:eastAsia="宋体"/>
                <w:b w:val="0"/>
                <w:sz w:val="21"/>
              </w:rPr>
              <w:t>每项目跨系统手工导入导出次数</w:t>
            </w:r>
          </w:p>
        </w:tc>
        <w:tc>
          <w:tcPr>
            <w:tcW w:w="2126" w:type="dxa"/>
          </w:tcPr>
          <w:p w14:paraId="007BB852">
            <w:pPr>
              <w:spacing w:before="40" w:after="40" w:line="240" w:lineRule="auto"/>
              <w:ind w:firstLine="0"/>
              <w:jc w:val="center"/>
            </w:pPr>
            <w:r>
              <w:rPr>
                <w:rFonts w:ascii="宋体" w:hAnsi="宋体" w:eastAsia="宋体"/>
                <w:b w:val="0"/>
                <w:sz w:val="21"/>
              </w:rPr>
              <w:t>问卷 + 访谈</w:t>
            </w:r>
          </w:p>
        </w:tc>
      </w:tr>
      <w:tr w14:paraId="7C9AB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19C20412">
            <w:pPr>
              <w:spacing w:before="40" w:after="40" w:line="240" w:lineRule="auto"/>
              <w:ind w:firstLine="0"/>
              <w:jc w:val="center"/>
            </w:pPr>
            <w:r>
              <w:rPr>
                <w:rFonts w:ascii="宋体" w:hAnsi="宋体" w:eastAsia="宋体"/>
                <w:b w:val="0"/>
                <w:sz w:val="21"/>
              </w:rPr>
              <w:t>业务价值</w:t>
            </w:r>
          </w:p>
        </w:tc>
        <w:tc>
          <w:tcPr>
            <w:tcW w:w="2126" w:type="dxa"/>
          </w:tcPr>
          <w:p w14:paraId="3B76C382">
            <w:pPr>
              <w:spacing w:before="40" w:after="40" w:line="240" w:lineRule="auto"/>
              <w:ind w:firstLine="0"/>
              <w:jc w:val="center"/>
            </w:pPr>
            <w:r>
              <w:rPr>
                <w:rFonts w:ascii="宋体" w:hAnsi="宋体" w:eastAsia="宋体"/>
                <w:b w:val="0"/>
                <w:sz w:val="21"/>
              </w:rPr>
              <w:t>节点准时交付率</w:t>
            </w:r>
          </w:p>
        </w:tc>
        <w:tc>
          <w:tcPr>
            <w:tcW w:w="2126" w:type="dxa"/>
          </w:tcPr>
          <w:p w14:paraId="5B0CF361">
            <w:pPr>
              <w:spacing w:before="40" w:after="40" w:line="240" w:lineRule="auto"/>
              <w:ind w:firstLine="0"/>
              <w:jc w:val="center"/>
            </w:pPr>
            <w:r>
              <w:rPr>
                <w:rFonts w:ascii="宋体" w:hAnsi="宋体" w:eastAsia="宋体"/>
                <w:b w:val="0"/>
                <w:sz w:val="21"/>
              </w:rPr>
              <w:t>按期完成节点 / 总节点</w:t>
            </w:r>
          </w:p>
        </w:tc>
        <w:tc>
          <w:tcPr>
            <w:tcW w:w="2126" w:type="dxa"/>
          </w:tcPr>
          <w:p w14:paraId="1349FEE5">
            <w:pPr>
              <w:spacing w:before="40" w:after="40" w:line="240" w:lineRule="auto"/>
              <w:ind w:firstLine="0"/>
              <w:jc w:val="center"/>
            </w:pPr>
            <w:r>
              <w:rPr>
                <w:rFonts w:ascii="宋体" w:hAnsi="宋体" w:eastAsia="宋体"/>
                <w:b w:val="0"/>
                <w:sz w:val="21"/>
              </w:rPr>
              <w:t>里程碑记录</w:t>
            </w:r>
          </w:p>
        </w:tc>
      </w:tr>
      <w:tr w14:paraId="2D97C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4F0EBBB2">
            <w:pPr>
              <w:spacing w:before="40" w:after="40" w:line="240" w:lineRule="auto"/>
              <w:ind w:firstLine="0"/>
              <w:jc w:val="center"/>
            </w:pPr>
            <w:r>
              <w:rPr>
                <w:rFonts w:ascii="宋体" w:hAnsi="宋体" w:eastAsia="宋体"/>
                <w:b w:val="0"/>
                <w:sz w:val="21"/>
              </w:rPr>
              <w:t>业务价值</w:t>
            </w:r>
          </w:p>
        </w:tc>
        <w:tc>
          <w:tcPr>
            <w:tcW w:w="2126" w:type="dxa"/>
          </w:tcPr>
          <w:p w14:paraId="1D6714FD">
            <w:pPr>
              <w:spacing w:before="40" w:after="40" w:line="240" w:lineRule="auto"/>
              <w:ind w:firstLine="0"/>
              <w:jc w:val="center"/>
            </w:pPr>
            <w:r>
              <w:rPr>
                <w:rFonts w:ascii="宋体" w:hAnsi="宋体" w:eastAsia="宋体"/>
                <w:b w:val="0"/>
                <w:sz w:val="21"/>
              </w:rPr>
              <w:t>客户满意度</w:t>
            </w:r>
          </w:p>
        </w:tc>
        <w:tc>
          <w:tcPr>
            <w:tcW w:w="2126" w:type="dxa"/>
          </w:tcPr>
          <w:p w14:paraId="4931B301">
            <w:pPr>
              <w:spacing w:before="40" w:after="40" w:line="240" w:lineRule="auto"/>
              <w:ind w:firstLine="0"/>
              <w:jc w:val="center"/>
            </w:pPr>
            <w:r>
              <w:rPr>
                <w:rFonts w:ascii="宋体" w:hAnsi="宋体" w:eastAsia="宋体"/>
                <w:b w:val="0"/>
                <w:sz w:val="21"/>
              </w:rPr>
              <w:t>满意度评分均值</w:t>
            </w:r>
          </w:p>
        </w:tc>
        <w:tc>
          <w:tcPr>
            <w:tcW w:w="2126" w:type="dxa"/>
          </w:tcPr>
          <w:p w14:paraId="03B1F61C">
            <w:pPr>
              <w:spacing w:before="40" w:after="40" w:line="240" w:lineRule="auto"/>
              <w:ind w:firstLine="0"/>
              <w:jc w:val="center"/>
            </w:pPr>
            <w:r>
              <w:rPr>
                <w:rFonts w:ascii="宋体" w:hAnsi="宋体" w:eastAsia="宋体"/>
                <w:b w:val="0"/>
                <w:sz w:val="21"/>
              </w:rPr>
              <w:t>客户回访</w:t>
            </w:r>
          </w:p>
        </w:tc>
      </w:tr>
      <w:tr w14:paraId="7566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7D34C582">
            <w:pPr>
              <w:spacing w:before="40" w:after="40" w:line="240" w:lineRule="auto"/>
              <w:ind w:firstLine="0"/>
              <w:jc w:val="center"/>
            </w:pPr>
            <w:r>
              <w:rPr>
                <w:rFonts w:ascii="宋体" w:hAnsi="宋体" w:eastAsia="宋体"/>
                <w:b w:val="0"/>
                <w:sz w:val="21"/>
              </w:rPr>
              <w:t>业务价值</w:t>
            </w:r>
          </w:p>
        </w:tc>
        <w:tc>
          <w:tcPr>
            <w:tcW w:w="2126" w:type="dxa"/>
          </w:tcPr>
          <w:p w14:paraId="1DA141AE">
            <w:pPr>
              <w:spacing w:before="40" w:after="40" w:line="240" w:lineRule="auto"/>
              <w:ind w:firstLine="0"/>
              <w:jc w:val="center"/>
            </w:pPr>
            <w:r>
              <w:rPr>
                <w:rFonts w:ascii="宋体" w:hAnsi="宋体" w:eastAsia="宋体"/>
                <w:b w:val="0"/>
                <w:sz w:val="21"/>
              </w:rPr>
              <w:t>单项目毛利率</w:t>
            </w:r>
          </w:p>
        </w:tc>
        <w:tc>
          <w:tcPr>
            <w:tcW w:w="2126" w:type="dxa"/>
          </w:tcPr>
          <w:p w14:paraId="0E21B305">
            <w:pPr>
              <w:spacing w:before="40" w:after="40" w:line="240" w:lineRule="auto"/>
              <w:ind w:firstLine="0"/>
              <w:jc w:val="center"/>
            </w:pPr>
            <w:r>
              <w:rPr>
                <w:rFonts w:ascii="宋体" w:hAnsi="宋体" w:eastAsia="宋体"/>
                <w:b w:val="0"/>
                <w:sz w:val="21"/>
              </w:rPr>
              <w:t>(收入 − 成本) / 收入</w:t>
            </w:r>
          </w:p>
        </w:tc>
        <w:tc>
          <w:tcPr>
            <w:tcW w:w="2126" w:type="dxa"/>
          </w:tcPr>
          <w:p w14:paraId="61A9935A">
            <w:pPr>
              <w:spacing w:before="40" w:after="40" w:line="240" w:lineRule="auto"/>
              <w:ind w:firstLine="0"/>
              <w:jc w:val="center"/>
            </w:pPr>
            <w:r>
              <w:rPr>
                <w:rFonts w:ascii="宋体" w:hAnsi="宋体" w:eastAsia="宋体"/>
                <w:b w:val="0"/>
                <w:sz w:val="21"/>
              </w:rPr>
              <w:t>财务台账</w:t>
            </w:r>
          </w:p>
        </w:tc>
      </w:tr>
      <w:tr w14:paraId="20CF4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38522C28">
            <w:pPr>
              <w:spacing w:before="40" w:after="40" w:line="240" w:lineRule="auto"/>
              <w:ind w:firstLine="0"/>
              <w:jc w:val="center"/>
            </w:pPr>
            <w:r>
              <w:rPr>
                <w:rFonts w:ascii="宋体" w:hAnsi="宋体" w:eastAsia="宋体"/>
                <w:b w:val="0"/>
                <w:sz w:val="21"/>
              </w:rPr>
              <w:t>组织能力</w:t>
            </w:r>
          </w:p>
        </w:tc>
        <w:tc>
          <w:tcPr>
            <w:tcW w:w="2126" w:type="dxa"/>
          </w:tcPr>
          <w:p w14:paraId="304D2C50">
            <w:pPr>
              <w:spacing w:before="40" w:after="40" w:line="240" w:lineRule="auto"/>
              <w:ind w:firstLine="0"/>
              <w:jc w:val="center"/>
            </w:pPr>
            <w:r>
              <w:rPr>
                <w:rFonts w:ascii="宋体" w:hAnsi="宋体" w:eastAsia="宋体"/>
                <w:b w:val="0"/>
                <w:sz w:val="21"/>
              </w:rPr>
              <w:t>培训覆盖率</w:t>
            </w:r>
          </w:p>
        </w:tc>
        <w:tc>
          <w:tcPr>
            <w:tcW w:w="2126" w:type="dxa"/>
          </w:tcPr>
          <w:p w14:paraId="41FF2EF5">
            <w:pPr>
              <w:spacing w:before="40" w:after="40" w:line="240" w:lineRule="auto"/>
              <w:ind w:firstLine="0"/>
              <w:jc w:val="center"/>
            </w:pPr>
            <w:r>
              <w:rPr>
                <w:rFonts w:ascii="宋体" w:hAnsi="宋体" w:eastAsia="宋体"/>
                <w:b w:val="0"/>
                <w:sz w:val="21"/>
              </w:rPr>
              <w:t>受训人数 / 应训人数</w:t>
            </w:r>
          </w:p>
        </w:tc>
        <w:tc>
          <w:tcPr>
            <w:tcW w:w="2126" w:type="dxa"/>
          </w:tcPr>
          <w:p w14:paraId="669E17DD">
            <w:pPr>
              <w:spacing w:before="40" w:after="40" w:line="240" w:lineRule="auto"/>
              <w:ind w:firstLine="0"/>
              <w:jc w:val="center"/>
            </w:pPr>
            <w:r>
              <w:rPr>
                <w:rFonts w:ascii="宋体" w:hAnsi="宋体" w:eastAsia="宋体"/>
                <w:b w:val="0"/>
                <w:sz w:val="21"/>
              </w:rPr>
              <w:t>培训记录</w:t>
            </w:r>
          </w:p>
        </w:tc>
      </w:tr>
      <w:tr w14:paraId="0FABA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179CBE4">
            <w:pPr>
              <w:spacing w:before="40" w:after="40" w:line="240" w:lineRule="auto"/>
              <w:ind w:firstLine="0"/>
              <w:jc w:val="center"/>
            </w:pPr>
            <w:r>
              <w:rPr>
                <w:rFonts w:ascii="宋体" w:hAnsi="宋体" w:eastAsia="宋体"/>
                <w:b w:val="0"/>
                <w:sz w:val="21"/>
              </w:rPr>
              <w:t>组织能力</w:t>
            </w:r>
          </w:p>
        </w:tc>
        <w:tc>
          <w:tcPr>
            <w:tcW w:w="2126" w:type="dxa"/>
          </w:tcPr>
          <w:p w14:paraId="2610957F">
            <w:pPr>
              <w:spacing w:before="40" w:after="40" w:line="240" w:lineRule="auto"/>
              <w:ind w:firstLine="0"/>
              <w:jc w:val="center"/>
            </w:pPr>
            <w:r>
              <w:rPr>
                <w:rFonts w:ascii="宋体" w:hAnsi="宋体" w:eastAsia="宋体"/>
                <w:b w:val="0"/>
                <w:sz w:val="21"/>
              </w:rPr>
              <w:t>工具采纳率</w:t>
            </w:r>
          </w:p>
        </w:tc>
        <w:tc>
          <w:tcPr>
            <w:tcW w:w="2126" w:type="dxa"/>
          </w:tcPr>
          <w:p w14:paraId="7DD1F83E">
            <w:pPr>
              <w:spacing w:before="40" w:after="40" w:line="240" w:lineRule="auto"/>
              <w:ind w:firstLine="0"/>
              <w:jc w:val="center"/>
            </w:pPr>
            <w:r>
              <w:rPr>
                <w:rFonts w:ascii="宋体" w:hAnsi="宋体" w:eastAsia="宋体"/>
                <w:b w:val="0"/>
                <w:sz w:val="21"/>
              </w:rPr>
              <w:t>月活跃用户 / 应使用用户</w:t>
            </w:r>
          </w:p>
        </w:tc>
        <w:tc>
          <w:tcPr>
            <w:tcW w:w="2126" w:type="dxa"/>
          </w:tcPr>
          <w:p w14:paraId="3DB24BF1">
            <w:pPr>
              <w:spacing w:before="40" w:after="40" w:line="240" w:lineRule="auto"/>
              <w:ind w:firstLine="0"/>
              <w:jc w:val="center"/>
            </w:pPr>
            <w:r>
              <w:rPr>
                <w:rFonts w:ascii="宋体" w:hAnsi="宋体" w:eastAsia="宋体"/>
                <w:b w:val="0"/>
                <w:sz w:val="21"/>
              </w:rPr>
              <w:t>系统日志</w:t>
            </w:r>
          </w:p>
        </w:tc>
      </w:tr>
      <w:tr w14:paraId="1882C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12" w:space="0"/>
            </w:tcBorders>
          </w:tcPr>
          <w:p w14:paraId="493C479D">
            <w:pPr>
              <w:spacing w:before="40" w:after="40" w:line="240" w:lineRule="auto"/>
              <w:ind w:firstLine="0"/>
              <w:jc w:val="center"/>
            </w:pPr>
            <w:r>
              <w:rPr>
                <w:rFonts w:ascii="宋体" w:hAnsi="宋体" w:eastAsia="宋体"/>
                <w:b w:val="0"/>
                <w:sz w:val="21"/>
              </w:rPr>
              <w:t>组织能力</w:t>
            </w:r>
          </w:p>
        </w:tc>
        <w:tc>
          <w:tcPr>
            <w:tcW w:w="2126" w:type="dxa"/>
            <w:tcBorders>
              <w:bottom w:val="single" w:color="000000" w:sz="12" w:space="0"/>
            </w:tcBorders>
          </w:tcPr>
          <w:p w14:paraId="26F9BAC2">
            <w:pPr>
              <w:spacing w:before="40" w:after="40" w:line="240" w:lineRule="auto"/>
              <w:ind w:firstLine="0"/>
              <w:jc w:val="center"/>
            </w:pPr>
            <w:r>
              <w:rPr>
                <w:rFonts w:ascii="宋体" w:hAnsi="宋体" w:eastAsia="宋体"/>
                <w:b w:val="0"/>
                <w:sz w:val="21"/>
              </w:rPr>
              <w:t>留痕完整率</w:t>
            </w:r>
          </w:p>
        </w:tc>
        <w:tc>
          <w:tcPr>
            <w:tcW w:w="2126" w:type="dxa"/>
            <w:tcBorders>
              <w:bottom w:val="single" w:color="000000" w:sz="12" w:space="0"/>
            </w:tcBorders>
          </w:tcPr>
          <w:p w14:paraId="44DBB5BD">
            <w:pPr>
              <w:spacing w:before="40" w:after="40" w:line="240" w:lineRule="auto"/>
              <w:ind w:firstLine="0"/>
              <w:jc w:val="center"/>
            </w:pPr>
            <w:r>
              <w:rPr>
                <w:rFonts w:ascii="宋体" w:hAnsi="宋体" w:eastAsia="宋体"/>
                <w:b w:val="0"/>
                <w:sz w:val="21"/>
              </w:rPr>
              <w:t>有审计记录的关键操作 / 关键操作总数</w:t>
            </w:r>
          </w:p>
        </w:tc>
        <w:tc>
          <w:tcPr>
            <w:tcW w:w="2126" w:type="dxa"/>
            <w:tcBorders>
              <w:bottom w:val="single" w:color="000000" w:sz="12" w:space="0"/>
            </w:tcBorders>
          </w:tcPr>
          <w:p w14:paraId="07E79381">
            <w:pPr>
              <w:spacing w:before="40" w:after="40" w:line="240" w:lineRule="auto"/>
              <w:ind w:firstLine="0"/>
              <w:jc w:val="center"/>
            </w:pPr>
            <w:r>
              <w:rPr>
                <w:rFonts w:ascii="宋体" w:hAnsi="宋体" w:eastAsia="宋体"/>
                <w:b w:val="0"/>
                <w:sz w:val="21"/>
              </w:rPr>
              <w:t>审计日志</w:t>
            </w:r>
          </w:p>
        </w:tc>
      </w:tr>
    </w:tbl>
    <w:p w14:paraId="79BBDF6D">
      <w:pPr>
        <w:spacing w:after="0"/>
        <w:ind w:firstLine="0"/>
      </w:pPr>
    </w:p>
    <w:p w14:paraId="07397020">
      <w:pPr>
        <w:pStyle w:val="4"/>
      </w:pPr>
      <w:bookmarkStart w:id="47" w:name="_Toc7952"/>
      <w:r>
        <w:t>6.2 测量方法与数据可得性约束</w:t>
      </w:r>
      <w:bookmarkEnd w:id="47"/>
    </w:p>
    <w:p w14:paraId="4BD688F5">
      <w:pPr>
        <w:spacing w:after="0" w:line="360" w:lineRule="auto"/>
        <w:ind w:firstLine="480"/>
        <w:jc w:val="both"/>
      </w:pPr>
      <w:r>
        <w:rPr>
          <w:rFonts w:ascii="宋体" w:hAnsi="宋体" w:eastAsia="宋体"/>
          <w:b w:val="0"/>
          <w:sz w:val="24"/>
        </w:rPr>
        <w:t>理想的评估设计是“再造前后对照 + 统计检验”。若平台有足够长的运行数据，可采用配对样本 Wilcoxon 符号秩检验比较同一批项目在再造前后的流程周期，或采用中断时间序列分析识别再造的即时与渐进效应。然而，Z公司的现实约束是：业务明细数据属于客户敏感信息，不得导出内网；可获得的仅为经聚合与四舍五入处理的近一年汇总结果，再造前的逐项目基线已经缺失。</w:t>
      </w:r>
    </w:p>
    <w:p w14:paraId="016055B6">
      <w:pPr>
        <w:spacing w:after="0" w:line="360" w:lineRule="auto"/>
        <w:ind w:firstLine="480"/>
        <w:jc w:val="both"/>
      </w:pPr>
      <w:r>
        <w:rPr>
          <w:rFonts w:ascii="宋体" w:hAnsi="宋体" w:eastAsia="宋体"/>
          <w:b w:val="0"/>
          <w:sz w:val="24"/>
        </w:rPr>
        <w:t>在此约束下，本章采取四类证据组合的评估策略。第一类是主观证据，即问卷调查与访谈获得的一线感受，用于判断问题的严重程度与改进方向的合理性。第二类是客观设计证据，即由系统数据结构与设计参数所决定的“可测量性”改进，例如流程偏差从“事后统计”变为“实时可见”、返工轮次从“无从统计”变为“系统记录”，这类改进虽不直接给出数值，但确证了测量能力本身的提升。第三类是试点期实测基线，即经公司许可的一年期聚合运行数据（项目规模、平均周期、延误归因排序与分业务类型返工轮次），用于锚定情景测算的起点。第四类是情景测算，即在实测基线与设计参数的基础上，设置保守、基准、乐观三种情景，对关键指标的变化区间进行测算。</w:t>
      </w:r>
    </w:p>
    <w:p w14:paraId="4E3F0254">
      <w:pPr>
        <w:spacing w:after="0" w:line="360" w:lineRule="auto"/>
        <w:ind w:firstLine="480"/>
        <w:jc w:val="both"/>
      </w:pPr>
      <w:r>
        <w:rPr>
          <w:rFonts w:ascii="宋体" w:hAnsi="宋体" w:eastAsia="宋体"/>
          <w:b w:val="0"/>
          <w:sz w:val="24"/>
        </w:rPr>
        <w:t>为避免测算结果被误读为实测结果，本文在表6-2与图6-2中均标注“测算值”，并在6.5节对情景参数设定与指标选择的影响开展敏感性分析。这一处理符合“结论与证据强度相匹配”的研究规范。</w:t>
      </w:r>
    </w:p>
    <w:p w14:paraId="164F2A5C">
      <w:pPr>
        <w:spacing w:after="0" w:line="360" w:lineRule="auto"/>
        <w:ind w:firstLine="480"/>
        <w:jc w:val="both"/>
      </w:pPr>
      <w:r>
        <w:rPr>
          <w:rFonts w:ascii="宋体" w:hAnsi="宋体" w:eastAsia="宋体"/>
          <w:b w:val="0"/>
          <w:sz w:val="24"/>
        </w:rPr>
        <w:t>为确认表6-1 的指标口径在当前系统中可以落地，本文在与正式部署相同的容器化测试环境中开展了一次受控功能验证：按图5-2 的数据模型录入测试项目的计划与实际起止日期、里程碑实际日期与偏差原因分类、返工轮次与待办完成时间，再按表6-1 的测量口径计算流程周期、计划偏差率、里程碑延误、返工强度与任务响应等指标。验证结果显示，上述指标均可由平台数据结构直接得出，无需额外人工汇总；测试环境下健康检查接口与项目列表页的响应时间（10 次采样中位数）分别约为13.4 毫秒与12.5 毫秒。需要说明的是，该验证使用的是测试数据，只证明“指标可计算、测量链路可运行”，不构成生产环境的再造效果实测，测试数据与结果不作为本文情景测算的依据。</w:t>
      </w:r>
    </w:p>
    <w:p w14:paraId="27C72120">
      <w:pPr>
        <w:pStyle w:val="4"/>
      </w:pPr>
      <w:bookmarkStart w:id="48" w:name="_Toc18203"/>
      <w:r>
        <w:t>6.3 再造前后运行数据对比</w:t>
      </w:r>
      <w:bookmarkEnd w:id="48"/>
    </w:p>
    <w:p w14:paraId="7D73F773">
      <w:pPr>
        <w:spacing w:after="0" w:line="360" w:lineRule="auto"/>
        <w:ind w:firstLine="480"/>
        <w:jc w:val="both"/>
      </w:pPr>
      <w:r>
        <w:rPr>
          <w:rFonts w:ascii="宋体" w:hAnsi="宋体" w:eastAsia="宋体"/>
          <w:b w:val="0"/>
          <w:sz w:val="24"/>
        </w:rPr>
        <w:t>经公司许可，本研究获得再造前后各12个月的聚合运行数据。为保护商业信息，数值经四舍五入与聚合处理，不含客户与项目明细，仅保留量级。对比结果如表6-3与图6-5所示。</w:t>
      </w:r>
    </w:p>
    <w:p w14:paraId="353E6E7F">
      <w:pPr>
        <w:spacing w:after="0" w:line="360" w:lineRule="auto"/>
        <w:ind w:firstLine="480"/>
        <w:jc w:val="both"/>
      </w:pPr>
      <w:r>
        <w:rPr>
          <w:rFonts w:ascii="宋体" w:hAnsi="宋体" w:eastAsia="宋体"/>
          <w:b w:val="0"/>
          <w:sz w:val="24"/>
        </w:rPr>
        <w:t>从项目规模与周期看，项目数由约450个增至约570个，增长约26.7%；平均流程周期由约27天降至约20天，缩短约25.9%。在业务量增长约四分之一的同时周期反而缩短，说明效率改善并非以压缩业务量为代价。</w:t>
      </w:r>
    </w:p>
    <w:p w14:paraId="4F8A93EF">
      <w:pPr>
        <w:spacing w:after="0" w:line="360" w:lineRule="auto"/>
        <w:ind w:firstLine="480"/>
        <w:jc w:val="both"/>
      </w:pPr>
      <w:r>
        <w:rPr>
          <w:rFonts w:ascii="宋体" w:hAnsi="宋体" w:eastAsia="宋体"/>
          <w:b w:val="0"/>
          <w:sz w:val="24"/>
        </w:rPr>
        <w:t>清标环节的变化最为显著：平均耗时由约3个工作日降至约20分钟。上线前清标依赖人工逐项比对与纸质流转，上线后由系统完成指标提取、交叉比较与合规校验，人工主要承担复核。需要说明，前后耗时的计时口径不完全一致（前者含等待与流转，后者以系统处理与主要操作时间为主），故本文只作方向性比较，不以精确百分比下结论。</w:t>
      </w:r>
    </w:p>
    <w:p w14:paraId="171A0FA1">
      <w:pPr>
        <w:spacing w:after="0" w:line="360" w:lineRule="auto"/>
        <w:ind w:firstLine="480"/>
        <w:jc w:val="both"/>
      </w:pPr>
      <w:r>
        <w:rPr>
          <w:rFonts w:ascii="宋体" w:hAnsi="宋体" w:eastAsia="宋体"/>
          <w:b w:val="0"/>
          <w:sz w:val="24"/>
        </w:rPr>
        <w:t>返工轮次与人工数据搬运次数在上线前未建立统计口径：返工轮次仅有部门成员回忆认为略高于上线后，搬运次数回忆为十余次。为避免把回忆值当作实测值，本文不将这两项纳入前后对比的实测证据，只报告上线后的实测值：平均返工轮次1.8次（一般行业1.2次、政府采购2.2次、部队及武警3.0次，见图6-4）；人工数据搬运5次（下载招标文件、收集投标文件、推送招标文件、解密投标文件、收集评审结论、归档）。</w:t>
      </w:r>
    </w:p>
    <w:p w14:paraId="72BECAD4">
      <w:pPr>
        <w:spacing w:after="0" w:line="360" w:lineRule="auto"/>
        <w:ind w:firstLine="480"/>
        <w:jc w:val="both"/>
      </w:pPr>
      <w:r>
        <w:rPr>
          <w:rFonts w:ascii="宋体" w:hAnsi="宋体" w:eastAsia="宋体"/>
          <w:b w:val="0"/>
          <w:sz w:val="24"/>
        </w:rPr>
        <w:t>延误归因方面，上线前后的排序一致：第一位是投标人文本不规范导致反复废标，第二位是投标人数量不足三家，第三位是甲方修改与澄清需求推迟开标。三者均非单纯的人工操作效率问题，而是指向流程设计与外部标准衔接不足——文本规范、投标人数量与澄清时限都受外部主体行为与规则约束，仅靠内部提速难以消除，这与第4章关于“流程设计与外部标准脱节”的成因判断相互印证。</w:t>
      </w:r>
    </w:p>
    <w:p w14:paraId="4FF93807">
      <w:pPr>
        <w:spacing w:before="120" w:after="40"/>
        <w:ind w:firstLine="0"/>
        <w:jc w:val="center"/>
      </w:pPr>
      <w:r>
        <w:rPr>
          <w:rFonts w:ascii="宋体" w:hAnsi="宋体" w:eastAsia="宋体"/>
          <w:b/>
          <w:sz w:val="21"/>
        </w:rPr>
        <w:t>表6-3 再造前后关键指标对比（各12个月，经聚合与四舍五入处理）</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701"/>
        <w:gridCol w:w="1701"/>
        <w:gridCol w:w="1701"/>
        <w:gridCol w:w="1701"/>
      </w:tblGrid>
      <w:tr w14:paraId="6C971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jc w:val="center"/>
        </w:trPr>
        <w:tc>
          <w:tcPr>
            <w:tcW w:w="1701" w:type="dxa"/>
            <w:tcBorders>
              <w:top w:val="single" w:color="000000" w:sz="12" w:space="0"/>
              <w:bottom w:val="single" w:color="000000" w:sz="6" w:space="0"/>
            </w:tcBorders>
          </w:tcPr>
          <w:p w14:paraId="63B23144">
            <w:pPr>
              <w:spacing w:before="40" w:after="40" w:line="240" w:lineRule="auto"/>
              <w:ind w:firstLine="0"/>
              <w:jc w:val="center"/>
            </w:pPr>
            <w:r>
              <w:rPr>
                <w:rFonts w:ascii="宋体" w:hAnsi="宋体" w:eastAsia="宋体"/>
                <w:b/>
                <w:sz w:val="21"/>
              </w:rPr>
              <w:t>指标</w:t>
            </w:r>
          </w:p>
        </w:tc>
        <w:tc>
          <w:tcPr>
            <w:tcW w:w="1701" w:type="dxa"/>
            <w:tcBorders>
              <w:top w:val="single" w:color="000000" w:sz="12" w:space="0"/>
              <w:bottom w:val="single" w:color="000000" w:sz="6" w:space="0"/>
            </w:tcBorders>
          </w:tcPr>
          <w:p w14:paraId="61B6F141">
            <w:pPr>
              <w:spacing w:before="40" w:after="40" w:line="240" w:lineRule="auto"/>
              <w:ind w:firstLine="0"/>
              <w:jc w:val="center"/>
            </w:pPr>
            <w:r>
              <w:rPr>
                <w:rFonts w:ascii="宋体" w:hAnsi="宋体" w:eastAsia="宋体"/>
                <w:b/>
                <w:sz w:val="21"/>
              </w:rPr>
              <w:t>上线前12个月</w:t>
            </w:r>
          </w:p>
        </w:tc>
        <w:tc>
          <w:tcPr>
            <w:tcW w:w="1701" w:type="dxa"/>
            <w:tcBorders>
              <w:top w:val="single" w:color="000000" w:sz="12" w:space="0"/>
              <w:bottom w:val="single" w:color="000000" w:sz="6" w:space="0"/>
            </w:tcBorders>
          </w:tcPr>
          <w:p w14:paraId="65D17BF2">
            <w:pPr>
              <w:spacing w:before="40" w:after="40" w:line="240" w:lineRule="auto"/>
              <w:ind w:firstLine="0"/>
              <w:jc w:val="center"/>
            </w:pPr>
            <w:r>
              <w:rPr>
                <w:rFonts w:ascii="宋体" w:hAnsi="宋体" w:eastAsia="宋体"/>
                <w:b/>
                <w:sz w:val="21"/>
              </w:rPr>
              <w:t>上线后12个月</w:t>
            </w:r>
          </w:p>
        </w:tc>
        <w:tc>
          <w:tcPr>
            <w:tcW w:w="1701" w:type="dxa"/>
            <w:tcBorders>
              <w:top w:val="single" w:color="000000" w:sz="12" w:space="0"/>
              <w:bottom w:val="single" w:color="000000" w:sz="6" w:space="0"/>
            </w:tcBorders>
          </w:tcPr>
          <w:p w14:paraId="601B22FA">
            <w:pPr>
              <w:spacing w:before="40" w:after="40" w:line="240" w:lineRule="auto"/>
              <w:ind w:firstLine="0"/>
              <w:jc w:val="center"/>
            </w:pPr>
            <w:r>
              <w:rPr>
                <w:rFonts w:ascii="宋体" w:hAnsi="宋体" w:eastAsia="宋体"/>
                <w:b/>
                <w:sz w:val="21"/>
              </w:rPr>
              <w:t>变化</w:t>
            </w:r>
          </w:p>
        </w:tc>
        <w:tc>
          <w:tcPr>
            <w:tcW w:w="1701" w:type="dxa"/>
            <w:tcBorders>
              <w:top w:val="single" w:color="000000" w:sz="12" w:space="0"/>
              <w:bottom w:val="single" w:color="000000" w:sz="6" w:space="0"/>
            </w:tcBorders>
          </w:tcPr>
          <w:p w14:paraId="4E3DE703">
            <w:pPr>
              <w:spacing w:before="40" w:after="40" w:line="240" w:lineRule="auto"/>
              <w:ind w:firstLine="0"/>
              <w:jc w:val="center"/>
            </w:pPr>
            <w:r>
              <w:rPr>
                <w:rFonts w:ascii="宋体" w:hAnsi="宋体" w:eastAsia="宋体"/>
                <w:b/>
                <w:sz w:val="21"/>
              </w:rPr>
              <w:t>数据性质</w:t>
            </w:r>
          </w:p>
        </w:tc>
      </w:tr>
      <w:tr w14:paraId="61F42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46CD775">
            <w:pPr>
              <w:spacing w:before="40" w:after="40" w:line="240" w:lineRule="auto"/>
              <w:ind w:firstLine="0"/>
              <w:jc w:val="center"/>
            </w:pPr>
            <w:r>
              <w:rPr>
                <w:rFonts w:ascii="宋体" w:hAnsi="宋体" w:eastAsia="宋体"/>
                <w:b w:val="0"/>
                <w:sz w:val="21"/>
              </w:rPr>
              <w:t>项目数</w:t>
            </w:r>
          </w:p>
        </w:tc>
        <w:tc>
          <w:tcPr>
            <w:tcW w:w="1701" w:type="dxa"/>
          </w:tcPr>
          <w:p w14:paraId="51CA88BA">
            <w:pPr>
              <w:spacing w:before="40" w:after="40" w:line="240" w:lineRule="auto"/>
              <w:ind w:firstLine="0"/>
              <w:jc w:val="center"/>
            </w:pPr>
            <w:r>
              <w:rPr>
                <w:rFonts w:ascii="宋体" w:hAnsi="宋体" w:eastAsia="宋体"/>
                <w:b w:val="0"/>
                <w:sz w:val="21"/>
              </w:rPr>
              <w:t>约450个</w:t>
            </w:r>
          </w:p>
        </w:tc>
        <w:tc>
          <w:tcPr>
            <w:tcW w:w="1701" w:type="dxa"/>
          </w:tcPr>
          <w:p w14:paraId="31B97D6F">
            <w:pPr>
              <w:spacing w:before="40" w:after="40" w:line="240" w:lineRule="auto"/>
              <w:ind w:firstLine="0"/>
              <w:jc w:val="center"/>
            </w:pPr>
            <w:r>
              <w:rPr>
                <w:rFonts w:ascii="宋体" w:hAnsi="宋体" w:eastAsia="宋体"/>
                <w:b w:val="0"/>
                <w:sz w:val="21"/>
              </w:rPr>
              <w:t>约570个</w:t>
            </w:r>
          </w:p>
        </w:tc>
        <w:tc>
          <w:tcPr>
            <w:tcW w:w="1701" w:type="dxa"/>
          </w:tcPr>
          <w:p w14:paraId="065E1D34">
            <w:pPr>
              <w:spacing w:before="40" w:after="40" w:line="240" w:lineRule="auto"/>
              <w:ind w:firstLine="0"/>
              <w:jc w:val="center"/>
            </w:pPr>
            <w:r>
              <w:rPr>
                <w:rFonts w:ascii="宋体" w:hAnsi="宋体" w:eastAsia="宋体"/>
                <w:b w:val="0"/>
                <w:sz w:val="21"/>
              </w:rPr>
              <w:t>+26.7%</w:t>
            </w:r>
          </w:p>
        </w:tc>
        <w:tc>
          <w:tcPr>
            <w:tcW w:w="1701" w:type="dxa"/>
          </w:tcPr>
          <w:p w14:paraId="4BE3C349">
            <w:pPr>
              <w:spacing w:before="40" w:after="40" w:line="240" w:lineRule="auto"/>
              <w:ind w:firstLine="0"/>
              <w:jc w:val="center"/>
            </w:pPr>
            <w:r>
              <w:rPr>
                <w:rFonts w:ascii="宋体" w:hAnsi="宋体" w:eastAsia="宋体"/>
                <w:b w:val="0"/>
                <w:sz w:val="21"/>
              </w:rPr>
              <w:t>实测汇总</w:t>
            </w:r>
          </w:p>
        </w:tc>
      </w:tr>
      <w:tr w14:paraId="37357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1748E4B5">
            <w:pPr>
              <w:spacing w:before="40" w:after="40" w:line="240" w:lineRule="auto"/>
              <w:ind w:firstLine="0"/>
              <w:jc w:val="center"/>
            </w:pPr>
            <w:r>
              <w:rPr>
                <w:rFonts w:ascii="宋体" w:hAnsi="宋体" w:eastAsia="宋体"/>
                <w:b w:val="0"/>
                <w:sz w:val="21"/>
              </w:rPr>
              <w:t>平均流程周期</w:t>
            </w:r>
          </w:p>
        </w:tc>
        <w:tc>
          <w:tcPr>
            <w:tcW w:w="1701" w:type="dxa"/>
          </w:tcPr>
          <w:p w14:paraId="0E017232">
            <w:pPr>
              <w:spacing w:before="40" w:after="40" w:line="240" w:lineRule="auto"/>
              <w:ind w:firstLine="0"/>
              <w:jc w:val="center"/>
            </w:pPr>
            <w:r>
              <w:rPr>
                <w:rFonts w:ascii="宋体" w:hAnsi="宋体" w:eastAsia="宋体"/>
                <w:b w:val="0"/>
                <w:sz w:val="21"/>
              </w:rPr>
              <w:t>约27天</w:t>
            </w:r>
          </w:p>
        </w:tc>
        <w:tc>
          <w:tcPr>
            <w:tcW w:w="1701" w:type="dxa"/>
          </w:tcPr>
          <w:p w14:paraId="23D8B86D">
            <w:pPr>
              <w:spacing w:before="40" w:after="40" w:line="240" w:lineRule="auto"/>
              <w:ind w:firstLine="0"/>
              <w:jc w:val="center"/>
            </w:pPr>
            <w:r>
              <w:rPr>
                <w:rFonts w:ascii="宋体" w:hAnsi="宋体" w:eastAsia="宋体"/>
                <w:b w:val="0"/>
                <w:sz w:val="21"/>
              </w:rPr>
              <w:t>约20天</w:t>
            </w:r>
          </w:p>
        </w:tc>
        <w:tc>
          <w:tcPr>
            <w:tcW w:w="1701" w:type="dxa"/>
          </w:tcPr>
          <w:p w14:paraId="166B5DA5">
            <w:pPr>
              <w:spacing w:before="40" w:after="40" w:line="240" w:lineRule="auto"/>
              <w:ind w:firstLine="0"/>
              <w:jc w:val="center"/>
            </w:pPr>
            <w:r>
              <w:rPr>
                <w:rFonts w:ascii="宋体" w:hAnsi="宋体" w:eastAsia="宋体"/>
                <w:b w:val="0"/>
                <w:sz w:val="21"/>
              </w:rPr>
              <w:t>−25.9%</w:t>
            </w:r>
          </w:p>
        </w:tc>
        <w:tc>
          <w:tcPr>
            <w:tcW w:w="1701" w:type="dxa"/>
          </w:tcPr>
          <w:p w14:paraId="5A6C1115">
            <w:pPr>
              <w:spacing w:before="40" w:after="40" w:line="240" w:lineRule="auto"/>
              <w:ind w:firstLine="0"/>
              <w:jc w:val="center"/>
            </w:pPr>
            <w:r>
              <w:rPr>
                <w:rFonts w:ascii="宋体" w:hAnsi="宋体" w:eastAsia="宋体"/>
                <w:b w:val="0"/>
                <w:sz w:val="21"/>
              </w:rPr>
              <w:t>实测汇总</w:t>
            </w:r>
          </w:p>
        </w:tc>
      </w:tr>
      <w:tr w14:paraId="2528F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8AFEBE2">
            <w:pPr>
              <w:spacing w:before="40" w:after="40" w:line="240" w:lineRule="auto"/>
              <w:ind w:firstLine="0"/>
              <w:jc w:val="center"/>
            </w:pPr>
            <w:r>
              <w:rPr>
                <w:rFonts w:ascii="宋体" w:hAnsi="宋体" w:eastAsia="宋体"/>
                <w:b w:val="0"/>
                <w:sz w:val="21"/>
              </w:rPr>
              <w:t>清标环节平均耗时</w:t>
            </w:r>
          </w:p>
        </w:tc>
        <w:tc>
          <w:tcPr>
            <w:tcW w:w="1701" w:type="dxa"/>
          </w:tcPr>
          <w:p w14:paraId="5E0D6473">
            <w:pPr>
              <w:spacing w:before="40" w:after="40" w:line="240" w:lineRule="auto"/>
              <w:ind w:firstLine="0"/>
              <w:jc w:val="center"/>
            </w:pPr>
            <w:r>
              <w:rPr>
                <w:rFonts w:ascii="宋体" w:hAnsi="宋体" w:eastAsia="宋体"/>
                <w:b w:val="0"/>
                <w:sz w:val="21"/>
              </w:rPr>
              <w:t>约3个工作日</w:t>
            </w:r>
          </w:p>
        </w:tc>
        <w:tc>
          <w:tcPr>
            <w:tcW w:w="1701" w:type="dxa"/>
          </w:tcPr>
          <w:p w14:paraId="16E5951C">
            <w:pPr>
              <w:spacing w:before="40" w:after="40" w:line="240" w:lineRule="auto"/>
              <w:ind w:firstLine="0"/>
              <w:jc w:val="center"/>
            </w:pPr>
            <w:r>
              <w:rPr>
                <w:rFonts w:ascii="宋体" w:hAnsi="宋体" w:eastAsia="宋体"/>
                <w:b w:val="0"/>
                <w:sz w:val="21"/>
              </w:rPr>
              <w:t>约20分钟</w:t>
            </w:r>
          </w:p>
        </w:tc>
        <w:tc>
          <w:tcPr>
            <w:tcW w:w="1701" w:type="dxa"/>
          </w:tcPr>
          <w:p w14:paraId="3E725E4C">
            <w:pPr>
              <w:spacing w:before="40" w:after="40" w:line="240" w:lineRule="auto"/>
              <w:ind w:firstLine="0"/>
              <w:jc w:val="center"/>
            </w:pPr>
            <w:r>
              <w:rPr>
                <w:rFonts w:ascii="宋体" w:hAnsi="宋体" w:eastAsia="宋体"/>
                <w:b w:val="0"/>
                <w:sz w:val="21"/>
              </w:rPr>
              <w:t>大幅下降</w:t>
            </w:r>
          </w:p>
        </w:tc>
        <w:tc>
          <w:tcPr>
            <w:tcW w:w="1701" w:type="dxa"/>
          </w:tcPr>
          <w:p w14:paraId="338C8548">
            <w:pPr>
              <w:spacing w:before="40" w:after="40" w:line="240" w:lineRule="auto"/>
              <w:ind w:firstLine="0"/>
              <w:jc w:val="center"/>
            </w:pPr>
            <w:r>
              <w:rPr>
                <w:rFonts w:ascii="宋体" w:hAnsi="宋体" w:eastAsia="宋体"/>
                <w:b w:val="0"/>
                <w:sz w:val="21"/>
              </w:rPr>
              <w:t>实测汇总（口径见注）</w:t>
            </w:r>
          </w:p>
        </w:tc>
      </w:tr>
      <w:tr w14:paraId="048CD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36AB948">
            <w:pPr>
              <w:spacing w:before="40" w:after="40" w:line="240" w:lineRule="auto"/>
              <w:ind w:firstLine="0"/>
              <w:jc w:val="center"/>
            </w:pPr>
            <w:r>
              <w:rPr>
                <w:rFonts w:ascii="宋体" w:hAnsi="宋体" w:eastAsia="宋体"/>
                <w:b w:val="0"/>
                <w:sz w:val="21"/>
              </w:rPr>
              <w:t>平均返工轮次（总体）</w:t>
            </w:r>
          </w:p>
        </w:tc>
        <w:tc>
          <w:tcPr>
            <w:tcW w:w="1701" w:type="dxa"/>
          </w:tcPr>
          <w:p w14:paraId="7AC208C1">
            <w:pPr>
              <w:spacing w:before="40" w:after="40" w:line="240" w:lineRule="auto"/>
              <w:ind w:firstLine="0"/>
              <w:jc w:val="center"/>
            </w:pPr>
            <w:r>
              <w:rPr>
                <w:rFonts w:ascii="宋体" w:hAnsi="宋体" w:eastAsia="宋体"/>
                <w:b w:val="0"/>
                <w:sz w:val="21"/>
              </w:rPr>
              <w:t>未统计</w:t>
            </w:r>
          </w:p>
        </w:tc>
        <w:tc>
          <w:tcPr>
            <w:tcW w:w="1701" w:type="dxa"/>
          </w:tcPr>
          <w:p w14:paraId="316D47C2">
            <w:pPr>
              <w:spacing w:before="40" w:after="40" w:line="240" w:lineRule="auto"/>
              <w:ind w:firstLine="0"/>
              <w:jc w:val="center"/>
            </w:pPr>
            <w:r>
              <w:rPr>
                <w:rFonts w:ascii="宋体" w:hAnsi="宋体" w:eastAsia="宋体"/>
                <w:b w:val="0"/>
                <w:sz w:val="21"/>
              </w:rPr>
              <w:t>1.8次</w:t>
            </w:r>
          </w:p>
        </w:tc>
        <w:tc>
          <w:tcPr>
            <w:tcW w:w="1701" w:type="dxa"/>
          </w:tcPr>
          <w:p w14:paraId="4E5F3C38">
            <w:pPr>
              <w:spacing w:before="40" w:after="40" w:line="240" w:lineRule="auto"/>
              <w:ind w:firstLine="0"/>
              <w:jc w:val="center"/>
            </w:pPr>
            <w:r>
              <w:rPr>
                <w:rFonts w:ascii="宋体" w:hAnsi="宋体" w:eastAsia="宋体"/>
                <w:b w:val="0"/>
                <w:sz w:val="21"/>
              </w:rPr>
              <w:t>—</w:t>
            </w:r>
          </w:p>
        </w:tc>
        <w:tc>
          <w:tcPr>
            <w:tcW w:w="1701" w:type="dxa"/>
          </w:tcPr>
          <w:p w14:paraId="39AD5D76">
            <w:pPr>
              <w:spacing w:before="40" w:after="40" w:line="240" w:lineRule="auto"/>
              <w:ind w:firstLine="0"/>
              <w:jc w:val="center"/>
            </w:pPr>
            <w:r>
              <w:rPr>
                <w:rFonts w:ascii="宋体" w:hAnsi="宋体" w:eastAsia="宋体"/>
                <w:b w:val="0"/>
                <w:sz w:val="21"/>
              </w:rPr>
              <w:t>仅上线后实测</w:t>
            </w:r>
          </w:p>
        </w:tc>
      </w:tr>
      <w:tr w14:paraId="180B7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145AC2A8">
            <w:pPr>
              <w:spacing w:before="40" w:after="40" w:line="240" w:lineRule="auto"/>
              <w:ind w:firstLine="0"/>
              <w:jc w:val="center"/>
            </w:pPr>
            <w:r>
              <w:rPr>
                <w:rFonts w:ascii="宋体" w:hAnsi="宋体" w:eastAsia="宋体"/>
                <w:b w:val="0"/>
                <w:sz w:val="21"/>
              </w:rPr>
              <w:t>返工轮次（一般/政采/部队武警）</w:t>
            </w:r>
          </w:p>
        </w:tc>
        <w:tc>
          <w:tcPr>
            <w:tcW w:w="1701" w:type="dxa"/>
          </w:tcPr>
          <w:p w14:paraId="0619D03A">
            <w:pPr>
              <w:spacing w:before="40" w:after="40" w:line="240" w:lineRule="auto"/>
              <w:ind w:firstLine="0"/>
              <w:jc w:val="center"/>
            </w:pPr>
            <w:r>
              <w:rPr>
                <w:rFonts w:ascii="宋体" w:hAnsi="宋体" w:eastAsia="宋体"/>
                <w:b w:val="0"/>
                <w:sz w:val="21"/>
              </w:rPr>
              <w:t>未统计</w:t>
            </w:r>
          </w:p>
        </w:tc>
        <w:tc>
          <w:tcPr>
            <w:tcW w:w="1701" w:type="dxa"/>
          </w:tcPr>
          <w:p w14:paraId="0B94C870">
            <w:pPr>
              <w:spacing w:before="40" w:after="40" w:line="240" w:lineRule="auto"/>
              <w:ind w:firstLine="0"/>
              <w:jc w:val="center"/>
            </w:pPr>
            <w:r>
              <w:rPr>
                <w:rFonts w:ascii="宋体" w:hAnsi="宋体" w:eastAsia="宋体"/>
                <w:b w:val="0"/>
                <w:sz w:val="21"/>
              </w:rPr>
              <w:t>1.2 / 2.2 / 3.0次</w:t>
            </w:r>
          </w:p>
        </w:tc>
        <w:tc>
          <w:tcPr>
            <w:tcW w:w="1701" w:type="dxa"/>
          </w:tcPr>
          <w:p w14:paraId="74BCFFCE">
            <w:pPr>
              <w:spacing w:before="40" w:after="40" w:line="240" w:lineRule="auto"/>
              <w:ind w:firstLine="0"/>
              <w:jc w:val="center"/>
            </w:pPr>
            <w:r>
              <w:rPr>
                <w:rFonts w:ascii="宋体" w:hAnsi="宋体" w:eastAsia="宋体"/>
                <w:b w:val="0"/>
                <w:sz w:val="21"/>
              </w:rPr>
              <w:t>—</w:t>
            </w:r>
          </w:p>
        </w:tc>
        <w:tc>
          <w:tcPr>
            <w:tcW w:w="1701" w:type="dxa"/>
          </w:tcPr>
          <w:p w14:paraId="6771916C">
            <w:pPr>
              <w:spacing w:before="40" w:after="40" w:line="240" w:lineRule="auto"/>
              <w:ind w:firstLine="0"/>
              <w:jc w:val="center"/>
            </w:pPr>
            <w:r>
              <w:rPr>
                <w:rFonts w:ascii="宋体" w:hAnsi="宋体" w:eastAsia="宋体"/>
                <w:b w:val="0"/>
                <w:sz w:val="21"/>
              </w:rPr>
              <w:t>仅上线后实测</w:t>
            </w:r>
          </w:p>
        </w:tc>
      </w:tr>
      <w:tr w14:paraId="46062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174ED6FB">
            <w:pPr>
              <w:spacing w:before="40" w:after="40" w:line="240" w:lineRule="auto"/>
              <w:ind w:firstLine="0"/>
              <w:jc w:val="center"/>
            </w:pPr>
            <w:r>
              <w:rPr>
                <w:rFonts w:ascii="宋体" w:hAnsi="宋体" w:eastAsia="宋体"/>
                <w:b w:val="0"/>
                <w:sz w:val="21"/>
              </w:rPr>
              <w:t>人工数据搬运次数/项目</w:t>
            </w:r>
          </w:p>
        </w:tc>
        <w:tc>
          <w:tcPr>
            <w:tcW w:w="1701" w:type="dxa"/>
          </w:tcPr>
          <w:p w14:paraId="28729575">
            <w:pPr>
              <w:spacing w:before="40" w:after="40" w:line="240" w:lineRule="auto"/>
              <w:ind w:firstLine="0"/>
              <w:jc w:val="center"/>
            </w:pPr>
            <w:r>
              <w:rPr>
                <w:rFonts w:ascii="宋体" w:hAnsi="宋体" w:eastAsia="宋体"/>
                <w:b w:val="0"/>
                <w:sz w:val="21"/>
              </w:rPr>
              <w:t>约10余次（回忆）</w:t>
            </w:r>
          </w:p>
        </w:tc>
        <w:tc>
          <w:tcPr>
            <w:tcW w:w="1701" w:type="dxa"/>
          </w:tcPr>
          <w:p w14:paraId="31B3EDF3">
            <w:pPr>
              <w:spacing w:before="40" w:after="40" w:line="240" w:lineRule="auto"/>
              <w:ind w:firstLine="0"/>
              <w:jc w:val="center"/>
            </w:pPr>
            <w:r>
              <w:rPr>
                <w:rFonts w:ascii="宋体" w:hAnsi="宋体" w:eastAsia="宋体"/>
                <w:b w:val="0"/>
                <w:sz w:val="21"/>
              </w:rPr>
              <w:t>5次</w:t>
            </w:r>
          </w:p>
        </w:tc>
        <w:tc>
          <w:tcPr>
            <w:tcW w:w="1701" w:type="dxa"/>
          </w:tcPr>
          <w:p w14:paraId="422AB85D">
            <w:pPr>
              <w:spacing w:before="40" w:after="40" w:line="240" w:lineRule="auto"/>
              <w:ind w:firstLine="0"/>
              <w:jc w:val="center"/>
            </w:pPr>
            <w:r>
              <w:rPr>
                <w:rFonts w:ascii="宋体" w:hAnsi="宋体" w:eastAsia="宋体"/>
                <w:b w:val="0"/>
                <w:sz w:val="21"/>
              </w:rPr>
              <w:t>—</w:t>
            </w:r>
          </w:p>
        </w:tc>
        <w:tc>
          <w:tcPr>
            <w:tcW w:w="1701" w:type="dxa"/>
          </w:tcPr>
          <w:p w14:paraId="1AACD7FB">
            <w:pPr>
              <w:spacing w:before="40" w:after="40" w:line="240" w:lineRule="auto"/>
              <w:ind w:firstLine="0"/>
              <w:jc w:val="center"/>
            </w:pPr>
            <w:r>
              <w:rPr>
                <w:rFonts w:ascii="宋体" w:hAnsi="宋体" w:eastAsia="宋体"/>
                <w:b w:val="0"/>
                <w:sz w:val="21"/>
              </w:rPr>
              <w:t>上线前为回忆估算</w:t>
            </w:r>
          </w:p>
        </w:tc>
      </w:tr>
      <w:tr w14:paraId="4733C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bottom w:val="single" w:color="000000" w:sz="12" w:space="0"/>
            </w:tcBorders>
          </w:tcPr>
          <w:p w14:paraId="21FD4FEE">
            <w:pPr>
              <w:spacing w:before="40" w:after="40" w:line="240" w:lineRule="auto"/>
              <w:ind w:firstLine="0"/>
              <w:jc w:val="center"/>
            </w:pPr>
            <w:r>
              <w:rPr>
                <w:rFonts w:ascii="宋体" w:hAnsi="宋体" w:eastAsia="宋体"/>
                <w:b w:val="0"/>
                <w:sz w:val="21"/>
              </w:rPr>
              <w:t>延误归因排序</w:t>
            </w:r>
          </w:p>
        </w:tc>
        <w:tc>
          <w:tcPr>
            <w:tcW w:w="1701" w:type="dxa"/>
            <w:tcBorders>
              <w:bottom w:val="single" w:color="000000" w:sz="12" w:space="0"/>
            </w:tcBorders>
          </w:tcPr>
          <w:p w14:paraId="1A5B7324">
            <w:pPr>
              <w:spacing w:before="40" w:after="40" w:line="240" w:lineRule="auto"/>
              <w:ind w:firstLine="0"/>
              <w:jc w:val="center"/>
            </w:pPr>
            <w:r>
              <w:rPr>
                <w:rFonts w:ascii="宋体" w:hAnsi="宋体" w:eastAsia="宋体"/>
                <w:b w:val="0"/>
                <w:sz w:val="21"/>
              </w:rPr>
              <w:t>同上线后</w:t>
            </w:r>
          </w:p>
        </w:tc>
        <w:tc>
          <w:tcPr>
            <w:tcW w:w="1701" w:type="dxa"/>
            <w:tcBorders>
              <w:bottom w:val="single" w:color="000000" w:sz="12" w:space="0"/>
            </w:tcBorders>
          </w:tcPr>
          <w:p w14:paraId="31A07CDF">
            <w:pPr>
              <w:spacing w:before="40" w:after="40" w:line="240" w:lineRule="auto"/>
              <w:ind w:firstLine="0"/>
              <w:jc w:val="center"/>
            </w:pPr>
            <w:r>
              <w:rPr>
                <w:rFonts w:ascii="宋体" w:hAnsi="宋体" w:eastAsia="宋体"/>
                <w:b w:val="0"/>
                <w:sz w:val="21"/>
              </w:rPr>
              <w:t>①文本不规范②不足三家③甲方推迟</w:t>
            </w:r>
          </w:p>
        </w:tc>
        <w:tc>
          <w:tcPr>
            <w:tcW w:w="1701" w:type="dxa"/>
            <w:tcBorders>
              <w:bottom w:val="single" w:color="000000" w:sz="12" w:space="0"/>
            </w:tcBorders>
          </w:tcPr>
          <w:p w14:paraId="329A0750">
            <w:pPr>
              <w:spacing w:before="40" w:after="40" w:line="240" w:lineRule="auto"/>
              <w:ind w:firstLine="0"/>
              <w:jc w:val="center"/>
            </w:pPr>
            <w:r>
              <w:rPr>
                <w:rFonts w:ascii="宋体" w:hAnsi="宋体" w:eastAsia="宋体"/>
                <w:b w:val="0"/>
                <w:sz w:val="21"/>
              </w:rPr>
              <w:t>—</w:t>
            </w:r>
          </w:p>
        </w:tc>
        <w:tc>
          <w:tcPr>
            <w:tcW w:w="1701" w:type="dxa"/>
            <w:tcBorders>
              <w:bottom w:val="single" w:color="000000" w:sz="12" w:space="0"/>
            </w:tcBorders>
          </w:tcPr>
          <w:p w14:paraId="49BB5660">
            <w:pPr>
              <w:spacing w:before="40" w:after="40" w:line="240" w:lineRule="auto"/>
              <w:ind w:firstLine="0"/>
              <w:jc w:val="center"/>
            </w:pPr>
            <w:r>
              <w:rPr>
                <w:rFonts w:ascii="宋体" w:hAnsi="宋体" w:eastAsia="宋体"/>
                <w:b w:val="0"/>
                <w:sz w:val="21"/>
              </w:rPr>
              <w:t>以外部原因为主</w:t>
            </w:r>
          </w:p>
        </w:tc>
      </w:tr>
    </w:tbl>
    <w:p w14:paraId="0F0FF0C4">
      <w:pPr>
        <w:spacing w:after="0"/>
        <w:ind w:firstLine="0"/>
      </w:pPr>
    </w:p>
    <w:p w14:paraId="64A15C5F">
      <w:pPr>
        <w:spacing w:after="0" w:line="360" w:lineRule="auto"/>
        <w:ind w:firstLine="480"/>
        <w:jc w:val="both"/>
      </w:pPr>
      <w:r>
        <w:rPr>
          <w:rFonts w:ascii="宋体" w:hAnsi="宋体" w:eastAsia="宋体"/>
          <w:b w:val="0"/>
          <w:sz w:val="24"/>
        </w:rPr>
        <w:t>注：数据经公司许可使用，并经四舍五入与聚合处理，不含客户与项目明细；“未统计”表示上线前未建立该指标的统计口径，不以回忆值替代。</w:t>
      </w:r>
    </w:p>
    <w:p w14:paraId="14B571B4">
      <w:pPr>
        <w:spacing w:before="160" w:after="60" w:line="240" w:lineRule="auto"/>
        <w:ind w:firstLine="0"/>
        <w:jc w:val="center"/>
      </w:pPr>
      <w:r>
        <w:drawing>
          <wp:inline distT="0" distB="0" distL="114300" distR="114300">
            <wp:extent cx="4679950" cy="3343910"/>
            <wp:effectExtent l="0" t="0" r="1397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680000" cy="3344276"/>
                    </a:xfrm>
                    <a:prstGeom prst="rect">
                      <a:avLst/>
                    </a:prstGeom>
                  </pic:spPr>
                </pic:pic>
              </a:graphicData>
            </a:graphic>
          </wp:inline>
        </w:drawing>
      </w:r>
    </w:p>
    <w:p w14:paraId="4F37DF8A">
      <w:pPr>
        <w:spacing w:after="160" w:line="240" w:lineRule="auto"/>
        <w:ind w:firstLine="0"/>
        <w:jc w:val="center"/>
      </w:pPr>
      <w:r>
        <w:rPr>
          <w:rFonts w:ascii="宋体" w:hAnsi="宋体" w:eastAsia="宋体"/>
          <w:b/>
          <w:sz w:val="21"/>
        </w:rPr>
        <w:t>图6-4 分业务类型平均返工轮次（上线后实测）</w:t>
      </w:r>
    </w:p>
    <w:p w14:paraId="26539BBC">
      <w:pPr>
        <w:spacing w:after="200" w:line="240" w:lineRule="auto"/>
        <w:ind w:firstLine="0"/>
        <w:jc w:val="center"/>
      </w:pPr>
      <w:r>
        <w:rPr>
          <w:rFonts w:ascii="宋体" w:hAnsi="宋体" w:eastAsia="宋体"/>
          <w:b w:val="0"/>
          <w:color w:val="595959"/>
          <w:sz w:val="17"/>
        </w:rPr>
        <w:t>注：数据为近一年聚合结果，经四舍五入处理。</w:t>
      </w:r>
    </w:p>
    <w:p w14:paraId="584E7E95">
      <w:pPr>
        <w:spacing w:before="160" w:after="60" w:line="240" w:lineRule="auto"/>
        <w:ind w:firstLine="0"/>
        <w:jc w:val="center"/>
      </w:pPr>
      <w:r>
        <w:drawing>
          <wp:inline distT="0" distB="0" distL="114300" distR="114300">
            <wp:extent cx="5399405" cy="2713355"/>
            <wp:effectExtent l="0" t="0" r="10795"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00000" cy="2713686"/>
                    </a:xfrm>
                    <a:prstGeom prst="rect">
                      <a:avLst/>
                    </a:prstGeom>
                  </pic:spPr>
                </pic:pic>
              </a:graphicData>
            </a:graphic>
          </wp:inline>
        </w:drawing>
      </w:r>
    </w:p>
    <w:p w14:paraId="0C9A03FC">
      <w:pPr>
        <w:spacing w:after="160" w:line="240" w:lineRule="auto"/>
        <w:ind w:firstLine="0"/>
        <w:jc w:val="center"/>
      </w:pPr>
      <w:r>
        <w:rPr>
          <w:rFonts w:ascii="宋体" w:hAnsi="宋体" w:eastAsia="宋体"/>
          <w:b/>
          <w:sz w:val="21"/>
        </w:rPr>
        <w:t>图6-5 再造前后关键指标对比（实测）</w:t>
      </w:r>
    </w:p>
    <w:p w14:paraId="0A75ACA9">
      <w:pPr>
        <w:spacing w:after="200" w:line="240" w:lineRule="auto"/>
        <w:ind w:firstLine="0"/>
        <w:jc w:val="center"/>
      </w:pPr>
      <w:r>
        <w:rPr>
          <w:rFonts w:ascii="宋体" w:hAnsi="宋体" w:eastAsia="宋体"/>
          <w:b w:val="0"/>
          <w:color w:val="595959"/>
          <w:sz w:val="17"/>
        </w:rPr>
        <w:t>注：数据经聚合与四舍五入处理；清标耗时为对数刻度。</w:t>
      </w:r>
    </w:p>
    <w:p w14:paraId="4F8B5B80">
      <w:pPr>
        <w:pStyle w:val="4"/>
      </w:pPr>
      <w:bookmarkStart w:id="49" w:name="_Toc31911"/>
      <w:r>
        <w:t>6.4 情景测算结果</w:t>
      </w:r>
      <w:bookmarkEnd w:id="49"/>
    </w:p>
    <w:p w14:paraId="4B60FAFA">
      <w:pPr>
        <w:spacing w:after="0" w:line="360" w:lineRule="auto"/>
        <w:ind w:firstLine="480"/>
        <w:jc w:val="both"/>
      </w:pPr>
      <w:r>
        <w:rPr>
          <w:rFonts w:ascii="宋体" w:hAnsi="宋体" w:eastAsia="宋体"/>
          <w:b w:val="0"/>
          <w:sz w:val="24"/>
        </w:rPr>
        <w:t>在实测对比的基础上，本节进一步给出情景测算。其作用有二：一是覆盖尚无实测基线的指标（返工轮次、人工数据搬运）；二是检验结论对参数设定与情景选择的敏感性，为后续全面推广提供区间参考。</w:t>
      </w:r>
    </w:p>
    <w:p w14:paraId="096B939A">
      <w:pPr>
        <w:spacing w:after="0" w:line="360" w:lineRule="auto"/>
        <w:ind w:firstLine="480"/>
        <w:jc w:val="both"/>
      </w:pPr>
      <w:r>
        <w:rPr>
          <w:rFonts w:ascii="宋体" w:hAnsi="宋体" w:eastAsia="宋体"/>
          <w:b w:val="0"/>
          <w:sz w:val="24"/>
        </w:rPr>
        <w:t>情景参数的设定依据主要有四：一是平台功能对作业环节的替代程度，例如清标辅助评分覆盖五个维度中的四项，可替代的比重大致可估；二是试运行期间观测到的单环节耗时变化区间，例如文档解析替代人工通读后，单份文件预审时间明显缩短；三是访谈中管理人员与一线员工给出的估计区间；四是结合6.3节的试点期实测基线与作者从业经验进行综合判断。三情景参数如表6-2所示。</w:t>
      </w:r>
    </w:p>
    <w:p w14:paraId="6D33FA7A">
      <w:pPr>
        <w:spacing w:before="120" w:after="40"/>
        <w:ind w:firstLine="0"/>
        <w:jc w:val="center"/>
      </w:pPr>
      <w:r>
        <w:rPr>
          <w:rFonts w:ascii="宋体" w:hAnsi="宋体" w:eastAsia="宋体"/>
          <w:b/>
          <w:sz w:val="21"/>
        </w:rPr>
        <w:t>表6-2 情景参数设定（相对基线的变化率）</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06FE0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126" w:type="dxa"/>
            <w:tcBorders>
              <w:top w:val="single" w:color="000000" w:sz="12" w:space="0"/>
              <w:bottom w:val="single" w:color="000000" w:sz="6" w:space="0"/>
            </w:tcBorders>
          </w:tcPr>
          <w:p w14:paraId="7A94B31E">
            <w:pPr>
              <w:spacing w:before="40" w:after="40" w:line="240" w:lineRule="auto"/>
              <w:ind w:firstLine="0"/>
              <w:jc w:val="center"/>
            </w:pPr>
            <w:r>
              <w:rPr>
                <w:rFonts w:ascii="宋体" w:hAnsi="宋体" w:eastAsia="宋体"/>
                <w:b/>
                <w:sz w:val="21"/>
              </w:rPr>
              <w:t>指标</w:t>
            </w:r>
          </w:p>
        </w:tc>
        <w:tc>
          <w:tcPr>
            <w:tcW w:w="2126" w:type="dxa"/>
            <w:tcBorders>
              <w:top w:val="single" w:color="000000" w:sz="12" w:space="0"/>
              <w:bottom w:val="single" w:color="000000" w:sz="6" w:space="0"/>
            </w:tcBorders>
          </w:tcPr>
          <w:p w14:paraId="4D85126C">
            <w:pPr>
              <w:spacing w:before="40" w:after="40" w:line="240" w:lineRule="auto"/>
              <w:ind w:firstLine="0"/>
              <w:jc w:val="center"/>
            </w:pPr>
            <w:r>
              <w:rPr>
                <w:rFonts w:ascii="宋体" w:hAnsi="宋体" w:eastAsia="宋体"/>
                <w:b/>
                <w:sz w:val="21"/>
              </w:rPr>
              <w:t>保守情景</w:t>
            </w:r>
          </w:p>
        </w:tc>
        <w:tc>
          <w:tcPr>
            <w:tcW w:w="2126" w:type="dxa"/>
            <w:tcBorders>
              <w:top w:val="single" w:color="000000" w:sz="12" w:space="0"/>
              <w:bottom w:val="single" w:color="000000" w:sz="6" w:space="0"/>
            </w:tcBorders>
          </w:tcPr>
          <w:p w14:paraId="44D63534">
            <w:pPr>
              <w:spacing w:before="40" w:after="40" w:line="240" w:lineRule="auto"/>
              <w:ind w:firstLine="0"/>
              <w:jc w:val="center"/>
            </w:pPr>
            <w:r>
              <w:rPr>
                <w:rFonts w:ascii="宋体" w:hAnsi="宋体" w:eastAsia="宋体"/>
                <w:b/>
                <w:sz w:val="21"/>
              </w:rPr>
              <w:t>基准情景</w:t>
            </w:r>
          </w:p>
        </w:tc>
        <w:tc>
          <w:tcPr>
            <w:tcW w:w="2126" w:type="dxa"/>
            <w:tcBorders>
              <w:top w:val="single" w:color="000000" w:sz="12" w:space="0"/>
              <w:bottom w:val="single" w:color="000000" w:sz="6" w:space="0"/>
            </w:tcBorders>
          </w:tcPr>
          <w:p w14:paraId="0274431D">
            <w:pPr>
              <w:spacing w:before="40" w:after="40" w:line="240" w:lineRule="auto"/>
              <w:ind w:firstLine="0"/>
              <w:jc w:val="center"/>
            </w:pPr>
            <w:r>
              <w:rPr>
                <w:rFonts w:ascii="宋体" w:hAnsi="宋体" w:eastAsia="宋体"/>
                <w:b/>
                <w:sz w:val="21"/>
              </w:rPr>
              <w:t>乐观情景</w:t>
            </w:r>
          </w:p>
        </w:tc>
      </w:tr>
      <w:tr w14:paraId="1B3B4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BD25000">
            <w:pPr>
              <w:spacing w:before="40" w:after="40" w:line="240" w:lineRule="auto"/>
              <w:ind w:firstLine="0"/>
              <w:jc w:val="center"/>
            </w:pPr>
            <w:r>
              <w:rPr>
                <w:rFonts w:ascii="宋体" w:hAnsi="宋体" w:eastAsia="宋体"/>
                <w:b w:val="0"/>
                <w:sz w:val="21"/>
              </w:rPr>
              <w:t>流程周期</w:t>
            </w:r>
          </w:p>
        </w:tc>
        <w:tc>
          <w:tcPr>
            <w:tcW w:w="2126" w:type="dxa"/>
          </w:tcPr>
          <w:p w14:paraId="1157F7A4">
            <w:pPr>
              <w:spacing w:before="40" w:after="40" w:line="240" w:lineRule="auto"/>
              <w:ind w:firstLine="0"/>
              <w:jc w:val="center"/>
            </w:pPr>
            <w:r>
              <w:rPr>
                <w:rFonts w:ascii="宋体" w:hAnsi="宋体" w:eastAsia="宋体"/>
                <w:b w:val="0"/>
                <w:sz w:val="21"/>
              </w:rPr>
              <w:t>-8%</w:t>
            </w:r>
          </w:p>
        </w:tc>
        <w:tc>
          <w:tcPr>
            <w:tcW w:w="2126" w:type="dxa"/>
          </w:tcPr>
          <w:p w14:paraId="6DAE4263">
            <w:pPr>
              <w:spacing w:before="40" w:after="40" w:line="240" w:lineRule="auto"/>
              <w:ind w:firstLine="0"/>
              <w:jc w:val="center"/>
            </w:pPr>
            <w:r>
              <w:rPr>
                <w:rFonts w:ascii="宋体" w:hAnsi="宋体" w:eastAsia="宋体"/>
                <w:b w:val="0"/>
                <w:sz w:val="21"/>
              </w:rPr>
              <w:t>-15%</w:t>
            </w:r>
          </w:p>
        </w:tc>
        <w:tc>
          <w:tcPr>
            <w:tcW w:w="2126" w:type="dxa"/>
          </w:tcPr>
          <w:p w14:paraId="131AC796">
            <w:pPr>
              <w:spacing w:before="40" w:after="40" w:line="240" w:lineRule="auto"/>
              <w:ind w:firstLine="0"/>
              <w:jc w:val="center"/>
            </w:pPr>
            <w:r>
              <w:rPr>
                <w:rFonts w:ascii="宋体" w:hAnsi="宋体" w:eastAsia="宋体"/>
                <w:b w:val="0"/>
                <w:sz w:val="21"/>
              </w:rPr>
              <w:t>-22%</w:t>
            </w:r>
          </w:p>
        </w:tc>
      </w:tr>
      <w:tr w14:paraId="1BC2D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1D8B5CDD">
            <w:pPr>
              <w:spacing w:before="40" w:after="40" w:line="240" w:lineRule="auto"/>
              <w:ind w:firstLine="0"/>
              <w:jc w:val="center"/>
            </w:pPr>
            <w:r>
              <w:rPr>
                <w:rFonts w:ascii="宋体" w:hAnsi="宋体" w:eastAsia="宋体"/>
                <w:b w:val="0"/>
                <w:sz w:val="21"/>
              </w:rPr>
              <w:t>清标环节耗时</w:t>
            </w:r>
          </w:p>
        </w:tc>
        <w:tc>
          <w:tcPr>
            <w:tcW w:w="2126" w:type="dxa"/>
          </w:tcPr>
          <w:p w14:paraId="738C8B21">
            <w:pPr>
              <w:spacing w:before="40" w:after="40" w:line="240" w:lineRule="auto"/>
              <w:ind w:firstLine="0"/>
              <w:jc w:val="center"/>
            </w:pPr>
            <w:r>
              <w:rPr>
                <w:rFonts w:ascii="宋体" w:hAnsi="宋体" w:eastAsia="宋体"/>
                <w:b w:val="0"/>
                <w:sz w:val="21"/>
              </w:rPr>
              <w:t>-18%</w:t>
            </w:r>
          </w:p>
        </w:tc>
        <w:tc>
          <w:tcPr>
            <w:tcW w:w="2126" w:type="dxa"/>
          </w:tcPr>
          <w:p w14:paraId="5443E60F">
            <w:pPr>
              <w:spacing w:before="40" w:after="40" w:line="240" w:lineRule="auto"/>
              <w:ind w:firstLine="0"/>
              <w:jc w:val="center"/>
            </w:pPr>
            <w:r>
              <w:rPr>
                <w:rFonts w:ascii="宋体" w:hAnsi="宋体" w:eastAsia="宋体"/>
                <w:b w:val="0"/>
                <w:sz w:val="21"/>
              </w:rPr>
              <w:t>-32%</w:t>
            </w:r>
          </w:p>
        </w:tc>
        <w:tc>
          <w:tcPr>
            <w:tcW w:w="2126" w:type="dxa"/>
          </w:tcPr>
          <w:p w14:paraId="6FBADA6E">
            <w:pPr>
              <w:spacing w:before="40" w:after="40" w:line="240" w:lineRule="auto"/>
              <w:ind w:firstLine="0"/>
              <w:jc w:val="center"/>
            </w:pPr>
            <w:r>
              <w:rPr>
                <w:rFonts w:ascii="宋体" w:hAnsi="宋体" w:eastAsia="宋体"/>
                <w:b w:val="0"/>
                <w:sz w:val="21"/>
              </w:rPr>
              <w:t>-45%</w:t>
            </w:r>
          </w:p>
        </w:tc>
      </w:tr>
      <w:tr w14:paraId="25BD2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04808F06">
            <w:pPr>
              <w:spacing w:before="40" w:after="40" w:line="240" w:lineRule="auto"/>
              <w:ind w:firstLine="0"/>
              <w:jc w:val="center"/>
            </w:pPr>
            <w:r>
              <w:rPr>
                <w:rFonts w:ascii="宋体" w:hAnsi="宋体" w:eastAsia="宋体"/>
                <w:b w:val="0"/>
                <w:sz w:val="21"/>
              </w:rPr>
              <w:t>文件返工轮次</w:t>
            </w:r>
          </w:p>
        </w:tc>
        <w:tc>
          <w:tcPr>
            <w:tcW w:w="2126" w:type="dxa"/>
          </w:tcPr>
          <w:p w14:paraId="1865271B">
            <w:pPr>
              <w:spacing w:before="40" w:after="40" w:line="240" w:lineRule="auto"/>
              <w:ind w:firstLine="0"/>
              <w:jc w:val="center"/>
            </w:pPr>
            <w:r>
              <w:rPr>
                <w:rFonts w:ascii="宋体" w:hAnsi="宋体" w:eastAsia="宋体"/>
                <w:b w:val="0"/>
                <w:sz w:val="21"/>
              </w:rPr>
              <w:t>-20%</w:t>
            </w:r>
          </w:p>
        </w:tc>
        <w:tc>
          <w:tcPr>
            <w:tcW w:w="2126" w:type="dxa"/>
          </w:tcPr>
          <w:p w14:paraId="3D029793">
            <w:pPr>
              <w:spacing w:before="40" w:after="40" w:line="240" w:lineRule="auto"/>
              <w:ind w:firstLine="0"/>
              <w:jc w:val="center"/>
            </w:pPr>
            <w:r>
              <w:rPr>
                <w:rFonts w:ascii="宋体" w:hAnsi="宋体" w:eastAsia="宋体"/>
                <w:b w:val="0"/>
                <w:sz w:val="21"/>
              </w:rPr>
              <w:t>-40%</w:t>
            </w:r>
          </w:p>
        </w:tc>
        <w:tc>
          <w:tcPr>
            <w:tcW w:w="2126" w:type="dxa"/>
          </w:tcPr>
          <w:p w14:paraId="3411337D">
            <w:pPr>
              <w:spacing w:before="40" w:after="40" w:line="240" w:lineRule="auto"/>
              <w:ind w:firstLine="0"/>
              <w:jc w:val="center"/>
            </w:pPr>
            <w:r>
              <w:rPr>
                <w:rFonts w:ascii="宋体" w:hAnsi="宋体" w:eastAsia="宋体"/>
                <w:b w:val="0"/>
                <w:sz w:val="21"/>
              </w:rPr>
              <w:t>-55%</w:t>
            </w:r>
          </w:p>
        </w:tc>
      </w:tr>
      <w:tr w14:paraId="2007F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12" w:space="0"/>
            </w:tcBorders>
          </w:tcPr>
          <w:p w14:paraId="14FA8C9D">
            <w:pPr>
              <w:spacing w:before="40" w:after="40" w:line="240" w:lineRule="auto"/>
              <w:ind w:firstLine="0"/>
              <w:jc w:val="center"/>
            </w:pPr>
            <w:r>
              <w:rPr>
                <w:rFonts w:ascii="宋体" w:hAnsi="宋体" w:eastAsia="宋体"/>
                <w:b w:val="0"/>
                <w:sz w:val="21"/>
              </w:rPr>
              <w:t>人工数据搬运次数</w:t>
            </w:r>
          </w:p>
        </w:tc>
        <w:tc>
          <w:tcPr>
            <w:tcW w:w="2126" w:type="dxa"/>
            <w:tcBorders>
              <w:bottom w:val="single" w:color="000000" w:sz="12" w:space="0"/>
            </w:tcBorders>
          </w:tcPr>
          <w:p w14:paraId="0E22A84A">
            <w:pPr>
              <w:spacing w:before="40" w:after="40" w:line="240" w:lineRule="auto"/>
              <w:ind w:firstLine="0"/>
              <w:jc w:val="center"/>
            </w:pPr>
            <w:r>
              <w:rPr>
                <w:rFonts w:ascii="宋体" w:hAnsi="宋体" w:eastAsia="宋体"/>
                <w:b w:val="0"/>
                <w:sz w:val="21"/>
              </w:rPr>
              <w:t>-25%</w:t>
            </w:r>
          </w:p>
        </w:tc>
        <w:tc>
          <w:tcPr>
            <w:tcW w:w="2126" w:type="dxa"/>
            <w:tcBorders>
              <w:bottom w:val="single" w:color="000000" w:sz="12" w:space="0"/>
            </w:tcBorders>
          </w:tcPr>
          <w:p w14:paraId="21D0A504">
            <w:pPr>
              <w:spacing w:before="40" w:after="40" w:line="240" w:lineRule="auto"/>
              <w:ind w:firstLine="0"/>
              <w:jc w:val="center"/>
            </w:pPr>
            <w:r>
              <w:rPr>
                <w:rFonts w:ascii="宋体" w:hAnsi="宋体" w:eastAsia="宋体"/>
                <w:b w:val="0"/>
                <w:sz w:val="21"/>
              </w:rPr>
              <w:t>-45%</w:t>
            </w:r>
          </w:p>
        </w:tc>
        <w:tc>
          <w:tcPr>
            <w:tcW w:w="2126" w:type="dxa"/>
            <w:tcBorders>
              <w:bottom w:val="single" w:color="000000" w:sz="12" w:space="0"/>
            </w:tcBorders>
          </w:tcPr>
          <w:p w14:paraId="5E967862">
            <w:pPr>
              <w:spacing w:before="40" w:after="40" w:line="240" w:lineRule="auto"/>
              <w:ind w:firstLine="0"/>
              <w:jc w:val="center"/>
            </w:pPr>
            <w:r>
              <w:rPr>
                <w:rFonts w:ascii="宋体" w:hAnsi="宋体" w:eastAsia="宋体"/>
                <w:b w:val="0"/>
                <w:sz w:val="21"/>
              </w:rPr>
              <w:t>-60%</w:t>
            </w:r>
          </w:p>
        </w:tc>
      </w:tr>
    </w:tbl>
    <w:p w14:paraId="2BC3B6A8">
      <w:pPr>
        <w:spacing w:after="0"/>
        <w:ind w:firstLine="0"/>
      </w:pPr>
    </w:p>
    <w:p w14:paraId="7FBC7F68">
      <w:pPr>
        <w:spacing w:after="0" w:line="360" w:lineRule="auto"/>
        <w:ind w:firstLine="480"/>
        <w:jc w:val="both"/>
      </w:pPr>
      <w:r>
        <w:rPr>
          <w:rFonts w:ascii="宋体" w:hAnsi="宋体" w:eastAsia="宋体"/>
          <w:b w:val="0"/>
          <w:sz w:val="24"/>
        </w:rPr>
        <w:t>注：表中数值为情景假设参数（相对基线的变化率），非实测值。</w:t>
      </w:r>
    </w:p>
    <w:p w14:paraId="6945F481">
      <w:pPr>
        <w:spacing w:after="0" w:line="360" w:lineRule="auto"/>
        <w:ind w:firstLine="480"/>
        <w:jc w:val="both"/>
      </w:pPr>
      <w:r>
        <w:rPr>
          <w:rFonts w:ascii="宋体" w:hAnsi="宋体" w:eastAsia="宋体"/>
          <w:b w:val="0"/>
          <w:sz w:val="24"/>
        </w:rPr>
        <w:t>按上述参数测算，基准情景下流程周期缩短约15%，清标环节耗时下降约32%，文件返工轮次下降约40%，人工数据搬运次数下降约45%；保守情景下四项指标分别下降约8%、18%、20%、25%；乐观情景下分别下降约22%、45%、55%、60%。结果如图6-2所示。</w:t>
      </w:r>
    </w:p>
    <w:p w14:paraId="004CA14F">
      <w:pPr>
        <w:spacing w:after="0" w:line="360" w:lineRule="auto"/>
        <w:ind w:firstLine="480"/>
        <w:jc w:val="both"/>
      </w:pPr>
      <w:r>
        <w:rPr>
          <w:rFonts w:ascii="宋体" w:hAnsi="宋体" w:eastAsia="宋体"/>
          <w:b w:val="0"/>
          <w:sz w:val="24"/>
        </w:rPr>
        <w:t>将实测结果与情景测算对照可见：基准情景假设流程周期下降15%，而实测下降约26%；基准情景假设清标耗时下降32%，而实测由约3个工作日降至约20分钟，降幅远高于情景假设。这说明本文的情景参数设定偏保守，实测效果在方向上与情景测算一致、在幅度上优于基准情景。返工轮次与人工搬运因缺少上线前统计，仍以情景测算呈现：若按下降40%测算，政府采购类项目由约2.2次降至约1.3次、部队及武警类由约3.0次降至约1.8次；人工搬运由上线后的5次进一步下降。上述为测算值，需在全面推广后以平台记录验证。</w:t>
      </w:r>
    </w:p>
    <w:p w14:paraId="02821BFA">
      <w:pPr>
        <w:spacing w:before="160" w:after="60" w:line="240" w:lineRule="auto"/>
        <w:ind w:firstLine="0"/>
        <w:jc w:val="center"/>
      </w:pPr>
      <w:r>
        <w:drawing>
          <wp:inline distT="0" distB="0" distL="114300" distR="114300">
            <wp:extent cx="5399405" cy="2289175"/>
            <wp:effectExtent l="0" t="0" r="10795" b="12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00000" cy="2289479"/>
                    </a:xfrm>
                    <a:prstGeom prst="rect">
                      <a:avLst/>
                    </a:prstGeom>
                  </pic:spPr>
                </pic:pic>
              </a:graphicData>
            </a:graphic>
          </wp:inline>
        </w:drawing>
      </w:r>
    </w:p>
    <w:p w14:paraId="04CFAA86">
      <w:pPr>
        <w:spacing w:after="160" w:line="240" w:lineRule="auto"/>
        <w:ind w:firstLine="0"/>
        <w:jc w:val="center"/>
      </w:pPr>
      <w:r>
        <w:rPr>
          <w:rFonts w:ascii="宋体" w:hAnsi="宋体" w:eastAsia="宋体"/>
          <w:b/>
          <w:sz w:val="21"/>
        </w:rPr>
        <w:t>图6-2 三情景下的指标变化与流程综合指数</w:t>
      </w:r>
    </w:p>
    <w:p w14:paraId="4F64D448">
      <w:pPr>
        <w:spacing w:after="200" w:line="240" w:lineRule="auto"/>
        <w:ind w:firstLine="0"/>
        <w:jc w:val="center"/>
      </w:pPr>
      <w:r>
        <w:rPr>
          <w:rFonts w:ascii="宋体" w:hAnsi="宋体" w:eastAsia="宋体"/>
          <w:b w:val="0"/>
          <w:color w:val="595959"/>
          <w:sz w:val="17"/>
        </w:rPr>
        <w:t>注：测算值，非实测值；综合指数采用等权标准化合成，情景参数敏感性见6.5节。</w:t>
      </w:r>
    </w:p>
    <w:p w14:paraId="76E02419">
      <w:pPr>
        <w:spacing w:after="0" w:line="360" w:lineRule="auto"/>
        <w:ind w:firstLine="480"/>
        <w:jc w:val="both"/>
      </w:pPr>
      <w:r>
        <w:rPr>
          <w:rFonts w:ascii="宋体" w:hAnsi="宋体" w:eastAsia="宋体"/>
          <w:b w:val="0"/>
          <w:sz w:val="24"/>
        </w:rPr>
        <w:t>进一步将四项指标按等权标准化合成流程综合指数（以再造前为100）：基准情景下四项指标降幅分别为15%、32%、40%与45%，等权合成后综合指数降至67.0，即整体流程效率提升约33.0%；保守与乐观情景分别降至82.3与54.5。若以“再造前后指标对比”的方式呈现，情景测算结果如图6-3所示，实测对比见图6-5。</w:t>
      </w:r>
    </w:p>
    <w:p w14:paraId="1D157ED2">
      <w:pPr>
        <w:spacing w:before="160" w:after="60" w:line="240" w:lineRule="auto"/>
        <w:ind w:firstLine="0"/>
        <w:jc w:val="center"/>
      </w:pPr>
      <w:r>
        <w:drawing>
          <wp:inline distT="0" distB="0" distL="114300" distR="114300">
            <wp:extent cx="5039995" cy="2439670"/>
            <wp:effectExtent l="0" t="0" r="4445"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040000" cy="2440137"/>
                    </a:xfrm>
                    <a:prstGeom prst="rect">
                      <a:avLst/>
                    </a:prstGeom>
                  </pic:spPr>
                </pic:pic>
              </a:graphicData>
            </a:graphic>
          </wp:inline>
        </w:drawing>
      </w:r>
    </w:p>
    <w:p w14:paraId="104EFE4C">
      <w:pPr>
        <w:spacing w:after="160" w:line="240" w:lineRule="auto"/>
        <w:ind w:firstLine="0"/>
        <w:jc w:val="center"/>
      </w:pPr>
      <w:r>
        <w:rPr>
          <w:rFonts w:ascii="宋体" w:hAnsi="宋体" w:eastAsia="宋体"/>
          <w:b/>
          <w:sz w:val="21"/>
        </w:rPr>
        <w:t>图6-3 再造前后四项关键指标的对比（AS-IS=100）</w:t>
      </w:r>
    </w:p>
    <w:p w14:paraId="3832358D">
      <w:pPr>
        <w:spacing w:after="200" w:line="240" w:lineRule="auto"/>
        <w:ind w:firstLine="0"/>
        <w:jc w:val="center"/>
      </w:pPr>
      <w:r>
        <w:rPr>
          <w:rFonts w:ascii="宋体" w:hAnsi="宋体" w:eastAsia="宋体"/>
          <w:b w:val="0"/>
          <w:color w:val="595959"/>
          <w:sz w:val="17"/>
        </w:rPr>
        <w:t>注：目标值据本章表6-2情景参数测算得出，为测算值，非实测值。</w:t>
      </w:r>
    </w:p>
    <w:p w14:paraId="5F9DF065">
      <w:pPr>
        <w:pStyle w:val="4"/>
      </w:pPr>
      <w:bookmarkStart w:id="50" w:name="_Toc32232"/>
      <w:r>
        <w:t>6.5 敏感性分析与讨论</w:t>
      </w:r>
      <w:bookmarkEnd w:id="50"/>
    </w:p>
    <w:p w14:paraId="4ED65933">
      <w:pPr>
        <w:spacing w:after="0" w:line="360" w:lineRule="auto"/>
        <w:ind w:firstLine="480"/>
        <w:jc w:val="both"/>
      </w:pPr>
      <w:r>
        <w:rPr>
          <w:rFonts w:ascii="宋体" w:hAnsi="宋体" w:eastAsia="宋体"/>
          <w:b w:val="0"/>
          <w:sz w:val="24"/>
        </w:rPr>
        <w:t>敏感性分析从三方面展开。第一，情景参数敏感性。将四项指标的变化率由基准情景分别切换至保守情景与乐观情景，综合指数的变动方向不变，三种情景的排序保持稳定（82.3、67.0、54.5），说明结论方向对参数设定不敏感，但具体幅度需以实测为准。</w:t>
      </w:r>
    </w:p>
    <w:p w14:paraId="085D05E4">
      <w:pPr>
        <w:spacing w:after="0" w:line="360" w:lineRule="auto"/>
        <w:ind w:firstLine="480"/>
        <w:jc w:val="both"/>
      </w:pPr>
      <w:r>
        <w:rPr>
          <w:rFonts w:ascii="宋体" w:hAnsi="宋体" w:eastAsia="宋体"/>
          <w:b w:val="0"/>
          <w:sz w:val="24"/>
        </w:rPr>
        <w:t>第二，权重与合成方法。本文情景测算采用等权合成，未引入主观赋权；由于指标数量有限，权重变化对排序的影响主要体现在数值幅度而非方向，故本文不对权重扰动作精确区间断言，留待实测阶段以组合赋权方法检验。</w:t>
      </w:r>
    </w:p>
    <w:p w14:paraId="01E30112">
      <w:pPr>
        <w:spacing w:after="0" w:line="360" w:lineRule="auto"/>
        <w:ind w:firstLine="480"/>
        <w:jc w:val="both"/>
      </w:pPr>
      <w:r>
        <w:rPr>
          <w:rFonts w:ascii="宋体" w:hAnsi="宋体" w:eastAsia="宋体"/>
          <w:b w:val="0"/>
          <w:sz w:val="24"/>
        </w:rPr>
        <w:t>第三，指标选择偏差讨论。本文选择的指标偏向“可测量”与“可归因”，可能低估了难以量化的收益，例如知识沉淀带来的长期能力提升、过程留痕带来的合规风险下降。同时也可能高估了短期效率收益，因为工具替代人工的初期存在学习成本。这些偏差在方向上是相反的，一定程度上相互抵消，但不能完全消除。</w:t>
      </w:r>
    </w:p>
    <w:p w14:paraId="7D296E84">
      <w:pPr>
        <w:spacing w:after="0" w:line="360" w:lineRule="auto"/>
        <w:ind w:firstLine="480"/>
        <w:jc w:val="both"/>
      </w:pPr>
      <w:r>
        <w:rPr>
          <w:rFonts w:ascii="宋体" w:hAnsi="宋体" w:eastAsia="宋体"/>
          <w:b w:val="0"/>
          <w:sz w:val="24"/>
        </w:rPr>
        <w:t>从管理学含义看，测算结果支持三个判断：其一，流程数字化的收益主要来自“重复性劳动的替代”与“等待时间的压缩”，而非专业判断本身的自动化；其二，流程对象化带来的“可测量性”提升，其价值可能不低于效率提升本身，因为它使持续改进成为可能；其三，再造效果的实现高度依赖组织配套，若绩效与培训不同步，系统收益会被显著稀释。这与业务流程再造理论强调“根本性反思”而非“技术叠加”的主张一致，也印证了动态能力理论关于“感知—抓取—重构”需协同的观点。</w:t>
      </w:r>
    </w:p>
    <w:p w14:paraId="7EBC553A">
      <w:pPr>
        <w:pStyle w:val="4"/>
      </w:pPr>
      <w:bookmarkStart w:id="51" w:name="_Toc21411"/>
      <w:r>
        <w:t>6.6 本章小结</w:t>
      </w:r>
      <w:bookmarkEnd w:id="51"/>
    </w:p>
    <w:p w14:paraId="601B5A7E">
      <w:pPr>
        <w:spacing w:after="0" w:line="360" w:lineRule="auto"/>
        <w:ind w:firstLine="480"/>
        <w:jc w:val="both"/>
      </w:pPr>
      <w:r>
        <w:rPr>
          <w:rFonts w:ascii="宋体" w:hAnsi="宋体" w:eastAsia="宋体"/>
          <w:b w:val="0"/>
          <w:sz w:val="24"/>
        </w:rPr>
        <w:t>本章构建了包含5个准则、17项指标的再造效果评价体系，并给出各项指标的测量口径与数据来源。在企业数据不出内网的约束下，采用“主观证据+客观设计证据+再造前后实测对比+情景测算”的组合策略开展评估：以经许可的前后各12个月聚合数据做实测对比——项目数由约450个增至约570个、平均流程周期由约27天降至约20天（约−26%）、清标环节由约3个工作日降至约20分钟；返工轮次与人工搬运因上线前未建立统计口径，采用情景测算。返工轮次与人工搬运因缺少上线前统计，以情景测算呈现（基准情景下分别下降约40%与45%）；情景测算的综合指数（67.0）仅作方法演示与敏感性参考，不替代实测对比。敏感性分析表明结论方向稳健。本章同时明确区分了“测算值”与“实测值”，并讨论了指标选择偏差，为后续在数据条件改善后开展更严格的实证检验预留了接口。</w:t>
      </w:r>
    </w:p>
    <w:p w14:paraId="32FD092A">
      <w:pPr>
        <w:pStyle w:val="3"/>
        <w:pageBreakBefore/>
      </w:pPr>
      <w:bookmarkStart w:id="52" w:name="_Toc18538"/>
      <w:r>
        <w:t>第7章 结论与展望</w:t>
      </w:r>
      <w:bookmarkEnd w:id="52"/>
    </w:p>
    <w:p w14:paraId="4FAFC43B">
      <w:pPr>
        <w:pStyle w:val="4"/>
      </w:pPr>
      <w:bookmarkStart w:id="53" w:name="_Toc16609"/>
      <w:r>
        <w:t>7.1 研究结论</w:t>
      </w:r>
      <w:bookmarkEnd w:id="53"/>
    </w:p>
    <w:p w14:paraId="4C31FA79">
      <w:pPr>
        <w:spacing w:after="0" w:line="360" w:lineRule="auto"/>
        <w:ind w:firstLine="480"/>
        <w:jc w:val="both"/>
      </w:pPr>
      <w:r>
        <w:rPr>
          <w:rFonts w:ascii="宋体" w:hAnsi="宋体" w:eastAsia="宋体"/>
          <w:b w:val="0"/>
          <w:sz w:val="24"/>
        </w:rPr>
        <w:t>本研究以Z公司为研究对象，围绕工作流程数字化再造这一核心主题，运用文献综述、理论分析、问卷调查、半结构化访谈、设计科学研究以及情景分析等方法，系统考察了公司在数字化转型背景下的工作流程现状、存在问题、成因、系统方案与效果。研究结论主要体现在以下几个方面。</w:t>
      </w:r>
    </w:p>
    <w:p w14:paraId="22BCF3BC">
      <w:pPr>
        <w:spacing w:after="0" w:line="360" w:lineRule="auto"/>
        <w:ind w:firstLine="480"/>
        <w:jc w:val="both"/>
      </w:pPr>
      <w:r>
        <w:rPr>
          <w:rFonts w:ascii="宋体" w:hAnsi="宋体" w:eastAsia="宋体"/>
          <w:b w:val="0"/>
          <w:sz w:val="24"/>
        </w:rPr>
        <w:t>首先，Z公司工作流程数字化转型已取得初步成效，但整体优化空间较大。公司作为招标代理行业的代表性机构，业务规模较大，具备较强的技术与人才基础。调查显示，数字化工具使用率达68.6%，智能作业平台、文档解析与知识库等应用已初步嵌入作业流程，流程标准化程度较高。然而，现状分析同时暴露了多重问题：数字化工具集成度低，满意度均值仅3.2，系统间数据孤岛现象突出；流程节点冗余与时限管控薄弱，成果复核等多级环节造成平均延时2天，资源浪费率约15%，纸质文档使用占比仍达40%；员工数字化意识与技能不足，培训覆盖率仅55%，意识得分均值3.7。这些问题相互交织，不仅降低了运营效率，还制约了公司在数字化服务领域的专业能力与市场竞争力。</w:t>
      </w:r>
    </w:p>
    <w:p w14:paraId="5CB0A3EF">
      <w:pPr>
        <w:spacing w:after="0" w:line="360" w:lineRule="auto"/>
        <w:ind w:firstLine="480"/>
        <w:jc w:val="both"/>
      </w:pPr>
      <w:r>
        <w:rPr>
          <w:rFonts w:ascii="宋体" w:hAnsi="宋体" w:eastAsia="宋体"/>
          <w:b w:val="0"/>
          <w:sz w:val="24"/>
        </w:rPr>
        <w:t>其次，问题成因呈现多维度、系统性特征。内部管理机制滞后是首要因素，层级式决策链条过长、部门协调不畅以及激励机制偏向传统业务量，导致战略执行力不足，直接放大流程冗余与集成缺失。技术基础设施薄弱构成技术瓶颈，早期系统架构与接口能力难以支撑工具集成与流程自动化的需求，分支机构问题更为突出。流程设计与外部标准脱节使原有以风险防控为导向的流程难以适应市场时效与电子招投标要求，冗余环节难以精简。人力资源培训体系不健全则从人文层面固化了问题，培训内容单一、频率不足、针对性弱，导致员工难以掌握数字化工具与流程优化技能。这些成因并非孤立，而是形成相互强化的链条。</w:t>
      </w:r>
    </w:p>
    <w:p w14:paraId="39D38AFE">
      <w:pPr>
        <w:spacing w:after="0" w:line="360" w:lineRule="auto"/>
        <w:ind w:firstLine="480"/>
        <w:jc w:val="both"/>
      </w:pPr>
      <w:r>
        <w:rPr>
          <w:rFonts w:ascii="宋体" w:hAnsi="宋体" w:eastAsia="宋体"/>
          <w:b w:val="0"/>
          <w:sz w:val="24"/>
        </w:rPr>
        <w:t>第三，数字化再造是实现工作流程优化的有效路径。本研究基于业务流程再造理论、TOE框架以及动态能力理论，提出并实现了以数字化工作活动平台为核心的再造方案：以五级流程对象承载全周期追踪，以文档解析、清标辅助、风险识别、合规检查、知识检索等模块替代重复性人工劳动，以私有化部署与全程审计满足合规要求。方案不仅回答了“应该怎么做”，还给出了“系统如何承载”的具体设计，使流程再造从管理倡议转化为可运行的技术方案。</w:t>
      </w:r>
    </w:p>
    <w:p w14:paraId="4E5A180C">
      <w:pPr>
        <w:spacing w:after="0" w:line="360" w:lineRule="auto"/>
        <w:ind w:firstLine="480"/>
        <w:jc w:val="both"/>
      </w:pPr>
      <w:r>
        <w:rPr>
          <w:rFonts w:ascii="宋体" w:hAnsi="宋体" w:eastAsia="宋体"/>
          <w:b w:val="0"/>
          <w:sz w:val="24"/>
        </w:rPr>
        <w:t>第四，再造前后实测数据显示：项目数由约450个增至约570个，平均流程周期由约27天降至约20天（约−26%），清标环节由约3个工作日降至约20分钟；返工轮次与人工数据搬运因上线前未建立统计口径，按情景测算基准情景分别下降约40%与45%。实测降幅总体优于基准情景假设，表明情景测算偏保守；敏感性分析表明结论方向稳健。研究同时表明，再造效果的实现高度依赖组织配套改革，绩效与培训不同步会显著稀释系统收益。</w:t>
      </w:r>
    </w:p>
    <w:p w14:paraId="0E56659B">
      <w:pPr>
        <w:spacing w:after="0" w:line="360" w:lineRule="auto"/>
        <w:ind w:firstLine="480"/>
        <w:jc w:val="both"/>
      </w:pPr>
      <w:r>
        <w:rPr>
          <w:rFonts w:ascii="宋体" w:hAnsi="宋体" w:eastAsia="宋体"/>
          <w:b w:val="0"/>
          <w:sz w:val="24"/>
        </w:rPr>
        <w:t>总体而言，本研究验证了数字化转型对Z公司运营效率的赋能作用，并在招标代理这一知识密集型专业服务行业提供了案例支撑。Z公司案例表明，专业服务机构通过工作流程的数字化再造，不仅能解决内部效率与合规问题，还可为客户提供高质量专业支持，进而贡献国家数字化转型战略目标的实现。</w:t>
      </w:r>
    </w:p>
    <w:p w14:paraId="78D73AAA">
      <w:pPr>
        <w:pStyle w:val="4"/>
      </w:pPr>
      <w:bookmarkStart w:id="54" w:name="_Toc26887"/>
      <w:r>
        <w:t>7.2 研究局限与展望</w:t>
      </w:r>
      <w:bookmarkEnd w:id="54"/>
    </w:p>
    <w:p w14:paraId="0177E177">
      <w:pPr>
        <w:spacing w:after="0" w:line="360" w:lineRule="auto"/>
        <w:ind w:firstLine="480"/>
        <w:jc w:val="both"/>
      </w:pPr>
      <w:r>
        <w:rPr>
          <w:rFonts w:ascii="宋体" w:hAnsi="宋体" w:eastAsia="宋体"/>
          <w:b w:val="0"/>
          <w:sz w:val="24"/>
        </w:rPr>
        <w:t>尽管本研究取得了阶段性成果，但受研究条件、数据获取以及作者水平限制，仍存在不足之处，为后续研究提供了进一步拓展的空间。</w:t>
      </w:r>
    </w:p>
    <w:p w14:paraId="3951B4B8">
      <w:pPr>
        <w:spacing w:after="0" w:line="360" w:lineRule="auto"/>
        <w:ind w:firstLine="480"/>
        <w:jc w:val="both"/>
      </w:pPr>
      <w:r>
        <w:rPr>
          <w:rFonts w:ascii="宋体" w:hAnsi="宋体" w:eastAsia="宋体"/>
          <w:b w:val="0"/>
          <w:sz w:val="24"/>
        </w:rPr>
        <w:t>首先，本研究以Z公司单一案例为主，虽然该公司具有较强的行业代表性，但结论的普适性仍有待验证。未来研究可扩展至多家招标代理机构或其他专业服务行业，开展多案例比较或大样本实证分析，考察不同规模、区域企业的异同，构建更具一般性的优化模型。同时，可引入纵向追踪设计，对实施对策后的企业进行长期观测，评估数字化再造的动态效果与长期绩效。</w:t>
      </w:r>
    </w:p>
    <w:p w14:paraId="512EB3B8">
      <w:pPr>
        <w:spacing w:after="0" w:line="360" w:lineRule="auto"/>
        <w:ind w:firstLine="480"/>
        <w:jc w:val="both"/>
      </w:pPr>
      <w:r>
        <w:rPr>
          <w:rFonts w:ascii="宋体" w:hAnsi="宋体" w:eastAsia="宋体"/>
          <w:b w:val="0"/>
          <w:sz w:val="24"/>
        </w:rPr>
        <w:t>其次，在研究方法上，受企业数据治理约束，本研究仅能使用经聚合与模糊化处理的年度汇总数据：无法获得逐项目明细，故未能开展显著性检验；返工轮次与人工搬运的上线前数据未建立统计口径，只能以情景测算补充；业务量增长约26.7%与业务结构变化也可能对周期对比产生混杂影响。上述局限在客观上削弱了因果推断的强度，后续可在数据脱敏与联合分析机制下采用中断时间序列或双重差分方法进一步检验。这一局限在客观上削弱了结论的实证强度。未来若能在合规框架下建立数据脱敏与联合分析机制，可采用中断时间序列、双重差分等方法开展严格的因果推断。本文已给出各项指标的测量口径与数据来源，为后续实证预留了接口。</w:t>
      </w:r>
    </w:p>
    <w:p w14:paraId="11E2EC8C">
      <w:pPr>
        <w:spacing w:after="0" w:line="360" w:lineRule="auto"/>
        <w:ind w:firstLine="480"/>
        <w:jc w:val="both"/>
      </w:pPr>
      <w:r>
        <w:rPr>
          <w:rFonts w:ascii="宋体" w:hAnsi="宋体" w:eastAsia="宋体"/>
          <w:b w:val="0"/>
          <w:sz w:val="24"/>
        </w:rPr>
        <w:t>第三，在理论深化方面，本研究主要运用业务流程再造理论、TOE框架与动态能力理论，未来可进一步整合资源依赖理论或制度理论，构建多理论融合框架，揭示数字化转型对运营效率的中介机制与调节变量。例如，探讨管理层认知或外部监管压力在其中的作用路径。同时，可关注新兴议题，如大模型在专业判断辅助中的可靠性与责任边界、数据要素市场化背景下招标代理机构的服务模式创新。</w:t>
      </w:r>
    </w:p>
    <w:p w14:paraId="42186B27">
      <w:pPr>
        <w:spacing w:after="0" w:line="360" w:lineRule="auto"/>
        <w:ind w:firstLine="480"/>
        <w:jc w:val="both"/>
      </w:pPr>
      <w:r>
        <w:rPr>
          <w:rFonts w:ascii="宋体" w:hAnsi="宋体" w:eastAsia="宋体"/>
          <w:b w:val="0"/>
          <w:sz w:val="24"/>
        </w:rPr>
        <w:t>最后，从实践导向看，后续研究应加强与企业的深度合作，推动方案落地并总结实施经验。招标代理行业正处于数字化的关键期，未来研究可聚焦行业数据接口标准、过程留痕规范或政策建议，为监管部门提供决策参考，最终推动全行业向高效、智能方向转型。</w:t>
      </w:r>
    </w:p>
    <w:p w14:paraId="1255CE21">
      <w:pPr>
        <w:pStyle w:val="3"/>
        <w:pageBreakBefore/>
      </w:pPr>
      <w:bookmarkStart w:id="55" w:name="_Toc14886"/>
      <w:r>
        <w:t>参考文献</w:t>
      </w:r>
      <w:bookmarkEnd w:id="55"/>
    </w:p>
    <w:p w14:paraId="72BB6A50">
      <w:pPr>
        <w:spacing w:after="40" w:line="312" w:lineRule="auto"/>
        <w:ind w:left="420" w:hanging="420"/>
        <w:jc w:val="both"/>
      </w:pPr>
      <w:r>
        <w:rPr>
          <w:rFonts w:ascii="宋体" w:hAnsi="宋体" w:eastAsia="宋体"/>
          <w:b w:val="0"/>
          <w:sz w:val="21"/>
        </w:rPr>
        <w:t>[1] 国务院办公厅. 国务院办公厅关于创新完善体制机制推动招标投标市场规范健康发展的意见: 国办发〔2024〕21号[A/OL]. (2024-05-08)[2026-10-20]. https://www.gov.cn/zhengce/zhengceku/202405/content_6949846.htm.</w:t>
      </w:r>
    </w:p>
    <w:p w14:paraId="588FD1BD">
      <w:pPr>
        <w:spacing w:after="40" w:line="312" w:lineRule="auto"/>
        <w:ind w:left="420" w:hanging="420"/>
        <w:jc w:val="both"/>
      </w:pPr>
      <w:r>
        <w:rPr>
          <w:rFonts w:ascii="宋体" w:hAnsi="宋体" w:eastAsia="宋体"/>
          <w:b w:val="0"/>
          <w:sz w:val="21"/>
        </w:rPr>
        <w:t>[2] 国家发展改革委, 工业和信息化部, 住房和城乡建设部, 等. 招标投标领域公平竞争审查规则: 2024年第16号令[A/OL]. (2024-03-25)[2026-10-20]. https://www.gov.cn/gongbao/2024/issue_11346/202405/content_6951525.html.</w:t>
      </w:r>
    </w:p>
    <w:p w14:paraId="189524DE">
      <w:pPr>
        <w:spacing w:after="40" w:line="312" w:lineRule="auto"/>
        <w:ind w:left="420" w:hanging="420"/>
        <w:jc w:val="both"/>
      </w:pPr>
      <w:r>
        <w:rPr>
          <w:rFonts w:ascii="宋体" w:hAnsi="宋体" w:eastAsia="宋体"/>
          <w:b w:val="0"/>
          <w:sz w:val="21"/>
        </w:rPr>
        <w:t>[3] Hammer M. Reengineering work: don't automate, obliterate[J]. Harvard Business Review, 1990, 68(4): 104-112.</w:t>
      </w:r>
    </w:p>
    <w:p w14:paraId="7A0C2DC8">
      <w:pPr>
        <w:spacing w:after="40" w:line="312" w:lineRule="auto"/>
        <w:ind w:left="420" w:hanging="420"/>
        <w:jc w:val="both"/>
      </w:pPr>
      <w:r>
        <w:rPr>
          <w:rFonts w:ascii="宋体" w:hAnsi="宋体" w:eastAsia="宋体"/>
          <w:b w:val="0"/>
          <w:sz w:val="21"/>
        </w:rPr>
        <w:t>[4] Hammer M, Champy J. Reengineering the Corporation: A Manifesto for Business Revolution[M]. New York: HarperBusiness, 1993.</w:t>
      </w:r>
    </w:p>
    <w:p w14:paraId="7A02DF04">
      <w:pPr>
        <w:spacing w:after="40" w:line="312" w:lineRule="auto"/>
        <w:ind w:left="420" w:hanging="420"/>
        <w:jc w:val="both"/>
      </w:pPr>
      <w:r>
        <w:rPr>
          <w:rFonts w:ascii="宋体" w:hAnsi="宋体" w:eastAsia="宋体"/>
          <w:b w:val="0"/>
          <w:sz w:val="21"/>
        </w:rPr>
        <w:t>[5] Davenport T H, Short J E. The new industrial engineering: information technology and business process redesign[J]. Sloan Management Review, 1990, 31(4): 11-27.</w:t>
      </w:r>
    </w:p>
    <w:p w14:paraId="66100BBC">
      <w:pPr>
        <w:spacing w:after="40" w:line="312" w:lineRule="auto"/>
        <w:ind w:left="420" w:hanging="420"/>
        <w:jc w:val="both"/>
      </w:pPr>
      <w:r>
        <w:rPr>
          <w:rFonts w:ascii="宋体" w:hAnsi="宋体" w:eastAsia="宋体"/>
          <w:b w:val="0"/>
          <w:sz w:val="21"/>
        </w:rPr>
        <w:t>[6] 梅绍祖, Teng J T C. 流程再造：理论、方法和技术[M]. 北京: 清华大学出版社, 2004.</w:t>
      </w:r>
    </w:p>
    <w:p w14:paraId="7D0C412F">
      <w:pPr>
        <w:spacing w:after="40" w:line="312" w:lineRule="auto"/>
        <w:ind w:left="420" w:hanging="420"/>
        <w:jc w:val="both"/>
      </w:pPr>
      <w:r>
        <w:rPr>
          <w:rFonts w:ascii="宋体" w:hAnsi="宋体" w:eastAsia="宋体"/>
          <w:b w:val="0"/>
          <w:sz w:val="21"/>
        </w:rPr>
        <w:t>[7] Wang C N, Vo T T B C, Hsu H P, et al. Improving processing efficiency through workflow process reengineering, simulation and value stream mapping: a case study of business process reengineering[J]. Business Process Management Journal, 2024, 30(7): 2482-2515.</w:t>
      </w:r>
    </w:p>
    <w:p w14:paraId="59B837EC">
      <w:pPr>
        <w:spacing w:after="40" w:line="312" w:lineRule="auto"/>
        <w:ind w:left="420" w:hanging="420"/>
        <w:jc w:val="both"/>
      </w:pPr>
      <w:r>
        <w:rPr>
          <w:rFonts w:ascii="宋体" w:hAnsi="宋体" w:eastAsia="宋体"/>
          <w:b w:val="0"/>
          <w:sz w:val="21"/>
        </w:rPr>
        <w:t>[8] Grant D. Business analysis techniques in business reengineering[J]. Business Process Management Journal, 2016, 22(1): 75-88.</w:t>
      </w:r>
    </w:p>
    <w:p w14:paraId="73B48790">
      <w:pPr>
        <w:spacing w:after="40" w:line="312" w:lineRule="auto"/>
        <w:ind w:left="420" w:hanging="420"/>
        <w:jc w:val="both"/>
      </w:pPr>
      <w:r>
        <w:rPr>
          <w:rFonts w:ascii="宋体" w:hAnsi="宋体" w:eastAsia="宋体"/>
          <w:b w:val="0"/>
          <w:sz w:val="21"/>
        </w:rPr>
        <w:t>[9] 范良松. 基于ESIA法的城轨企业网上比价流程优化[J]. 招标采购管理, 2023(6): 59-60.</w:t>
      </w:r>
    </w:p>
    <w:p w14:paraId="5ADE02B2">
      <w:pPr>
        <w:spacing w:after="40" w:line="312" w:lineRule="auto"/>
        <w:ind w:left="420" w:hanging="420"/>
        <w:jc w:val="both"/>
      </w:pPr>
      <w:r>
        <w:rPr>
          <w:rFonts w:ascii="宋体" w:hAnsi="宋体" w:eastAsia="宋体"/>
          <w:b w:val="0"/>
          <w:sz w:val="21"/>
        </w:rPr>
        <w:t>[10] 赵南. 建设工程项目招标流程优化与效果评价研究[J]. 中国招标, 2025(1): 159-161.</w:t>
      </w:r>
    </w:p>
    <w:p w14:paraId="40D94088">
      <w:pPr>
        <w:spacing w:after="40" w:line="312" w:lineRule="auto"/>
        <w:ind w:left="420" w:hanging="420"/>
        <w:jc w:val="both"/>
      </w:pPr>
      <w:r>
        <w:rPr>
          <w:rFonts w:ascii="宋体" w:hAnsi="宋体" w:eastAsia="宋体"/>
          <w:b w:val="0"/>
          <w:sz w:val="21"/>
        </w:rPr>
        <w:t>[11] 凤晓星. 从流程优化角度看招标业务管理的信息化建设[J]. 中国招标, 2025(3): 110-112.</w:t>
      </w:r>
    </w:p>
    <w:p w14:paraId="0BF6367B">
      <w:pPr>
        <w:spacing w:after="40" w:line="312" w:lineRule="auto"/>
        <w:ind w:left="420" w:hanging="420"/>
        <w:jc w:val="both"/>
      </w:pPr>
      <w:r>
        <w:rPr>
          <w:rFonts w:ascii="宋体" w:hAnsi="宋体" w:eastAsia="宋体"/>
          <w:b w:val="0"/>
          <w:sz w:val="21"/>
        </w:rPr>
        <w:t>[12] 汤广城. 基于全流程电子招投标的EPC项目研究[J]. 中国招标, 2024(11): 151-153.</w:t>
      </w:r>
    </w:p>
    <w:p w14:paraId="4C5A5B8C">
      <w:pPr>
        <w:spacing w:after="40" w:line="312" w:lineRule="auto"/>
        <w:ind w:left="420" w:hanging="420"/>
        <w:jc w:val="both"/>
      </w:pPr>
      <w:r>
        <w:rPr>
          <w:rFonts w:ascii="宋体" w:hAnsi="宋体" w:eastAsia="宋体"/>
          <w:b w:val="0"/>
          <w:sz w:val="21"/>
        </w:rPr>
        <w:t>[13] 应蕾. 交通运输工程全流程电子招投标的应用研究[J]. 中国物流与采购, 2024(12): 107-108.</w:t>
      </w:r>
    </w:p>
    <w:p w14:paraId="46229CF7">
      <w:pPr>
        <w:spacing w:after="40" w:line="312" w:lineRule="auto"/>
        <w:ind w:left="420" w:hanging="420"/>
        <w:jc w:val="both"/>
      </w:pPr>
      <w:r>
        <w:rPr>
          <w:rFonts w:ascii="宋体" w:hAnsi="宋体" w:eastAsia="宋体"/>
          <w:b w:val="0"/>
          <w:sz w:val="21"/>
        </w:rPr>
        <w:t>[14] 汤骏. 公共资源交易全流程电子化服务能力评价标准研究[J]. 中国招标, 2025(2): 84-89.</w:t>
      </w:r>
    </w:p>
    <w:p w14:paraId="090339C0">
      <w:pPr>
        <w:spacing w:after="40" w:line="312" w:lineRule="auto"/>
        <w:ind w:left="420" w:hanging="420"/>
        <w:jc w:val="both"/>
      </w:pPr>
      <w:r>
        <w:rPr>
          <w:rFonts w:ascii="宋体" w:hAnsi="宋体" w:eastAsia="宋体"/>
          <w:b w:val="0"/>
          <w:sz w:val="21"/>
        </w:rPr>
        <w:t>[15] 杨巍. 基于信息化系统的招标代理机构流程优化研究[J]. 中国招标, 2024(12): 136-139.</w:t>
      </w:r>
    </w:p>
    <w:p w14:paraId="4D74A88B">
      <w:pPr>
        <w:spacing w:after="40" w:line="312" w:lineRule="auto"/>
        <w:ind w:left="420" w:hanging="420"/>
        <w:jc w:val="both"/>
      </w:pPr>
      <w:r>
        <w:rPr>
          <w:rFonts w:ascii="宋体" w:hAnsi="宋体" w:eastAsia="宋体"/>
          <w:b w:val="0"/>
          <w:sz w:val="21"/>
        </w:rPr>
        <w:t>[16] 章丽莉. 招标代理行业的数字化转型与智能化升级研究[J]. 改革与开放, 2024(18): 68-75.</w:t>
      </w:r>
    </w:p>
    <w:p w14:paraId="7145F917">
      <w:pPr>
        <w:spacing w:after="40" w:line="312" w:lineRule="auto"/>
        <w:ind w:left="420" w:hanging="420"/>
        <w:jc w:val="both"/>
      </w:pPr>
      <w:r>
        <w:rPr>
          <w:rFonts w:ascii="宋体" w:hAnsi="宋体" w:eastAsia="宋体"/>
          <w:b w:val="0"/>
          <w:sz w:val="21"/>
        </w:rPr>
        <w:t>[17] 李鹏. 信息化时代招标代理行业发展研究[J]. 中国招标, 2024(6): 146-148.</w:t>
      </w:r>
    </w:p>
    <w:p w14:paraId="7A728B08">
      <w:pPr>
        <w:spacing w:after="40" w:line="312" w:lineRule="auto"/>
        <w:ind w:left="420" w:hanging="420"/>
        <w:jc w:val="both"/>
      </w:pPr>
      <w:r>
        <w:rPr>
          <w:rFonts w:ascii="宋体" w:hAnsi="宋体" w:eastAsia="宋体"/>
          <w:b w:val="0"/>
          <w:sz w:val="21"/>
        </w:rPr>
        <w:t>[18] 王蒙. 招标采购数字化转型探讨——以中招国际招标有限公司为例[J]. 招标采购管理, 2023(11): 33-35.</w:t>
      </w:r>
    </w:p>
    <w:p w14:paraId="4B031D27">
      <w:pPr>
        <w:spacing w:after="40" w:line="312" w:lineRule="auto"/>
        <w:ind w:left="420" w:hanging="420"/>
        <w:jc w:val="both"/>
      </w:pPr>
      <w:r>
        <w:rPr>
          <w:rFonts w:ascii="宋体" w:hAnsi="宋体" w:eastAsia="宋体"/>
          <w:b w:val="0"/>
          <w:sz w:val="21"/>
        </w:rPr>
        <w:t>[19] 刘畅, 刘玉州, 景晓路. 招标代理机构质量管理数字化应用探索[J]. 招标采购管理, 2023(12): 26-28.</w:t>
      </w:r>
    </w:p>
    <w:p w14:paraId="66F9B64A">
      <w:pPr>
        <w:spacing w:after="40" w:line="312" w:lineRule="auto"/>
        <w:ind w:left="420" w:hanging="420"/>
        <w:jc w:val="both"/>
      </w:pPr>
      <w:r>
        <w:rPr>
          <w:rFonts w:ascii="宋体" w:hAnsi="宋体" w:eastAsia="宋体"/>
          <w:b w:val="0"/>
          <w:sz w:val="21"/>
        </w:rPr>
        <w:t>[20] 严锋. 供应链视角下招标代理机构招标采购管理优化研究[J]. 中国招标, 2025(4): 94-98.</w:t>
      </w:r>
    </w:p>
    <w:p w14:paraId="13F105EF">
      <w:pPr>
        <w:spacing w:after="40" w:line="312" w:lineRule="auto"/>
        <w:ind w:left="420" w:hanging="420"/>
        <w:jc w:val="both"/>
      </w:pPr>
      <w:r>
        <w:rPr>
          <w:rFonts w:ascii="宋体" w:hAnsi="宋体" w:eastAsia="宋体"/>
          <w:b w:val="0"/>
          <w:sz w:val="21"/>
        </w:rPr>
        <w:t>[21] 范露. 数字化时代招标采购代理业务创新发展策略研究[J]. 天津经济, 2024(10): 42-44.</w:t>
      </w:r>
    </w:p>
    <w:p w14:paraId="698958A8">
      <w:pPr>
        <w:spacing w:after="40" w:line="312" w:lineRule="auto"/>
        <w:ind w:left="420" w:hanging="420"/>
        <w:jc w:val="both"/>
      </w:pPr>
      <w:r>
        <w:rPr>
          <w:rFonts w:ascii="宋体" w:hAnsi="宋体" w:eastAsia="宋体"/>
          <w:b w:val="0"/>
          <w:sz w:val="21"/>
        </w:rPr>
        <w:t>[22] 汪涛. 加快推进政府采购数字化转型 有效助力全国统一大市场建设[J]. 中国政府采购, 2023(12): 42-46.</w:t>
      </w:r>
    </w:p>
    <w:p w14:paraId="5816D074">
      <w:pPr>
        <w:spacing w:after="40" w:line="312" w:lineRule="auto"/>
        <w:ind w:left="420" w:hanging="420"/>
        <w:jc w:val="both"/>
      </w:pPr>
      <w:r>
        <w:rPr>
          <w:rFonts w:ascii="宋体" w:hAnsi="宋体" w:eastAsia="宋体"/>
          <w:b w:val="0"/>
          <w:sz w:val="21"/>
        </w:rPr>
        <w:t>[23] 江顺龙. 数字时代公共资源交易创新发展的实施路径——以广东省为例[J]. 中国招标, 2024(12): 57-61.</w:t>
      </w:r>
    </w:p>
    <w:p w14:paraId="5ABBFAD0">
      <w:pPr>
        <w:spacing w:after="40" w:line="312" w:lineRule="auto"/>
        <w:ind w:left="420" w:hanging="420"/>
        <w:jc w:val="both"/>
      </w:pPr>
      <w:r>
        <w:rPr>
          <w:rFonts w:ascii="宋体" w:hAnsi="宋体" w:eastAsia="宋体"/>
          <w:b w:val="0"/>
          <w:sz w:val="21"/>
        </w:rPr>
        <w:t>[24] Charnor I T, Quartey E K. Electronic procurement adoption and procurement performance: does institutional quality matter?[J]. Business Process Management Journal, 2024, 30(6): 1783-1807.</w:t>
      </w:r>
    </w:p>
    <w:p w14:paraId="1BFF3812">
      <w:pPr>
        <w:spacing w:after="40" w:line="312" w:lineRule="auto"/>
        <w:ind w:left="420" w:hanging="420"/>
        <w:jc w:val="both"/>
      </w:pPr>
      <w:r>
        <w:rPr>
          <w:rFonts w:ascii="宋体" w:hAnsi="宋体" w:eastAsia="宋体"/>
          <w:b w:val="0"/>
          <w:sz w:val="21"/>
        </w:rPr>
        <w:t>[25] Chen Y, Bretschneider S, Stritch J M, et al. E-procurement system adoption in local governments: the role of procurement complexity and organizational structure[J]. Public Management Review, 2022, 24(6): 903-925.</w:t>
      </w:r>
    </w:p>
    <w:p w14:paraId="597220DD">
      <w:pPr>
        <w:spacing w:after="40" w:line="312" w:lineRule="auto"/>
        <w:ind w:left="420" w:hanging="420"/>
        <w:jc w:val="both"/>
      </w:pPr>
      <w:r>
        <w:rPr>
          <w:rFonts w:ascii="宋体" w:hAnsi="宋体" w:eastAsia="宋体"/>
          <w:b w:val="0"/>
          <w:sz w:val="21"/>
        </w:rPr>
        <w:t>[26] Ofori D, Light O, Ankomah J. Adoption intentions of electronic procurement among public sector organisations (PSOs) in Ghana: emerging economy perspective[J]. Journal of Public Procurement, 2023, 23(2): 179-199.</w:t>
      </w:r>
    </w:p>
    <w:p w14:paraId="2D19964B">
      <w:pPr>
        <w:spacing w:after="40" w:line="312" w:lineRule="auto"/>
        <w:ind w:left="420" w:hanging="420"/>
        <w:jc w:val="both"/>
      </w:pPr>
      <w:r>
        <w:rPr>
          <w:rFonts w:ascii="宋体" w:hAnsi="宋体" w:eastAsia="宋体"/>
          <w:b w:val="0"/>
          <w:sz w:val="21"/>
        </w:rPr>
        <w:t>[27] Soong K K, Ahmed E M, Tan K S. Factors influencing Malaysian small and medium enterprises adoption of electronic government procurement[J]. Journal of Public Procurement, 2020, 20(1): 38-61.</w:t>
      </w:r>
    </w:p>
    <w:p w14:paraId="6D0DE6DF">
      <w:pPr>
        <w:spacing w:after="40" w:line="312" w:lineRule="auto"/>
        <w:ind w:left="420" w:hanging="420"/>
        <w:jc w:val="both"/>
      </w:pPr>
      <w:r>
        <w:rPr>
          <w:rFonts w:ascii="宋体" w:hAnsi="宋体" w:eastAsia="宋体"/>
          <w:b w:val="0"/>
          <w:sz w:val="21"/>
        </w:rPr>
        <w:t>[28] Inusah Y, Kazaz A, Ulubeyli S. Barriers to e-tendering implementation in the construction industry: a comprehensive review and analysis of a decade and beyond[J]. Sustainability, 2025, 17(5): 2052.</w:t>
      </w:r>
    </w:p>
    <w:p w14:paraId="5C598C79">
      <w:pPr>
        <w:spacing w:after="40" w:line="312" w:lineRule="auto"/>
        <w:ind w:left="420" w:hanging="420"/>
        <w:jc w:val="both"/>
      </w:pPr>
      <w:r>
        <w:rPr>
          <w:rFonts w:ascii="宋体" w:hAnsi="宋体" w:eastAsia="宋体"/>
          <w:b w:val="0"/>
          <w:sz w:val="21"/>
        </w:rPr>
        <w:t>[29] Klünder T, Dörseln J N, Steven M. Procurement 4.0: how the digital disruption supports cost-reduction in procurement[J]. Production, 2019, 29: e20180104.</w:t>
      </w:r>
    </w:p>
    <w:p w14:paraId="0712E66D">
      <w:pPr>
        <w:spacing w:after="40" w:line="312" w:lineRule="auto"/>
        <w:ind w:left="420" w:hanging="420"/>
        <w:jc w:val="both"/>
      </w:pPr>
      <w:r>
        <w:rPr>
          <w:rFonts w:ascii="宋体" w:hAnsi="宋体" w:eastAsia="宋体"/>
          <w:b w:val="0"/>
          <w:sz w:val="21"/>
        </w:rPr>
        <w:t>[30] Matos B C, Cruz C O, Branco F B. Digitalization and procurement in construction projects: an integrated BIM-based approach[J]. Journal of Information Technology in Construction, 2024, 29: 400-423.</w:t>
      </w:r>
    </w:p>
    <w:p w14:paraId="7BA22723">
      <w:pPr>
        <w:spacing w:after="40" w:line="312" w:lineRule="auto"/>
        <w:ind w:left="420" w:hanging="420"/>
        <w:jc w:val="both"/>
      </w:pPr>
      <w:r>
        <w:rPr>
          <w:rFonts w:ascii="宋体" w:hAnsi="宋体" w:eastAsia="宋体"/>
          <w:b w:val="0"/>
          <w:sz w:val="21"/>
        </w:rPr>
        <w:t>[31] Ishii R. Can e-procurement reduce bid rigging in public auctions?[J]. Journal of Competition Law &amp; Economics, 2022, 18(2): 456-482.</w:t>
      </w:r>
    </w:p>
    <w:p w14:paraId="3486C8DE">
      <w:pPr>
        <w:spacing w:after="40" w:line="312" w:lineRule="auto"/>
        <w:ind w:left="420" w:hanging="420"/>
        <w:jc w:val="both"/>
      </w:pPr>
      <w:r>
        <w:rPr>
          <w:rFonts w:ascii="宋体" w:hAnsi="宋体" w:eastAsia="宋体"/>
          <w:b w:val="0"/>
          <w:sz w:val="21"/>
        </w:rPr>
        <w:t>[32] García Rodríguez M J, Rodríguez-Montequín V, Ballesteros-Pérez P, et al. Collusion detection in public procurement auctions with machine learning algorithms[J]. Automation in Construction, 2022, 133: 104047.</w:t>
      </w:r>
    </w:p>
    <w:p w14:paraId="208F9F1C">
      <w:pPr>
        <w:spacing w:after="40" w:line="312" w:lineRule="auto"/>
        <w:ind w:left="420" w:hanging="420"/>
        <w:jc w:val="both"/>
      </w:pPr>
      <w:r>
        <w:rPr>
          <w:rFonts w:ascii="宋体" w:hAnsi="宋体" w:eastAsia="宋体"/>
          <w:b w:val="0"/>
          <w:sz w:val="21"/>
        </w:rPr>
        <w:t>[33] 杜忠凯. 基于大数据画像技术的围串标行为智能识别与预警[J]. 中国招标, 2025(12): 98-100.</w:t>
      </w:r>
    </w:p>
    <w:p w14:paraId="75027395">
      <w:pPr>
        <w:spacing w:after="40" w:line="312" w:lineRule="auto"/>
        <w:ind w:left="420" w:hanging="420"/>
        <w:jc w:val="both"/>
      </w:pPr>
      <w:r>
        <w:rPr>
          <w:rFonts w:ascii="宋体" w:hAnsi="宋体" w:eastAsia="宋体"/>
          <w:b w:val="0"/>
          <w:sz w:val="21"/>
        </w:rPr>
        <w:t>[34] 孙佳莹. 大数据技术在围标串标识别中的理论分析与应用研究[J]. 招标采购管理, 2025(2): 28-30.</w:t>
      </w:r>
    </w:p>
    <w:p w14:paraId="68DA4F63">
      <w:pPr>
        <w:spacing w:after="40" w:line="312" w:lineRule="auto"/>
        <w:ind w:left="420" w:hanging="420"/>
        <w:jc w:val="both"/>
      </w:pPr>
      <w:r>
        <w:rPr>
          <w:rFonts w:ascii="宋体" w:hAnsi="宋体" w:eastAsia="宋体"/>
          <w:b w:val="0"/>
          <w:sz w:val="21"/>
        </w:rPr>
        <w:t>[35] 赵宇思, 王健. 工程建设项目货物招投标围串标识别模型研究[J]. 招标采购管理, 2023(8): 49-52.</w:t>
      </w:r>
    </w:p>
    <w:p w14:paraId="2E86D282">
      <w:pPr>
        <w:spacing w:after="40" w:line="312" w:lineRule="auto"/>
        <w:ind w:left="420" w:hanging="420"/>
        <w:jc w:val="both"/>
      </w:pPr>
      <w:r>
        <w:rPr>
          <w:rFonts w:ascii="宋体" w:hAnsi="宋体" w:eastAsia="宋体"/>
          <w:b w:val="0"/>
          <w:sz w:val="21"/>
        </w:rPr>
        <w:t>[36] Decarolis F, Giorgiantonio C. Corruption red flags in public procurement: new evidence from Italian calls for tenders[J]. EPJ Data Science, 2022, 11(1): 16.</w:t>
      </w:r>
    </w:p>
    <w:p w14:paraId="3264D83B">
      <w:pPr>
        <w:spacing w:after="40" w:line="312" w:lineRule="auto"/>
        <w:ind w:left="420" w:hanging="420"/>
        <w:jc w:val="both"/>
      </w:pPr>
      <w:r>
        <w:rPr>
          <w:rFonts w:ascii="宋体" w:hAnsi="宋体" w:eastAsia="宋体"/>
          <w:b w:val="0"/>
          <w:sz w:val="21"/>
        </w:rPr>
        <w:t>[37] Fazekas M, Kocsis G. Uncovering high-level corruption: cross-national objective corruption risk indicators using public procurement data[J]. British Journal of Political Science, 2020, 50(1): 155-164.</w:t>
      </w:r>
    </w:p>
    <w:p w14:paraId="1D1130CF">
      <w:pPr>
        <w:spacing w:after="40" w:line="312" w:lineRule="auto"/>
        <w:ind w:left="420" w:hanging="420"/>
        <w:jc w:val="both"/>
      </w:pPr>
      <w:r>
        <w:rPr>
          <w:rFonts w:ascii="宋体" w:hAnsi="宋体" w:eastAsia="宋体"/>
          <w:b w:val="0"/>
          <w:sz w:val="21"/>
        </w:rPr>
        <w:t>[38] Bergman M A. Auditing and compliance in public procurement – an empirical assessment[J]. Journal of Public Procurement, 2023, 23(2): 125-144.</w:t>
      </w:r>
    </w:p>
    <w:p w14:paraId="3EC5390F">
      <w:pPr>
        <w:spacing w:after="40" w:line="312" w:lineRule="auto"/>
        <w:ind w:left="420" w:hanging="420"/>
        <w:jc w:val="both"/>
      </w:pPr>
      <w:r>
        <w:rPr>
          <w:rFonts w:ascii="宋体" w:hAnsi="宋体" w:eastAsia="宋体"/>
          <w:b w:val="0"/>
          <w:sz w:val="21"/>
        </w:rPr>
        <w:t>[39] 陈斌, 刘钰莹. 人工智能在政府采购文件巡检中的应用研究[J]. 中国招标, 2024(12): 100-103.</w:t>
      </w:r>
    </w:p>
    <w:p w14:paraId="4C0C46DD">
      <w:pPr>
        <w:spacing w:after="40" w:line="312" w:lineRule="auto"/>
        <w:ind w:left="420" w:hanging="420"/>
        <w:jc w:val="both"/>
      </w:pPr>
      <w:r>
        <w:rPr>
          <w:rFonts w:ascii="宋体" w:hAnsi="宋体" w:eastAsia="宋体"/>
          <w:b w:val="0"/>
          <w:sz w:val="21"/>
        </w:rPr>
        <w:t>[40] 冯仕远, 李磊. AI在招投标领域的应用及其发展趋势分析[J]. 中国招标, 2024(12): 130-132.</w:t>
      </w:r>
    </w:p>
    <w:p w14:paraId="30669A5A">
      <w:pPr>
        <w:spacing w:after="40" w:line="312" w:lineRule="auto"/>
        <w:ind w:left="420" w:hanging="420"/>
        <w:jc w:val="both"/>
      </w:pPr>
      <w:r>
        <w:rPr>
          <w:rFonts w:ascii="宋体" w:hAnsi="宋体" w:eastAsia="宋体"/>
          <w:b w:val="0"/>
          <w:sz w:val="21"/>
        </w:rPr>
        <w:t>[41] 程建宁. 从DeepSeek看AI大模型在招标采购领域的应用[J]. 中国招标, 2025(4): 28-33.</w:t>
      </w:r>
    </w:p>
    <w:p w14:paraId="0245B953">
      <w:pPr>
        <w:spacing w:after="40" w:line="312" w:lineRule="auto"/>
        <w:ind w:left="420" w:hanging="420"/>
        <w:jc w:val="both"/>
      </w:pPr>
      <w:r>
        <w:rPr>
          <w:rFonts w:ascii="宋体" w:hAnsi="宋体" w:eastAsia="宋体"/>
          <w:b w:val="0"/>
          <w:sz w:val="21"/>
        </w:rPr>
        <w:t>[42] 景晓路, 刘军. 基于“中台体系”的数智化招标管理模式创新与实践[J]. 招标采购管理, 2023(2): 36-39.</w:t>
      </w:r>
    </w:p>
    <w:p w14:paraId="1AD5FCE3">
      <w:pPr>
        <w:spacing w:after="40" w:line="312" w:lineRule="auto"/>
        <w:ind w:left="420" w:hanging="420"/>
        <w:jc w:val="both"/>
      </w:pPr>
      <w:r>
        <w:rPr>
          <w:rFonts w:ascii="宋体" w:hAnsi="宋体" w:eastAsia="宋体"/>
          <w:b w:val="0"/>
          <w:sz w:val="21"/>
        </w:rPr>
        <w:t>[43] 田森. 以标准化数智化为核心的“集中+远程”招标采购智慧监管体系构建[J]. 招标采购管理, 2023(9): 54-57.</w:t>
      </w:r>
    </w:p>
    <w:p w14:paraId="30E91AA5">
      <w:pPr>
        <w:spacing w:after="40" w:line="312" w:lineRule="auto"/>
        <w:ind w:left="420" w:hanging="420"/>
        <w:jc w:val="both"/>
      </w:pPr>
      <w:r>
        <w:rPr>
          <w:rFonts w:ascii="宋体" w:hAnsi="宋体" w:eastAsia="宋体"/>
          <w:b w:val="0"/>
          <w:sz w:val="21"/>
        </w:rPr>
        <w:t>[44] Tornatzky L G, Fleischer M. The Processes of Technological Innovation[M]. Lexington, MA: Lexington Books, 1990.</w:t>
      </w:r>
    </w:p>
    <w:p w14:paraId="39B76885">
      <w:pPr>
        <w:spacing w:after="40" w:line="312" w:lineRule="auto"/>
        <w:ind w:left="420" w:hanging="420"/>
        <w:jc w:val="both"/>
      </w:pPr>
      <w:r>
        <w:rPr>
          <w:rFonts w:ascii="宋体" w:hAnsi="宋体" w:eastAsia="宋体"/>
          <w:b w:val="0"/>
          <w:sz w:val="21"/>
        </w:rPr>
        <w:t>[45] Teece D J, Pisano G, Shuen A. Dynamic capabilities and strategic management[J]. Strategic Management Journal, 1997, 18(7): 509-533.</w:t>
      </w:r>
    </w:p>
    <w:p w14:paraId="2F58F426">
      <w:pPr>
        <w:spacing w:after="40" w:line="312" w:lineRule="auto"/>
        <w:ind w:left="420" w:hanging="420"/>
        <w:jc w:val="both"/>
      </w:pPr>
      <w:r>
        <w:rPr>
          <w:rFonts w:ascii="宋体" w:hAnsi="宋体" w:eastAsia="宋体"/>
          <w:b w:val="0"/>
          <w:sz w:val="21"/>
        </w:rPr>
        <w:t>[46] Awa H O, Ojiabo O U, Orokor L E. Integrated technology-organization-environment (T-O-E) taxonomies for technology adoption[J]. Journal of Enterprise Information Management, 2017, 30(6): 893-921.</w:t>
      </w:r>
    </w:p>
    <w:p w14:paraId="336CC294">
      <w:pPr>
        <w:spacing w:after="40" w:line="312" w:lineRule="auto"/>
        <w:ind w:left="420" w:hanging="420"/>
        <w:jc w:val="both"/>
      </w:pPr>
      <w:r>
        <w:rPr>
          <w:rFonts w:ascii="宋体" w:hAnsi="宋体" w:eastAsia="宋体"/>
          <w:b w:val="0"/>
          <w:sz w:val="21"/>
        </w:rPr>
        <w:t>[47] Civelek M, Krajčík V, Ključnikov A. The impacts of dynamic capabilities on SMEs' digital transformation process: the resource-based view perspective[J]. Oeconomia Copernicana, 2023, 14: 1367-1392.</w:t>
      </w:r>
    </w:p>
    <w:p w14:paraId="410614CC">
      <w:pPr>
        <w:spacing w:after="40" w:line="312" w:lineRule="auto"/>
        <w:ind w:left="420" w:hanging="420"/>
        <w:jc w:val="both"/>
      </w:pPr>
      <w:r>
        <w:rPr>
          <w:rFonts w:ascii="宋体" w:hAnsi="宋体" w:eastAsia="宋体"/>
          <w:b w:val="0"/>
          <w:sz w:val="21"/>
        </w:rPr>
        <w:t>[48] Matarazzo M, Penco L, Profumo G, et al. Digital transformation and customer value creation in Made in Italy SMEs: a dynamic capabilities perspective[J]. Journal of Business Research, 2021, 123: 642-656.</w:t>
      </w:r>
    </w:p>
    <w:p w14:paraId="13079E81">
      <w:pPr>
        <w:spacing w:after="40" w:line="312" w:lineRule="auto"/>
        <w:ind w:left="420" w:hanging="420"/>
        <w:jc w:val="both"/>
      </w:pPr>
      <w:r>
        <w:rPr>
          <w:rFonts w:ascii="宋体" w:hAnsi="宋体" w:eastAsia="宋体"/>
          <w:b w:val="0"/>
          <w:sz w:val="21"/>
        </w:rPr>
        <w:t>[49] Duan Y, Yang M, Liu H, et al. How does digital transformation affect innovation in knowledge-intensive business services firms? The moderating effect of R&amp;D collaboration portfolio[J]. Journal of Knowledge Management, 2024, 28(4): 994-1019.</w:t>
      </w:r>
    </w:p>
    <w:p w14:paraId="00510C7F">
      <w:pPr>
        <w:spacing w:after="40" w:line="312" w:lineRule="auto"/>
        <w:ind w:left="420" w:hanging="420"/>
        <w:jc w:val="both"/>
      </w:pPr>
      <w:r>
        <w:rPr>
          <w:rFonts w:ascii="宋体" w:hAnsi="宋体" w:eastAsia="宋体"/>
          <w:b w:val="0"/>
          <w:sz w:val="21"/>
        </w:rPr>
        <w:t>[50] 高憬, 张元新, 李文超. 大数据驱动的招标采购数智化体系研究[J]. 招标采购管理, 2024(2): 27-30.</w:t>
      </w:r>
    </w:p>
    <w:p w14:paraId="52C7A145">
      <w:pPr>
        <w:spacing w:after="40" w:line="312" w:lineRule="auto"/>
        <w:ind w:left="420" w:hanging="420"/>
        <w:jc w:val="both"/>
      </w:pPr>
      <w:r>
        <w:rPr>
          <w:rFonts w:ascii="宋体" w:hAnsi="宋体" w:eastAsia="宋体"/>
          <w:b w:val="0"/>
          <w:sz w:val="21"/>
        </w:rPr>
        <w:t>[51] 王雯. 数字化赋能工程咨询知识库效率提升研究[J]. 中国工程咨询, 2026(1): 133-140.</w:t>
      </w:r>
    </w:p>
    <w:p w14:paraId="42063B1D">
      <w:pPr>
        <w:spacing w:after="40" w:line="312" w:lineRule="auto"/>
        <w:ind w:left="420" w:hanging="420"/>
        <w:jc w:val="both"/>
      </w:pPr>
      <w:r>
        <w:rPr>
          <w:rFonts w:ascii="宋体" w:hAnsi="宋体" w:eastAsia="宋体"/>
          <w:b w:val="0"/>
          <w:sz w:val="21"/>
        </w:rPr>
        <w:t>[52] 谢国前. 工程咨询类公司知识管理长效机制的构建与应用[J]. 中国招标, 2025(4): 145-149.</w:t>
      </w:r>
    </w:p>
    <w:p w14:paraId="1178A689">
      <w:pPr>
        <w:pStyle w:val="3"/>
        <w:pageBreakBefore/>
      </w:pPr>
      <w:bookmarkStart w:id="56" w:name="_Toc12162"/>
      <w:r>
        <w:t>致    谢</w:t>
      </w:r>
      <w:bookmarkEnd w:id="56"/>
    </w:p>
    <w:p w14:paraId="2E99FCC4">
      <w:pPr>
        <w:spacing w:after="0" w:line="360" w:lineRule="auto"/>
        <w:ind w:firstLine="480"/>
        <w:jc w:val="both"/>
      </w:pPr>
      <w:r>
        <w:rPr>
          <w:rFonts w:ascii="宋体" w:hAnsi="宋体" w:eastAsia="宋体"/>
          <w:b w:val="0"/>
          <w:sz w:val="24"/>
        </w:rPr>
        <w:t>本论文的完成，离不开导师的悉心指导。从选题方向、研究框架到章节结构，导师多次提出中肯意见，使本研究得以从工作实践上升为可讨论的学术问题，在此谨致以诚挚的谢意。</w:t>
      </w:r>
    </w:p>
    <w:p w14:paraId="00448789">
      <w:pPr>
        <w:spacing w:after="0" w:line="360" w:lineRule="auto"/>
        <w:ind w:firstLine="480"/>
        <w:jc w:val="both"/>
      </w:pPr>
      <w:r>
        <w:rPr>
          <w:rFonts w:ascii="宋体" w:hAnsi="宋体" w:eastAsia="宋体"/>
          <w:b w:val="0"/>
          <w:sz w:val="24"/>
        </w:rPr>
        <w:t>感谢在问卷调查与半结构化访谈中给予支持的各位同事与管理人员。正是他们坦诚分享一线作业中的困难与经验，才使本文对流程问题的判断建立在真实感受之上。</w:t>
      </w:r>
    </w:p>
    <w:p w14:paraId="0C85B6D9">
      <w:pPr>
        <w:spacing w:after="0" w:line="360" w:lineRule="auto"/>
        <w:ind w:firstLine="480"/>
        <w:jc w:val="both"/>
      </w:pPr>
      <w:r>
        <w:rPr>
          <w:rFonts w:ascii="宋体" w:hAnsi="宋体" w:eastAsia="宋体"/>
          <w:b w:val="0"/>
          <w:sz w:val="24"/>
        </w:rPr>
        <w:t>感谢家人一直以来的理解与支持，使我能够在工作之余完成课程学习与论文写作。</w:t>
      </w:r>
    </w:p>
    <w:p w14:paraId="36595EA0">
      <w:pPr>
        <w:spacing w:after="0" w:line="360" w:lineRule="auto"/>
        <w:ind w:firstLine="480"/>
        <w:jc w:val="both"/>
      </w:pPr>
      <w:r>
        <w:rPr>
          <w:rFonts w:ascii="宋体" w:hAnsi="宋体" w:eastAsia="宋体"/>
          <w:b w:val="0"/>
          <w:sz w:val="24"/>
        </w:rPr>
        <w:t>受作者水平与数据条件所限，文中难免存在不足，恳请各位老师批评指正。</w:t>
      </w:r>
    </w:p>
    <w:p w14:paraId="595982D9">
      <w:pPr>
        <w:pStyle w:val="3"/>
      </w:pPr>
      <w:bookmarkStart w:id="57" w:name="_Toc1269"/>
      <w:r>
        <w:t>附录A 调查问卷</w:t>
      </w:r>
      <w:bookmarkEnd w:id="57"/>
    </w:p>
    <w:p w14:paraId="08E347B5">
      <w:pPr>
        <w:spacing w:after="0" w:line="360" w:lineRule="auto"/>
        <w:ind w:firstLine="0"/>
        <w:jc w:val="both"/>
      </w:pPr>
      <w:r>
        <w:rPr>
          <w:rFonts w:ascii="宋体" w:hAnsi="宋体" w:eastAsia="宋体"/>
          <w:b w:val="0"/>
          <w:sz w:val="24"/>
        </w:rPr>
        <w:t>Z公司工作流程数字化现状调查问卷</w:t>
      </w:r>
    </w:p>
    <w:p w14:paraId="5A60F9C2">
      <w:pPr>
        <w:spacing w:after="0" w:line="360" w:lineRule="auto"/>
        <w:ind w:firstLine="0"/>
        <w:jc w:val="both"/>
      </w:pPr>
      <w:r>
        <w:rPr>
          <w:rFonts w:ascii="宋体" w:hAnsi="宋体" w:eastAsia="宋体"/>
          <w:b w:val="0"/>
          <w:sz w:val="24"/>
        </w:rPr>
        <w:t>说明：</w:t>
      </w:r>
    </w:p>
    <w:p w14:paraId="63FE7220">
      <w:pPr>
        <w:spacing w:after="0" w:line="360" w:lineRule="auto"/>
        <w:ind w:firstLine="0"/>
        <w:jc w:val="both"/>
      </w:pPr>
      <w:r>
        <w:rPr>
          <w:rFonts w:ascii="宋体" w:hAnsi="宋体" w:eastAsia="宋体"/>
          <w:b w:val="0"/>
          <w:sz w:val="24"/>
        </w:rPr>
        <w:t>亲爱的Z公司员工：</w:t>
      </w:r>
    </w:p>
    <w:p w14:paraId="66608AA1">
      <w:pPr>
        <w:spacing w:after="0" w:line="360" w:lineRule="auto"/>
        <w:ind w:firstLine="480"/>
        <w:jc w:val="both"/>
      </w:pPr>
      <w:r>
        <w:rPr>
          <w:rFonts w:ascii="宋体" w:hAnsi="宋体" w:eastAsia="宋体"/>
          <w:b w:val="0"/>
          <w:sz w:val="24"/>
        </w:rPr>
        <w:t>本问卷旨在了解公司工作流程的数字化转型现状，以支持公司优化研究。问卷匿名填写，数据仅用于学术目的，不会影响个人绩效。请根据实际情况作答，感谢您的配合！</w:t>
      </w:r>
    </w:p>
    <w:p w14:paraId="33478360">
      <w:pPr>
        <w:spacing w:after="0" w:line="360" w:lineRule="auto"/>
        <w:ind w:firstLine="0"/>
        <w:jc w:val="both"/>
      </w:pPr>
      <w:r>
        <w:rPr>
          <w:rFonts w:ascii="宋体" w:hAnsi="宋体" w:eastAsia="宋体"/>
          <w:b w:val="0"/>
          <w:sz w:val="24"/>
        </w:rPr>
        <w:t>填写时间约10-15分钟。</w:t>
      </w:r>
    </w:p>
    <w:p w14:paraId="04F4FA53">
      <w:pPr>
        <w:spacing w:after="0" w:line="360" w:lineRule="auto"/>
        <w:ind w:firstLine="0"/>
        <w:jc w:val="both"/>
      </w:pPr>
      <w:r>
        <w:rPr>
          <w:rFonts w:ascii="宋体" w:hAnsi="宋体" w:eastAsia="宋体"/>
          <w:b w:val="0"/>
          <w:sz w:val="24"/>
        </w:rPr>
        <w:t>调查日期：2025年10-11月</w:t>
      </w:r>
    </w:p>
    <w:p w14:paraId="6DEE9BB8">
      <w:pPr>
        <w:pStyle w:val="4"/>
      </w:pPr>
      <w:bookmarkStart w:id="58" w:name="_Toc21751"/>
      <w:r>
        <w:t>第一部分：基本信息</w:t>
      </w:r>
      <w:bookmarkEnd w:id="58"/>
    </w:p>
    <w:p w14:paraId="33EC4A0D">
      <w:pPr>
        <w:spacing w:after="0" w:line="360" w:lineRule="auto"/>
        <w:ind w:firstLine="480"/>
        <w:jc w:val="both"/>
      </w:pPr>
      <w:r>
        <w:rPr>
          <w:rFonts w:ascii="宋体" w:hAnsi="宋体" w:eastAsia="宋体"/>
          <w:b w:val="0"/>
          <w:sz w:val="24"/>
        </w:rPr>
        <w:t>请在相应选项前打“√”或填写。</w:t>
      </w:r>
    </w:p>
    <w:p w14:paraId="2380AF7E">
      <w:pPr>
        <w:spacing w:after="0" w:line="360" w:lineRule="auto"/>
        <w:ind w:firstLine="0"/>
        <w:jc w:val="both"/>
      </w:pPr>
      <w:r>
        <w:rPr>
          <w:rFonts w:ascii="宋体" w:hAnsi="宋体" w:eastAsia="宋体"/>
          <w:b w:val="0"/>
          <w:sz w:val="24"/>
        </w:rPr>
        <w:t>1. 您的性别：</w:t>
      </w:r>
    </w:p>
    <w:p w14:paraId="7AA33B67">
      <w:pPr>
        <w:spacing w:after="0" w:line="360" w:lineRule="auto"/>
        <w:ind w:firstLine="0"/>
        <w:jc w:val="both"/>
      </w:pPr>
      <w:r>
        <w:rPr>
          <w:rFonts w:ascii="宋体" w:hAnsi="宋体" w:eastAsia="宋体"/>
          <w:b w:val="0"/>
          <w:sz w:val="24"/>
        </w:rPr>
        <w:t>□ 男性　□ 女性</w:t>
      </w:r>
    </w:p>
    <w:p w14:paraId="28827F1A">
      <w:pPr>
        <w:spacing w:after="0" w:line="360" w:lineRule="auto"/>
        <w:ind w:firstLine="0"/>
        <w:jc w:val="both"/>
      </w:pPr>
      <w:r>
        <w:rPr>
          <w:rFonts w:ascii="宋体" w:hAnsi="宋体" w:eastAsia="宋体"/>
          <w:b w:val="0"/>
          <w:sz w:val="24"/>
        </w:rPr>
        <w:t>2. 您的年龄段：</w:t>
      </w:r>
    </w:p>
    <w:p w14:paraId="7EDA69C7">
      <w:pPr>
        <w:spacing w:after="0" w:line="360" w:lineRule="auto"/>
        <w:ind w:firstLine="0"/>
        <w:jc w:val="both"/>
      </w:pPr>
      <w:r>
        <w:rPr>
          <w:rFonts w:ascii="宋体" w:hAnsi="宋体" w:eastAsia="宋体"/>
          <w:b w:val="0"/>
          <w:sz w:val="24"/>
        </w:rPr>
        <w:t>□ 30岁以下　□ 31-40岁　□ 41-50岁　□ 51岁以上</w:t>
      </w:r>
    </w:p>
    <w:p w14:paraId="694F8024">
      <w:pPr>
        <w:spacing w:after="0" w:line="360" w:lineRule="auto"/>
        <w:ind w:firstLine="0"/>
        <w:jc w:val="both"/>
      </w:pPr>
      <w:r>
        <w:rPr>
          <w:rFonts w:ascii="宋体" w:hAnsi="宋体" w:eastAsia="宋体"/>
          <w:b w:val="0"/>
          <w:sz w:val="24"/>
        </w:rPr>
        <w:t>3. 您的教育背景：</w:t>
      </w:r>
    </w:p>
    <w:p w14:paraId="683CAFEC">
      <w:pPr>
        <w:spacing w:after="0" w:line="360" w:lineRule="auto"/>
        <w:ind w:firstLine="0"/>
        <w:jc w:val="both"/>
      </w:pPr>
      <w:r>
        <w:rPr>
          <w:rFonts w:ascii="宋体" w:hAnsi="宋体" w:eastAsia="宋体"/>
          <w:b w:val="0"/>
          <w:sz w:val="24"/>
        </w:rPr>
        <w:t>□ 大专及以下　□ 本科　□ 硕士　□ 博士及以上</w:t>
      </w:r>
    </w:p>
    <w:p w14:paraId="58B6E01B">
      <w:pPr>
        <w:spacing w:after="0" w:line="360" w:lineRule="auto"/>
        <w:ind w:firstLine="0"/>
        <w:jc w:val="both"/>
      </w:pPr>
      <w:r>
        <w:rPr>
          <w:rFonts w:ascii="宋体" w:hAnsi="宋体" w:eastAsia="宋体"/>
          <w:b w:val="0"/>
          <w:sz w:val="24"/>
        </w:rPr>
        <w:t>4. 您在公司的工作年限：</w:t>
      </w:r>
    </w:p>
    <w:p w14:paraId="4779C921">
      <w:pPr>
        <w:spacing w:after="0" w:line="360" w:lineRule="auto"/>
        <w:ind w:firstLine="0"/>
        <w:jc w:val="both"/>
      </w:pPr>
      <w:r>
        <w:rPr>
          <w:rFonts w:ascii="宋体" w:hAnsi="宋体" w:eastAsia="宋体"/>
          <w:b w:val="0"/>
          <w:sz w:val="24"/>
        </w:rPr>
        <w:t>□ 5年以下　□ 6-10年　□ 11年以上</w:t>
      </w:r>
    </w:p>
    <w:p w14:paraId="1CC058C4">
      <w:pPr>
        <w:spacing w:after="0" w:line="360" w:lineRule="auto"/>
        <w:ind w:firstLine="0"/>
        <w:jc w:val="both"/>
      </w:pPr>
      <w:r>
        <w:rPr>
          <w:rFonts w:ascii="宋体" w:hAnsi="宋体" w:eastAsia="宋体"/>
          <w:b w:val="0"/>
          <w:sz w:val="24"/>
        </w:rPr>
        <w:t>5. 您的职位级别：</w:t>
      </w:r>
    </w:p>
    <w:p w14:paraId="431A269B">
      <w:pPr>
        <w:spacing w:after="0" w:line="360" w:lineRule="auto"/>
        <w:ind w:firstLine="0"/>
        <w:jc w:val="both"/>
      </w:pPr>
      <w:r>
        <w:rPr>
          <w:rFonts w:ascii="宋体" w:hAnsi="宋体" w:eastAsia="宋体"/>
          <w:b w:val="0"/>
          <w:sz w:val="24"/>
        </w:rPr>
        <w:t>□ 普通员工　□ 中层管理人员　□ 高层管理人员</w:t>
      </w:r>
    </w:p>
    <w:p w14:paraId="776FD008">
      <w:pPr>
        <w:spacing w:after="0" w:line="360" w:lineRule="auto"/>
        <w:ind w:firstLine="0"/>
        <w:jc w:val="both"/>
      </w:pPr>
      <w:r>
        <w:rPr>
          <w:rFonts w:ascii="宋体" w:hAnsi="宋体" w:eastAsia="宋体"/>
          <w:b w:val="0"/>
          <w:sz w:val="24"/>
        </w:rPr>
        <w:t>6. 您所在的部门：</w:t>
      </w:r>
    </w:p>
    <w:p w14:paraId="24B1F0F9">
      <w:pPr>
        <w:spacing w:after="0" w:line="360" w:lineRule="auto"/>
        <w:ind w:firstLine="0"/>
        <w:jc w:val="both"/>
      </w:pPr>
      <w:r>
        <w:rPr>
          <w:rFonts w:ascii="宋体" w:hAnsi="宋体" w:eastAsia="宋体"/>
          <w:b w:val="0"/>
          <w:sz w:val="24"/>
        </w:rPr>
        <w:t>□ 招标代理部　□ 造价咨询部　□ 管理部（行政/财务）　□ 其他（请指定：________）</w:t>
      </w:r>
    </w:p>
    <w:p w14:paraId="6D0BE4CE">
      <w:pPr>
        <w:spacing w:after="0" w:line="360" w:lineRule="auto"/>
        <w:ind w:firstLine="0"/>
        <w:jc w:val="both"/>
      </w:pPr>
      <w:r>
        <w:rPr>
          <w:rFonts w:ascii="宋体" w:hAnsi="宋体" w:eastAsia="宋体"/>
          <w:b w:val="0"/>
          <w:sz w:val="24"/>
        </w:rPr>
        <w:t>7. 您所在的地域：</w:t>
      </w:r>
    </w:p>
    <w:p w14:paraId="0ED5C73E">
      <w:pPr>
        <w:spacing w:after="0" w:line="360" w:lineRule="auto"/>
        <w:ind w:firstLine="0"/>
        <w:jc w:val="both"/>
      </w:pPr>
      <w:r>
        <w:rPr>
          <w:rFonts w:ascii="宋体" w:hAnsi="宋体" w:eastAsia="宋体"/>
          <w:b w:val="0"/>
          <w:sz w:val="24"/>
        </w:rPr>
        <w:t>□ 总部（北京）　□ 分支机构（请指定省份：________）</w:t>
      </w:r>
    </w:p>
    <w:p w14:paraId="7D8169D1">
      <w:pPr>
        <w:pStyle w:val="4"/>
      </w:pPr>
      <w:bookmarkStart w:id="59" w:name="_Toc24851"/>
      <w:r>
        <w:t>第二部分：工作流程现状与问题（Likert五级量表）</w:t>
      </w:r>
      <w:bookmarkEnd w:id="59"/>
    </w:p>
    <w:p w14:paraId="4A7B97CD">
      <w:pPr>
        <w:spacing w:after="0" w:line="360" w:lineRule="auto"/>
        <w:ind w:firstLine="480"/>
        <w:jc w:val="both"/>
      </w:pPr>
      <w:r>
        <w:rPr>
          <w:rFonts w:ascii="宋体" w:hAnsi="宋体" w:eastAsia="宋体"/>
          <w:b w:val="0"/>
          <w:sz w:val="24"/>
        </w:rPr>
        <w:t>请根据您的实际感受，选择相应选项。1=强烈不同意，2=不同意，3=中性，4=同意，5=强烈同意。</w:t>
      </w:r>
    </w:p>
    <w:p w14:paraId="54396360">
      <w:pPr>
        <w:spacing w:after="0" w:line="360" w:lineRule="auto"/>
        <w:ind w:firstLine="0"/>
        <w:jc w:val="both"/>
      </w:pPr>
      <w:r>
        <w:rPr>
          <w:rFonts w:ascii="宋体" w:hAnsi="宋体" w:eastAsia="宋体"/>
          <w:b w:val="0"/>
          <w:sz w:val="24"/>
        </w:rPr>
        <w:t>8. 公司招标流程整体标准化程度高。</w:t>
      </w:r>
    </w:p>
    <w:p w14:paraId="2A8A3139">
      <w:pPr>
        <w:spacing w:after="0" w:line="360" w:lineRule="auto"/>
        <w:ind w:firstLine="0"/>
        <w:jc w:val="both"/>
      </w:pPr>
      <w:r>
        <w:rPr>
          <w:rFonts w:ascii="宋体" w:hAnsi="宋体" w:eastAsia="宋体"/>
          <w:b w:val="0"/>
          <w:sz w:val="24"/>
        </w:rPr>
        <w:t>1 □　2 □　3 □　4 □　5 □</w:t>
      </w:r>
    </w:p>
    <w:p w14:paraId="040BCEFD">
      <w:pPr>
        <w:spacing w:after="0" w:line="360" w:lineRule="auto"/>
        <w:ind w:firstLine="0"/>
        <w:jc w:val="both"/>
      </w:pPr>
      <w:r>
        <w:rPr>
          <w:rFonts w:ascii="宋体" w:hAnsi="宋体" w:eastAsia="宋体"/>
          <w:b w:val="0"/>
          <w:sz w:val="24"/>
        </w:rPr>
        <w:t>9. 流程节点之间衔接顺畅，无明显延误。</w:t>
      </w:r>
    </w:p>
    <w:p w14:paraId="4EFF784B">
      <w:pPr>
        <w:spacing w:after="0" w:line="360" w:lineRule="auto"/>
        <w:ind w:firstLine="0"/>
        <w:jc w:val="both"/>
      </w:pPr>
      <w:r>
        <w:rPr>
          <w:rFonts w:ascii="宋体" w:hAnsi="宋体" w:eastAsia="宋体"/>
          <w:b w:val="0"/>
          <w:sz w:val="24"/>
        </w:rPr>
        <w:t>1 □　2 □　3 □　4 □　5 □</w:t>
      </w:r>
    </w:p>
    <w:p w14:paraId="222A463A">
      <w:pPr>
        <w:spacing w:after="0" w:line="360" w:lineRule="auto"/>
        <w:ind w:firstLine="0"/>
        <w:jc w:val="both"/>
      </w:pPr>
      <w:r>
        <w:rPr>
          <w:rFonts w:ascii="宋体" w:hAnsi="宋体" w:eastAsia="宋体"/>
          <w:b w:val="0"/>
          <w:sz w:val="24"/>
        </w:rPr>
        <w:t>10. 公司数字化工具使用率高。</w:t>
      </w:r>
    </w:p>
    <w:p w14:paraId="00BBE159">
      <w:pPr>
        <w:spacing w:after="0" w:line="360" w:lineRule="auto"/>
        <w:ind w:firstLine="0"/>
        <w:jc w:val="both"/>
      </w:pPr>
      <w:r>
        <w:rPr>
          <w:rFonts w:ascii="宋体" w:hAnsi="宋体" w:eastAsia="宋体"/>
          <w:b w:val="0"/>
          <w:sz w:val="24"/>
        </w:rPr>
        <w:t>1 □　2 □　3 □　4 □　5 □</w:t>
      </w:r>
    </w:p>
    <w:p w14:paraId="78B69EBE">
      <w:pPr>
        <w:spacing w:after="0" w:line="360" w:lineRule="auto"/>
        <w:ind w:firstLine="0"/>
        <w:jc w:val="both"/>
      </w:pPr>
      <w:r>
        <w:rPr>
          <w:rFonts w:ascii="宋体" w:hAnsi="宋体" w:eastAsia="宋体"/>
          <w:b w:val="0"/>
          <w:sz w:val="24"/>
        </w:rPr>
        <w:t>11. 数字化工具间集成度高，无数据孤岛问题。</w:t>
      </w:r>
    </w:p>
    <w:p w14:paraId="0D6D3ADB">
      <w:pPr>
        <w:spacing w:after="0" w:line="360" w:lineRule="auto"/>
        <w:ind w:firstLine="0"/>
        <w:jc w:val="both"/>
      </w:pPr>
      <w:r>
        <w:rPr>
          <w:rFonts w:ascii="宋体" w:hAnsi="宋体" w:eastAsia="宋体"/>
          <w:b w:val="0"/>
          <w:sz w:val="24"/>
        </w:rPr>
        <w:t>1 □　2 □　3 □　4 □　5 □</w:t>
      </w:r>
    </w:p>
    <w:p w14:paraId="0C9728D3">
      <w:pPr>
        <w:spacing w:after="0" w:line="360" w:lineRule="auto"/>
        <w:ind w:firstLine="0"/>
        <w:jc w:val="both"/>
      </w:pPr>
      <w:r>
        <w:rPr>
          <w:rFonts w:ascii="宋体" w:hAnsi="宋体" w:eastAsia="宋体"/>
          <w:b w:val="0"/>
          <w:sz w:val="24"/>
        </w:rPr>
        <w:t>12. 工作流程中存在冗余环节，导致时间浪费。</w:t>
      </w:r>
    </w:p>
    <w:p w14:paraId="3BC8B6C9">
      <w:pPr>
        <w:spacing w:after="0" w:line="360" w:lineRule="auto"/>
        <w:ind w:firstLine="0"/>
        <w:jc w:val="both"/>
      </w:pPr>
      <w:r>
        <w:rPr>
          <w:rFonts w:ascii="宋体" w:hAnsi="宋体" w:eastAsia="宋体"/>
          <w:b w:val="0"/>
          <w:sz w:val="24"/>
        </w:rPr>
        <w:t>1 □　2 □　3 □　4 □　5 □</w:t>
      </w:r>
    </w:p>
    <w:p w14:paraId="3B78268C">
      <w:pPr>
        <w:spacing w:after="0" w:line="360" w:lineRule="auto"/>
        <w:ind w:firstLine="0"/>
        <w:jc w:val="both"/>
      </w:pPr>
      <w:r>
        <w:rPr>
          <w:rFonts w:ascii="宋体" w:hAnsi="宋体" w:eastAsia="宋体"/>
          <w:b w:val="0"/>
          <w:sz w:val="24"/>
        </w:rPr>
        <w:t>13. 纸质文档使用频繁，增加资源消耗。</w:t>
      </w:r>
    </w:p>
    <w:p w14:paraId="0A7DB9C1">
      <w:pPr>
        <w:spacing w:after="0" w:line="360" w:lineRule="auto"/>
        <w:ind w:firstLine="0"/>
        <w:jc w:val="both"/>
      </w:pPr>
      <w:r>
        <w:rPr>
          <w:rFonts w:ascii="宋体" w:hAnsi="宋体" w:eastAsia="宋体"/>
          <w:b w:val="0"/>
          <w:sz w:val="24"/>
        </w:rPr>
        <w:t>1 □　2 □　3 □　4 □　5 □</w:t>
      </w:r>
    </w:p>
    <w:p w14:paraId="7E7799A6">
      <w:pPr>
        <w:spacing w:after="0" w:line="360" w:lineRule="auto"/>
        <w:ind w:firstLine="0"/>
        <w:jc w:val="both"/>
      </w:pPr>
      <w:r>
        <w:rPr>
          <w:rFonts w:ascii="宋体" w:hAnsi="宋体" w:eastAsia="宋体"/>
          <w:b w:val="0"/>
          <w:sz w:val="24"/>
        </w:rPr>
        <w:t>14. 公司资源利用效率高，无明显浪费。</w:t>
      </w:r>
    </w:p>
    <w:p w14:paraId="1F7FA571">
      <w:pPr>
        <w:spacing w:after="0" w:line="360" w:lineRule="auto"/>
        <w:ind w:firstLine="0"/>
        <w:jc w:val="both"/>
      </w:pPr>
      <w:r>
        <w:rPr>
          <w:rFonts w:ascii="宋体" w:hAnsi="宋体" w:eastAsia="宋体"/>
          <w:b w:val="0"/>
          <w:sz w:val="24"/>
        </w:rPr>
        <w:t>1 □　2 □　3 □　4 □　5 □</w:t>
      </w:r>
    </w:p>
    <w:p w14:paraId="53DC41D2">
      <w:pPr>
        <w:spacing w:after="0" w:line="360" w:lineRule="auto"/>
        <w:ind w:firstLine="0"/>
        <w:jc w:val="both"/>
      </w:pPr>
      <w:r>
        <w:rPr>
          <w:rFonts w:ascii="宋体" w:hAnsi="宋体" w:eastAsia="宋体"/>
          <w:b w:val="0"/>
          <w:sz w:val="24"/>
        </w:rPr>
        <w:t>15. 员工数字化技能满足工作需求。</w:t>
      </w:r>
    </w:p>
    <w:p w14:paraId="54C6F21E">
      <w:pPr>
        <w:spacing w:after="0" w:line="360" w:lineRule="auto"/>
        <w:ind w:firstLine="0"/>
        <w:jc w:val="both"/>
      </w:pPr>
      <w:r>
        <w:rPr>
          <w:rFonts w:ascii="宋体" w:hAnsi="宋体" w:eastAsia="宋体"/>
          <w:b w:val="0"/>
          <w:sz w:val="24"/>
        </w:rPr>
        <w:t>1 □　2 □　3 □　4 □　5 □</w:t>
      </w:r>
    </w:p>
    <w:p w14:paraId="4EA94899">
      <w:pPr>
        <w:spacing w:after="0" w:line="360" w:lineRule="auto"/>
        <w:ind w:firstLine="0"/>
        <w:jc w:val="both"/>
      </w:pPr>
      <w:r>
        <w:rPr>
          <w:rFonts w:ascii="宋体" w:hAnsi="宋体" w:eastAsia="宋体"/>
          <w:b w:val="0"/>
          <w:sz w:val="24"/>
        </w:rPr>
        <w:t>16. 公司管理机制支持数字化转型。</w:t>
      </w:r>
    </w:p>
    <w:p w14:paraId="1E173B8D">
      <w:pPr>
        <w:spacing w:after="0" w:line="360" w:lineRule="auto"/>
        <w:ind w:firstLine="0"/>
        <w:jc w:val="both"/>
      </w:pPr>
      <w:r>
        <w:rPr>
          <w:rFonts w:ascii="宋体" w:hAnsi="宋体" w:eastAsia="宋体"/>
          <w:b w:val="0"/>
          <w:sz w:val="24"/>
        </w:rPr>
        <w:t>1 □　2 □　3 □　4 □　5 □</w:t>
      </w:r>
    </w:p>
    <w:p w14:paraId="769E542E">
      <w:pPr>
        <w:spacing w:after="0" w:line="360" w:lineRule="auto"/>
        <w:ind w:firstLine="0"/>
        <w:jc w:val="both"/>
      </w:pPr>
      <w:r>
        <w:rPr>
          <w:rFonts w:ascii="宋体" w:hAnsi="宋体" w:eastAsia="宋体"/>
          <w:b w:val="0"/>
          <w:sz w:val="24"/>
        </w:rPr>
        <w:t>17. 技术基础设施足以支撑工作。</w:t>
      </w:r>
    </w:p>
    <w:p w14:paraId="7D01798A">
      <w:pPr>
        <w:spacing w:after="0" w:line="360" w:lineRule="auto"/>
        <w:ind w:firstLine="0"/>
        <w:jc w:val="both"/>
      </w:pPr>
      <w:r>
        <w:rPr>
          <w:rFonts w:ascii="宋体" w:hAnsi="宋体" w:eastAsia="宋体"/>
          <w:b w:val="0"/>
          <w:sz w:val="24"/>
        </w:rPr>
        <w:t>1 □　2 □　3 □　4 □　5 □</w:t>
      </w:r>
    </w:p>
    <w:p w14:paraId="61BA280D">
      <w:pPr>
        <w:spacing w:after="0" w:line="360" w:lineRule="auto"/>
        <w:ind w:firstLine="0"/>
        <w:jc w:val="both"/>
      </w:pPr>
      <w:r>
        <w:rPr>
          <w:rFonts w:ascii="宋体" w:hAnsi="宋体" w:eastAsia="宋体"/>
          <w:b w:val="0"/>
          <w:sz w:val="24"/>
        </w:rPr>
        <w:t>18. 工作流程设计与外部政策及行业标准高度匹配。</w:t>
      </w:r>
    </w:p>
    <w:p w14:paraId="17067047">
      <w:pPr>
        <w:spacing w:after="0" w:line="360" w:lineRule="auto"/>
        <w:ind w:firstLine="0"/>
        <w:jc w:val="both"/>
      </w:pPr>
      <w:r>
        <w:rPr>
          <w:rFonts w:ascii="宋体" w:hAnsi="宋体" w:eastAsia="宋体"/>
          <w:b w:val="0"/>
          <w:sz w:val="24"/>
        </w:rPr>
        <w:t>1 □　2 □　3 □　4 □　5 □</w:t>
      </w:r>
    </w:p>
    <w:p w14:paraId="10BB1016">
      <w:pPr>
        <w:spacing w:after="0" w:line="360" w:lineRule="auto"/>
        <w:ind w:firstLine="0"/>
        <w:jc w:val="both"/>
      </w:pPr>
      <w:r>
        <w:rPr>
          <w:rFonts w:ascii="宋体" w:hAnsi="宋体" w:eastAsia="宋体"/>
          <w:b w:val="0"/>
          <w:sz w:val="24"/>
        </w:rPr>
        <w:t>19. 数字化集成对流程效率有积极影响。</w:t>
      </w:r>
    </w:p>
    <w:p w14:paraId="277BE98D">
      <w:pPr>
        <w:spacing w:after="0" w:line="360" w:lineRule="auto"/>
        <w:ind w:firstLine="0"/>
        <w:jc w:val="both"/>
      </w:pPr>
      <w:r>
        <w:rPr>
          <w:rFonts w:ascii="宋体" w:hAnsi="宋体" w:eastAsia="宋体"/>
          <w:b w:val="0"/>
          <w:sz w:val="24"/>
        </w:rPr>
        <w:t>1 □　2 □　3 □　4 □　5 □</w:t>
      </w:r>
    </w:p>
    <w:p w14:paraId="464078A6">
      <w:pPr>
        <w:spacing w:after="0" w:line="360" w:lineRule="auto"/>
        <w:ind w:firstLine="0"/>
        <w:jc w:val="both"/>
      </w:pPr>
      <w:r>
        <w:rPr>
          <w:rFonts w:ascii="宋体" w:hAnsi="宋体" w:eastAsia="宋体"/>
          <w:b w:val="0"/>
          <w:sz w:val="24"/>
        </w:rPr>
        <w:t>20. 数字化工具集成问题影响日常工作。</w:t>
      </w:r>
    </w:p>
    <w:p w14:paraId="321433C5">
      <w:pPr>
        <w:spacing w:after="0" w:line="360" w:lineRule="auto"/>
        <w:ind w:firstLine="0"/>
        <w:jc w:val="both"/>
      </w:pPr>
      <w:r>
        <w:rPr>
          <w:rFonts w:ascii="宋体" w:hAnsi="宋体" w:eastAsia="宋体"/>
          <w:b w:val="0"/>
          <w:sz w:val="24"/>
        </w:rPr>
        <w:t>1 □　2 □　3 □　4 □　5 □</w:t>
      </w:r>
    </w:p>
    <w:p w14:paraId="52A32923">
      <w:pPr>
        <w:pStyle w:val="4"/>
      </w:pPr>
      <w:bookmarkStart w:id="60" w:name="_Toc16582"/>
      <w:r>
        <w:t>第三部分：开放式问题</w:t>
      </w:r>
      <w:bookmarkEnd w:id="60"/>
    </w:p>
    <w:p w14:paraId="6A484BFD">
      <w:pPr>
        <w:spacing w:after="0" w:line="360" w:lineRule="auto"/>
        <w:ind w:firstLine="480"/>
        <w:jc w:val="both"/>
      </w:pPr>
      <w:r>
        <w:rPr>
          <w:rFonts w:ascii="宋体" w:hAnsi="宋体" w:eastAsia="宋体"/>
          <w:b w:val="0"/>
          <w:sz w:val="24"/>
        </w:rPr>
        <w:t>请简要描述您的观点。</w:t>
      </w:r>
    </w:p>
    <w:p w14:paraId="4414A19B">
      <w:pPr>
        <w:spacing w:after="0" w:line="360" w:lineRule="auto"/>
        <w:ind w:firstLine="0"/>
        <w:jc w:val="both"/>
      </w:pPr>
      <w:r>
        <w:rPr>
          <w:rFonts w:ascii="宋体" w:hAnsi="宋体" w:eastAsia="宋体"/>
          <w:b w:val="0"/>
          <w:sz w:val="24"/>
        </w:rPr>
        <w:t>21. 您认为公司工作流程中最大的问题是什么？为什么？</w:t>
      </w:r>
    </w:p>
    <w:p w14:paraId="279128FF">
      <w:pPr>
        <w:spacing w:after="0" w:line="360" w:lineRule="auto"/>
        <w:ind w:firstLine="0"/>
        <w:jc w:val="both"/>
      </w:pPr>
      <w:r>
        <w:rPr>
          <w:rFonts w:ascii="宋体" w:hAnsi="宋体" w:eastAsia="宋体"/>
          <w:b w:val="0"/>
          <w:sz w:val="24"/>
        </w:rPr>
        <w:t>22. 在数字化转型方面，公司有哪些优势与不足？</w:t>
      </w:r>
    </w:p>
    <w:p w14:paraId="0EB37EA2">
      <w:pPr>
        <w:spacing w:after="0" w:line="360" w:lineRule="auto"/>
        <w:ind w:firstLine="0"/>
        <w:jc w:val="both"/>
      </w:pPr>
      <w:r>
        <w:rPr>
          <w:rFonts w:ascii="宋体" w:hAnsi="宋体" w:eastAsia="宋体"/>
          <w:b w:val="0"/>
          <w:sz w:val="24"/>
        </w:rPr>
        <w:t>23. 您对公司数字化转型的建议是什么？</w:t>
      </w:r>
    </w:p>
    <w:p w14:paraId="66BA57A4">
      <w:pPr>
        <w:spacing w:after="0" w:line="360" w:lineRule="auto"/>
        <w:ind w:firstLine="0"/>
        <w:jc w:val="both"/>
      </w:pPr>
      <w:r>
        <w:rPr>
          <w:rFonts w:ascii="宋体" w:hAnsi="宋体" w:eastAsia="宋体"/>
          <w:b w:val="0"/>
          <w:sz w:val="24"/>
        </w:rPr>
        <w:t>24. 工作流程中哪些环节最易导致资源浪费？如何优化？</w:t>
      </w:r>
    </w:p>
    <w:p w14:paraId="70E767BB">
      <w:pPr>
        <w:spacing w:after="0" w:line="360" w:lineRule="auto"/>
        <w:ind w:firstLine="0"/>
        <w:jc w:val="both"/>
      </w:pPr>
      <w:r>
        <w:rPr>
          <w:rFonts w:ascii="宋体" w:hAnsi="宋体" w:eastAsia="宋体"/>
          <w:b w:val="0"/>
          <w:sz w:val="24"/>
        </w:rPr>
        <w:t>25. 您希望公司提供哪些培训以提升数字化技能？</w:t>
      </w:r>
    </w:p>
    <w:p w14:paraId="4D0D10E4">
      <w:pPr>
        <w:spacing w:after="0" w:line="360" w:lineRule="auto"/>
        <w:ind w:firstLine="0"/>
        <w:jc w:val="both"/>
      </w:pPr>
      <w:r>
        <w:rPr>
          <w:rFonts w:ascii="宋体" w:hAnsi="宋体" w:eastAsia="宋体"/>
          <w:b w:val="0"/>
          <w:sz w:val="24"/>
        </w:rPr>
        <w:t>结束语： 感谢您的参与！您的意见对公司优化至关重要。</w:t>
      </w:r>
    </w:p>
    <w:p w14:paraId="1BF33625">
      <w:pPr>
        <w:pStyle w:val="3"/>
      </w:pPr>
      <w:bookmarkStart w:id="61" w:name="_Toc27723"/>
      <w:r>
        <w:t>附录B 访谈提纲</w:t>
      </w:r>
      <w:bookmarkEnd w:id="61"/>
    </w:p>
    <w:p w14:paraId="175AD027">
      <w:pPr>
        <w:spacing w:after="0" w:line="360" w:lineRule="auto"/>
        <w:ind w:firstLine="0"/>
        <w:jc w:val="both"/>
      </w:pPr>
      <w:r>
        <w:rPr>
          <w:rFonts w:ascii="宋体" w:hAnsi="宋体" w:eastAsia="宋体"/>
          <w:b w:val="0"/>
          <w:sz w:val="24"/>
        </w:rPr>
        <w:t>Z公司工作流程数字化再造访谈提纲</w:t>
      </w:r>
    </w:p>
    <w:p w14:paraId="15A5240E">
      <w:pPr>
        <w:spacing w:after="0" w:line="360" w:lineRule="auto"/>
        <w:ind w:firstLine="0"/>
        <w:jc w:val="both"/>
      </w:pPr>
      <w:r>
        <w:rPr>
          <w:rFonts w:ascii="宋体" w:hAnsi="宋体" w:eastAsia="宋体"/>
          <w:b w:val="0"/>
          <w:sz w:val="24"/>
        </w:rPr>
        <w:t>访谈对象： 中高层管理人员、资深项目经理（10人）</w:t>
      </w:r>
    </w:p>
    <w:p w14:paraId="0E021487">
      <w:pPr>
        <w:spacing w:after="0" w:line="360" w:lineRule="auto"/>
        <w:ind w:firstLine="0"/>
        <w:jc w:val="both"/>
      </w:pPr>
      <w:r>
        <w:rPr>
          <w:rFonts w:ascii="宋体" w:hAnsi="宋体" w:eastAsia="宋体"/>
          <w:b w:val="0"/>
          <w:sz w:val="24"/>
        </w:rPr>
        <w:t>访谈形式： 半结构化访谈，线上/线下，平均时长45分钟</w:t>
      </w:r>
    </w:p>
    <w:p w14:paraId="7F3B1E10">
      <w:pPr>
        <w:spacing w:after="0" w:line="360" w:lineRule="auto"/>
        <w:ind w:firstLine="0"/>
        <w:jc w:val="both"/>
      </w:pPr>
      <w:r>
        <w:rPr>
          <w:rFonts w:ascii="宋体" w:hAnsi="宋体" w:eastAsia="宋体"/>
          <w:b w:val="0"/>
          <w:sz w:val="24"/>
        </w:rPr>
        <w:t>访谈目的： 深入了解工作流程现状、问题、成因及建议，补充问卷数据</w:t>
      </w:r>
    </w:p>
    <w:p w14:paraId="21653DBF">
      <w:pPr>
        <w:spacing w:after="0" w:line="360" w:lineRule="auto"/>
        <w:ind w:firstLine="0"/>
        <w:jc w:val="both"/>
      </w:pPr>
      <w:r>
        <w:rPr>
          <w:rFonts w:ascii="宋体" w:hAnsi="宋体" w:eastAsia="宋体"/>
          <w:b w:val="0"/>
          <w:sz w:val="24"/>
        </w:rPr>
        <w:t>访谈日期： 2025年10-11月</w:t>
      </w:r>
    </w:p>
    <w:p w14:paraId="254E7239">
      <w:pPr>
        <w:spacing w:after="0" w:line="360" w:lineRule="auto"/>
        <w:ind w:firstLine="0"/>
        <w:jc w:val="both"/>
      </w:pPr>
      <w:r>
        <w:rPr>
          <w:rFonts w:ascii="宋体" w:hAnsi="宋体" w:eastAsia="宋体"/>
          <w:b w:val="0"/>
          <w:sz w:val="24"/>
        </w:rPr>
        <w:t>访谈原则： 匿名、保密、开放式引导</w:t>
      </w:r>
    </w:p>
    <w:p w14:paraId="48EB5DD7">
      <w:pPr>
        <w:pStyle w:val="4"/>
      </w:pPr>
      <w:bookmarkStart w:id="62" w:name="_Toc17874"/>
      <w:r>
        <w:t>一、开场白与基本信息</w:t>
      </w:r>
      <w:bookmarkEnd w:id="62"/>
    </w:p>
    <w:p w14:paraId="1531DF4C">
      <w:pPr>
        <w:spacing w:after="0" w:line="360" w:lineRule="auto"/>
        <w:ind w:firstLine="0"/>
        <w:jc w:val="both"/>
      </w:pPr>
      <w:r>
        <w:rPr>
          <w:rFonts w:ascii="宋体" w:hAnsi="宋体" w:eastAsia="宋体"/>
          <w:b w:val="0"/>
          <w:sz w:val="24"/>
        </w:rPr>
        <w:t>- 自我介绍与访谈目的说明。</w:t>
      </w:r>
    </w:p>
    <w:p w14:paraId="36A96C59">
      <w:pPr>
        <w:spacing w:after="0" w:line="360" w:lineRule="auto"/>
        <w:ind w:firstLine="0"/>
        <w:jc w:val="both"/>
      </w:pPr>
      <w:r>
        <w:rPr>
          <w:rFonts w:ascii="宋体" w:hAnsi="宋体" w:eastAsia="宋体"/>
          <w:b w:val="0"/>
          <w:sz w:val="24"/>
        </w:rPr>
        <w:t>- 确认访谈录音许可。</w:t>
      </w:r>
    </w:p>
    <w:p w14:paraId="1B12AA8C">
      <w:pPr>
        <w:spacing w:after="0" w:line="360" w:lineRule="auto"/>
        <w:ind w:firstLine="0"/>
        <w:jc w:val="both"/>
      </w:pPr>
      <w:r>
        <w:rPr>
          <w:rFonts w:ascii="宋体" w:hAnsi="宋体" w:eastAsia="宋体"/>
          <w:b w:val="0"/>
          <w:sz w:val="24"/>
        </w:rPr>
        <w:t>- 询问基本信息：职位、工作年限、部门、地域。</w:t>
      </w:r>
    </w:p>
    <w:p w14:paraId="33ACE60D">
      <w:pPr>
        <w:pStyle w:val="4"/>
      </w:pPr>
      <w:bookmarkStart w:id="63" w:name="_Toc12587"/>
      <w:r>
        <w:t>二、核心问题</w:t>
      </w:r>
      <w:bookmarkEnd w:id="63"/>
    </w:p>
    <w:p w14:paraId="63FDADF1">
      <w:pPr>
        <w:spacing w:after="0" w:line="360" w:lineRule="auto"/>
        <w:ind w:firstLine="0"/>
        <w:jc w:val="both"/>
      </w:pPr>
      <w:r>
        <w:rPr>
          <w:rFonts w:ascii="宋体" w:hAnsi="宋体" w:eastAsia="宋体"/>
          <w:b w:val="0"/>
          <w:sz w:val="24"/>
        </w:rPr>
        <w:t>1. 请描述公司典型招标项目的整体流程，包括主要环节与执行方式？</w:t>
      </w:r>
    </w:p>
    <w:p w14:paraId="367787F1">
      <w:pPr>
        <w:spacing w:after="0" w:line="360" w:lineRule="auto"/>
        <w:ind w:firstLine="0"/>
        <w:jc w:val="both"/>
      </w:pPr>
      <w:r>
        <w:rPr>
          <w:rFonts w:ascii="宋体" w:hAnsi="宋体" w:eastAsia="宋体"/>
          <w:b w:val="0"/>
          <w:sz w:val="24"/>
        </w:rPr>
        <w:t>2. 在您看来，公司工作流程的数字化程度如何？有哪些工具常用？优势与不足是什么？</w:t>
      </w:r>
    </w:p>
    <w:p w14:paraId="63EDB216">
      <w:pPr>
        <w:spacing w:after="0" w:line="360" w:lineRule="auto"/>
        <w:ind w:firstLine="0"/>
        <w:jc w:val="both"/>
      </w:pPr>
      <w:r>
        <w:rPr>
          <w:rFonts w:ascii="宋体" w:hAnsi="宋体" w:eastAsia="宋体"/>
          <w:b w:val="0"/>
          <w:sz w:val="24"/>
        </w:rPr>
        <w:t>3. 数字化工具间集成情况如何？是否存在数据孤岛或兼容问题？举例说明。</w:t>
      </w:r>
    </w:p>
    <w:p w14:paraId="57ACA476">
      <w:pPr>
        <w:spacing w:after="0" w:line="360" w:lineRule="auto"/>
        <w:ind w:firstLine="0"/>
        <w:jc w:val="both"/>
      </w:pPr>
      <w:r>
        <w:rPr>
          <w:rFonts w:ascii="宋体" w:hAnsi="宋体" w:eastAsia="宋体"/>
          <w:b w:val="0"/>
          <w:sz w:val="24"/>
        </w:rPr>
        <w:t>4. 工作流程中是否存在冗余环节？这些环节如何导致资源浪费或时间损失？</w:t>
      </w:r>
    </w:p>
    <w:p w14:paraId="3CA2AE78">
      <w:pPr>
        <w:spacing w:after="0" w:line="360" w:lineRule="auto"/>
        <w:ind w:firstLine="0"/>
        <w:jc w:val="both"/>
      </w:pPr>
      <w:r>
        <w:rPr>
          <w:rFonts w:ascii="宋体" w:hAnsi="宋体" w:eastAsia="宋体"/>
          <w:b w:val="0"/>
          <w:sz w:val="24"/>
        </w:rPr>
        <w:t>5. 员工的数字化工具运用意识与技能水平如何？影响因素是什么？</w:t>
      </w:r>
    </w:p>
    <w:p w14:paraId="06470FB7">
      <w:pPr>
        <w:spacing w:after="0" w:line="360" w:lineRule="auto"/>
        <w:ind w:firstLine="0"/>
        <w:jc w:val="both"/>
      </w:pPr>
      <w:r>
        <w:rPr>
          <w:rFonts w:ascii="宋体" w:hAnsi="宋体" w:eastAsia="宋体"/>
          <w:b w:val="0"/>
          <w:sz w:val="24"/>
        </w:rPr>
        <w:t>6. 内部管理机制对工作流程优化的影响？滞后点在哪里？</w:t>
      </w:r>
    </w:p>
    <w:p w14:paraId="1504219F">
      <w:pPr>
        <w:spacing w:after="0" w:line="360" w:lineRule="auto"/>
        <w:ind w:firstLine="0"/>
        <w:jc w:val="both"/>
      </w:pPr>
      <w:r>
        <w:rPr>
          <w:rFonts w:ascii="宋体" w:hAnsi="宋体" w:eastAsia="宋体"/>
          <w:b w:val="0"/>
          <w:sz w:val="24"/>
        </w:rPr>
        <w:t>7. 技术基础设施是否支撑当前需求？薄弱环节是什么？</w:t>
      </w:r>
    </w:p>
    <w:p w14:paraId="123E2C5C">
      <w:pPr>
        <w:spacing w:after="0" w:line="360" w:lineRule="auto"/>
        <w:ind w:firstLine="0"/>
        <w:jc w:val="both"/>
      </w:pPr>
      <w:r>
        <w:rPr>
          <w:rFonts w:ascii="宋体" w:hAnsi="宋体" w:eastAsia="宋体"/>
          <w:b w:val="0"/>
          <w:sz w:val="24"/>
        </w:rPr>
        <w:t>8. 公司流程设计与外部监管要求及电子招投标标准是否匹配？脱节体现在哪里？</w:t>
      </w:r>
    </w:p>
    <w:p w14:paraId="21792D88">
      <w:pPr>
        <w:spacing w:after="0" w:line="360" w:lineRule="auto"/>
        <w:ind w:firstLine="0"/>
        <w:jc w:val="both"/>
      </w:pPr>
      <w:r>
        <w:rPr>
          <w:rFonts w:ascii="宋体" w:hAnsi="宋体" w:eastAsia="宋体"/>
          <w:b w:val="0"/>
          <w:sz w:val="24"/>
        </w:rPr>
        <w:t>9. 人力资源培训体系现状如何？对数字化转型的支持度？</w:t>
      </w:r>
    </w:p>
    <w:p w14:paraId="5A3E32AF">
      <w:pPr>
        <w:spacing w:after="0" w:line="360" w:lineRule="auto"/>
        <w:ind w:firstLine="0"/>
        <w:jc w:val="both"/>
      </w:pPr>
      <w:r>
        <w:rPr>
          <w:rFonts w:ascii="宋体" w:hAnsi="宋体" w:eastAsia="宋体"/>
          <w:b w:val="0"/>
          <w:sz w:val="24"/>
        </w:rPr>
        <w:t>10. 您对公司工作流程数字化再造的建议？优先措施是什么？</w:t>
      </w:r>
    </w:p>
    <w:p w14:paraId="6D088BFE">
      <w:pPr>
        <w:spacing w:after="0" w:line="360" w:lineRule="auto"/>
        <w:ind w:firstLine="0"/>
        <w:jc w:val="both"/>
      </w:pPr>
      <w:r>
        <w:rPr>
          <w:rFonts w:ascii="宋体" w:hAnsi="宋体" w:eastAsia="宋体"/>
          <w:b w:val="0"/>
          <w:sz w:val="24"/>
        </w:rPr>
        <w:t>11. 其他补充意见？</w:t>
      </w:r>
    </w:p>
    <w:p w14:paraId="20910092">
      <w:pPr>
        <w:pStyle w:val="4"/>
      </w:pPr>
      <w:bookmarkStart w:id="64" w:name="_Toc8896"/>
      <w:r>
        <w:t>三、结束语</w:t>
      </w:r>
      <w:bookmarkEnd w:id="64"/>
    </w:p>
    <w:p w14:paraId="10E866AA">
      <w:pPr>
        <w:spacing w:after="0" w:line="360" w:lineRule="auto"/>
        <w:ind w:firstLine="0"/>
        <w:jc w:val="both"/>
      </w:pPr>
      <w:r>
        <w:rPr>
          <w:rFonts w:ascii="宋体" w:hAnsi="宋体" w:eastAsia="宋体"/>
          <w:b w:val="0"/>
          <w:sz w:val="24"/>
        </w:rPr>
        <w:t>感谢参与！确认访谈内容准确性，并告知后续使用方式。</w:t>
      </w:r>
    </w:p>
    <w:sectPr>
      <w:footerReference r:id="rId5" w:type="default"/>
      <w:pgSz w:w="11906" w:h="16838"/>
      <w:pgMar w:top="1701" w:right="1701" w:bottom="1701"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2202C">
    <w:pPr>
      <w:pStyle w:val="25"/>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3068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60"/>
      <w:ind w:firstLine="0"/>
      <w:jc w:val="center"/>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160" w:after="80"/>
      <w:ind w:firstLine="0"/>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160" w:after="80"/>
      <w:ind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160" w:after="80"/>
      <w:ind w:firstLine="0"/>
      <w:jc w:val="left"/>
      <w:outlineLvl w:val="3"/>
    </w:pPr>
    <w:rPr>
      <w:rFonts w:asciiTheme="majorHAnsi" w:hAnsiTheme="majorHAnsi" w:eastAsiaTheme="majorEastAsia" w:cstheme="majorBidi"/>
      <w:b/>
      <w:bCs/>
      <w:i/>
      <w:iCs/>
      <w:color w:val="000000"/>
      <w:sz w:val="24"/>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4827</Words>
  <Characters>6981</Characters>
  <Lines>0</Lines>
  <Paragraphs>0</Paragraphs>
  <TotalTime>9</TotalTime>
  <ScaleCrop>false</ScaleCrop>
  <LinksUpToDate>false</LinksUpToDate>
  <CharactersWithSpaces>7392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GUAVAstar</cp:lastModifiedBy>
  <dcterms:modified xsi:type="dcterms:W3CDTF">2026-10-20T15:47:26Z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eyJoZGlkIjoiMjE5ZDMxYTE3Njc0NTJjYmJkYjA1OWJjNWZjNWQ1NDAiLCJ1c2VySWQiOiIxMTAzODM2NTI4In0=</vt:lpwstr>
  </property>
  <property fmtid="{D5CDD505-2E9C-101B-9397-08002B2CF9AE}" pid="3" name="KSOProductBuildVer">
    <vt:lpwstr>2052-12.1.0.29161</vt:lpwstr>
  </property>
  <property fmtid="{D5CDD505-2E9C-101B-9397-08002B2CF9AE}" pid="4" name="ICV">
    <vt:lpwstr>79D4887E78F149B49180564BDF9C1677_12</vt:lpwstr>
  </property>
</Properties>
</file>