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>（招标项目名称）</w:t>
      </w:r>
      <w:r>
        <w:rPr>
          <w:rFonts w:hint="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Cs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标段招标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pStyle w:val="5"/>
        <w:spacing w:before="240" w:after="240"/>
        <w:jc w:val="center"/>
        <w:rPr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_Toc6941"/>
      <w:r>
        <w:rPr>
          <w:rFonts w:hint="eastAsia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投标文件</w:t>
      </w:r>
      <w:bookmarkEnd w:id="0"/>
    </w:p>
    <w:p>
      <w:pPr>
        <w:pStyle w:val="5"/>
        <w:spacing w:before="240" w:after="240"/>
        <w:jc w:val="center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8747"/>
      <w:bookmarkStart w:id="2" w:name="_Toc18920"/>
      <w:bookmarkStart w:id="3" w:name="_Toc7297"/>
      <w:bookmarkStart w:id="4" w:name="_Toc14582"/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（报价文件）</w:t>
      </w:r>
      <w:bookmarkEnd w:id="1"/>
      <w:bookmarkEnd w:id="2"/>
      <w:bookmarkEnd w:id="3"/>
      <w:bookmarkEnd w:id="4"/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b/>
          <w:bCs/>
          <w:color w:val="000000" w:themeColor="text1"/>
          <w:sz w:val="20"/>
          <w:szCs w:val="2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投标人：北京华信建设工程有限公司（盖单位章）</w:t>
      </w:r>
    </w:p>
    <w:p>
      <w:pPr>
        <w:jc w:val="center"/>
        <w:rPr>
          <w:rFonts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b/>
          <w:bCs/>
          <w:color w:val="000000" w:themeColor="text1"/>
          <w:sz w:val="28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2026年8月20日</w:t>
      </w:r>
    </w:p>
    <w:p>
      <w:pPr>
        <w:jc w:val="center"/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目  录</w:t>
      </w:r>
    </w:p>
    <w:p>
      <w:pPr>
        <w:ind w:firstLine="446"/>
        <w:rPr>
          <w:color w:val="000000" w:themeColor="text1"/>
          <w:spacing w:val="-6"/>
          <w:szCs w:val="21"/>
          <w14:textFill>
            <w14:solidFill>
              <w14:schemeClr w14:val="tx1"/>
            </w14:solidFill>
          </w14:textFill>
        </w:rPr>
      </w:pPr>
    </w:p>
    <w:p>
      <w:pPr>
        <w:ind w:firstLine="446"/>
        <w:rPr>
          <w:color w:val="000000" w:themeColor="text1"/>
          <w:spacing w:val="-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-6"/>
          <w:szCs w:val="21"/>
          <w14:textFill>
            <w14:solidFill>
              <w14:schemeClr w14:val="tx1"/>
            </w14:solidFill>
          </w14:textFill>
        </w:rPr>
        <w:t>一、投标函</w:t>
      </w:r>
    </w:p>
    <w:p>
      <w:pPr>
        <w:ind w:firstLine="446"/>
        <w:rPr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-6"/>
          <w:szCs w:val="21"/>
          <w14:textFill>
            <w14:solidFill>
              <w14:schemeClr w14:val="tx1"/>
            </w14:solidFill>
          </w14:textFill>
        </w:rPr>
        <w:t>二、价格清单</w:t>
      </w:r>
    </w:p>
    <w:p>
      <w:pPr>
        <w:ind w:firstLine="446"/>
        <w:rPr>
          <w:color w:val="000000" w:themeColor="text1"/>
          <w:spacing w:val="-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-6"/>
          <w:szCs w:val="21"/>
          <w14:textFill>
            <w14:solidFill>
              <w14:schemeClr w14:val="tx1"/>
            </w14:solidFill>
          </w14:textFill>
        </w:rPr>
        <w:t>三、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投标报价需要说明的其他资料</w:t>
      </w:r>
    </w:p>
    <w:p>
      <w:r>
        <w:t>本报价已充分考虑招标文件全部要求及现场踏勘情况，报价有效期与投标有效期一致，税率按国家现行规定执行。</w:t>
      </w:r>
    </w:p>
    <w:p>
      <w:r>
        <w:t>详见附件《投标报价说明》。</w:t>
      </w:r>
    </w:p>
    <w:p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5486400" cy="3790603"/>
            <wp:effectExtent l="0" t="0" r="0" b="0"/>
            <wp:docPr id="1" name="image12.png"/>
            <wp:cNvGraphicFramePr/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240" w:after="240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460227120"/>
      <w:bookmarkStart w:id="6" w:name="_Toc421917012"/>
      <w:bookmarkStart w:id="7" w:name="_Toc390411631"/>
      <w:bookmarkStart w:id="8" w:name="_Toc460660235"/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一、投标函</w:t>
      </w:r>
      <w:bookmarkEnd w:id="5"/>
      <w:bookmarkEnd w:id="6"/>
      <w:bookmarkEnd w:id="7"/>
      <w:bookmarkEnd w:id="8"/>
    </w:p>
    <w:p>
      <w:pPr>
        <w:spacing w:before="48" w:after="48"/>
        <w:rPr>
          <w:color w:val="000000" w:themeColor="text1"/>
          <w:szCs w:val="2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致：北京市大兴区城市管理委员会</w:t>
      </w:r>
    </w:p>
    <w:p>
      <w:pPr>
        <w:tabs>
          <w:tab w:val="left" w:pos="7560"/>
        </w:tabs>
        <w:spacing w:before="48" w:after="48"/>
        <w:ind w:firstLine="480"/>
        <w:jc w:val="left"/>
        <w:rPr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2"/>
          <w14:textFill>
            <w14:solidFill>
              <w14:schemeClr w14:val="tx1"/>
            </w14:solidFill>
          </w14:textFill>
        </w:rPr>
        <w:t>1. 我方已仔细研究</w:t>
      </w:r>
      <w:r>
        <w:rPr>
          <w:rFonts w:hint="eastAsia"/>
          <w:color w:val="000000" w:themeColor="text1"/>
          <w:szCs w:val="22"/>
          <w:u w:val="single"/>
          <w14:textFill>
            <w14:solidFill>
              <w14:schemeClr w14:val="tx1"/>
            </w14:solidFill>
          </w14:textFill>
        </w:rPr>
        <w:t>（招标项目名称）</w:t>
      </w:r>
      <w:r>
        <w:rPr>
          <w:rFonts w:hint="eastAsia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2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szCs w:val="22"/>
          <w14:textFill>
            <w14:solidFill>
              <w14:schemeClr w14:val="tx1"/>
            </w14:solidFill>
          </w14:textFill>
        </w:rPr>
        <w:t>标段招标文件的全部内容，在考察项目现场后，愿意以</w:t>
      </w:r>
    </w:p>
    <w:p>
      <w:pPr>
        <w:ind w:left="780"/>
        <w:rPr>
          <w:color w:val="000000"/>
        </w:rPr>
      </w:pPr>
      <w:r>
        <w:rPr>
          <w:rFonts w:hint="eastAsia"/>
          <w:color w:val="000000"/>
        </w:rPr>
        <w:t>未税价：大写人民币叁亿零贰佰万元整元（人民币）小写302,070,000元（人民币）；</w:t>
      </w:r>
      <w:bookmarkStart w:id="9" w:name="_Hlk51664188"/>
      <w:bookmarkEnd w:id="9"/>
    </w:p>
    <w:p>
      <w:pPr>
        <w:ind w:left="780"/>
        <w:rPr>
          <w:color w:val="000000"/>
        </w:rPr>
      </w:pPr>
      <w:r>
        <w:rPr>
          <w:rFonts w:hint="eastAsia"/>
          <w:color w:val="000000"/>
        </w:rPr>
        <w:t>含税价：大写人民币叁亿贰仟玖佰壹拾捌万元整元（人民币））小写329,270,000元（人民币）</w:t>
      </w:r>
      <w:bookmarkStart w:id="10" w:name="_Hlk51664162"/>
      <w:bookmarkEnd w:id="10"/>
    </w:p>
    <w:p>
      <w:pPr>
        <w:tabs>
          <w:tab w:val="left" w:pos="7560"/>
        </w:tabs>
        <w:spacing w:before="48" w:after="48"/>
        <w:ind w:firstLine="480"/>
        <w:jc w:val="left"/>
        <w:rPr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2"/>
          <w14:textFill>
            <w14:solidFill>
              <w14:schemeClr w14:val="tx1"/>
            </w14:solidFill>
          </w14:textFill>
        </w:rPr>
        <w:t>的投标总报价，按照合同约定进行设计、管理工作，实现工程目的。</w:t>
      </w:r>
    </w:p>
    <w:p>
      <w:pPr>
        <w:tabs>
          <w:tab w:val="left" w:pos="7560"/>
        </w:tabs>
        <w:spacing w:before="48" w:after="48"/>
        <w:ind w:firstLine="480"/>
        <w:jc w:val="left"/>
        <w:rPr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2. 我方已按照招标文件要求详细审核并确认全部招标文件及有关附件，充分理解投标价格不得低于企业个别成本有关规定。我方经成本核算，所填报的投标报价不低于企业个别成本。</w:t>
      </w:r>
    </w:p>
    <w:p>
      <w:pPr>
        <w:spacing w:before="48" w:after="48"/>
        <w:ind w:firstLine="420"/>
        <w:rPr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32"/>
          <w14:textFill>
            <w14:solidFill>
              <w14:schemeClr w14:val="tx1"/>
            </w14:solidFill>
          </w14:textFill>
        </w:rPr>
        <w:t>3.我单位承诺严格按照招标文件及合同约定完成全部工作，并接受招标文件关于投标保证金、履约保证金的相关规定。（其他补充说明）。</w:t>
      </w:r>
    </w:p>
    <w:p>
      <w:pPr>
        <w:spacing w:before="48" w:after="48"/>
        <w:ind w:firstLine="420"/>
        <w:rPr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jc w:val="right"/>
        <w:rPr>
          <w:bCs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投标人：北京华信建设工程有限公司（盖单位章）</w:t>
      </w:r>
    </w:p>
    <w:p>
      <w:pPr>
        <w:jc w:val="right"/>
        <w:rPr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法定代表人：王建国（签字或盖章）</w:t>
      </w:r>
    </w:p>
    <w:p>
      <w:pPr>
        <w:jc w:val="right"/>
        <w:rPr>
          <w:rFonts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日期：2026年8月20日</w:t>
      </w:r>
    </w:p>
    <w:p>
      <w:pPr>
        <w:pStyle w:val="6"/>
        <w:spacing w:before="24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13928604"/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二、价格清单</w:t>
      </w:r>
      <w:bookmarkEnd w:id="11"/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（一） </w:t>
      </w: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投标报价汇总表</w:t>
      </w:r>
    </w:p>
    <w:p>
      <w:pPr>
        <w:spacing w:line="440" w:lineRule="exact"/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footerReference r:id="rId7" w:type="even"/>
          <w:footnotePr>
            <w:numFmt w:val="decimalEnclosedCircle"/>
          </w:footnotePr>
          <w:pgSz w:w="11906" w:h="16838"/>
          <w:pgMar w:top="1440" w:right="1519" w:bottom="1157" w:left="1519" w:header="851" w:footer="850" w:gutter="0"/>
          <w:pgNumType w:start="1"/>
          <w:cols w:space="1701" w:num="1"/>
          <w:docGrid w:linePitch="360" w:charSpace="0"/>
        </w:sectPr>
      </w:pPr>
    </w:p>
    <w:tbl>
      <w:tblPr>
        <w:tblStyle w:val="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249"/>
        <w:gridCol w:w="1243"/>
        <w:gridCol w:w="1445"/>
        <w:gridCol w:w="1572"/>
        <w:gridCol w:w="1318"/>
        <w:gridCol w:w="1483"/>
        <w:gridCol w:w="1483"/>
        <w:gridCol w:w="17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4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　</w:t>
            </w:r>
          </w:p>
        </w:tc>
        <w:tc>
          <w:tcPr>
            <w:tcW w:w="1473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设计费</w:t>
            </w:r>
          </w:p>
        </w:tc>
        <w:tc>
          <w:tcPr>
            <w:tcW w:w="1506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管理费</w:t>
            </w:r>
          </w:p>
        </w:tc>
        <w:tc>
          <w:tcPr>
            <w:tcW w:w="57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小计金额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（未税 CNY）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</w:trPr>
        <w:tc>
          <w:tcPr>
            <w:tcW w:w="3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分项</w:t>
            </w:r>
          </w:p>
        </w:tc>
        <w:tc>
          <w:tcPr>
            <w:tcW w:w="1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工程费暂估（未税 CNY）</w:t>
            </w:r>
          </w:p>
        </w:tc>
        <w:tc>
          <w:tcPr>
            <w:tcW w:w="4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费率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（设计费合计金额/工程费暂估合计金额，保留小数点后三位）</w:t>
            </w:r>
          </w:p>
        </w:tc>
        <w:tc>
          <w:tcPr>
            <w:tcW w:w="5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设计费金额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（未税 CNY）</w:t>
            </w:r>
          </w:p>
        </w:tc>
        <w:tc>
          <w:tcPr>
            <w:tcW w:w="5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备注</w:t>
            </w:r>
          </w:p>
        </w:tc>
        <w:tc>
          <w:tcPr>
            <w:tcW w:w="46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费率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（设计费合计金额/工程费暂估合计金额，保留小数点后三位）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管理费金额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（未税 CNY）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备注</w:t>
            </w:r>
          </w:p>
        </w:tc>
        <w:tc>
          <w:tcPr>
            <w:tcW w:w="57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3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一阶段</w:t>
            </w:r>
          </w:p>
        </w:tc>
        <w:tc>
          <w:tcPr>
            <w:tcW w:w="1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 xml:space="preserve">           14,282,765,042.30 </w:t>
            </w:r>
          </w:p>
        </w:tc>
        <w:tc>
          <w:tcPr>
            <w:tcW w:w="414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0.64%</w:t>
            </w:r>
          </w:p>
        </w:tc>
        <w:tc>
          <w:tcPr>
            <w:tcW w:w="5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91,000,000.00</w:t>
            </w:r>
          </w:p>
        </w:tc>
        <w:tc>
          <w:tcPr>
            <w:tcW w:w="5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 xml:space="preserve"> ① </w:t>
            </w:r>
          </w:p>
        </w:tc>
        <w:tc>
          <w:tcPr>
            <w:tcW w:w="464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0.74%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105,000,000.00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 xml:space="preserve"> ③ </w:t>
            </w: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196,000,000.00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3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二阶段</w:t>
            </w:r>
          </w:p>
        </w:tc>
        <w:tc>
          <w:tcPr>
            <w:tcW w:w="1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 xml:space="preserve">             7,737,234,957.70 </w:t>
            </w:r>
          </w:p>
        </w:tc>
        <w:tc>
          <w:tcPr>
            <w:tcW w:w="414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49,000,000.00</w:t>
            </w:r>
          </w:p>
        </w:tc>
        <w:tc>
          <w:tcPr>
            <w:tcW w:w="5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 xml:space="preserve"> ② </w:t>
            </w:r>
          </w:p>
        </w:tc>
        <w:tc>
          <w:tcPr>
            <w:tcW w:w="464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57,000,000.00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 xml:space="preserve"> ④ </w:t>
            </w: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106,000,000.00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3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合计</w:t>
            </w:r>
          </w:p>
        </w:tc>
        <w:tc>
          <w:tcPr>
            <w:tcW w:w="11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 xml:space="preserve">           22,020,000,000.00 </w:t>
            </w:r>
          </w:p>
        </w:tc>
        <w:tc>
          <w:tcPr>
            <w:tcW w:w="414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140,000,000.00</w:t>
            </w:r>
          </w:p>
        </w:tc>
        <w:tc>
          <w:tcPr>
            <w:tcW w:w="5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 xml:space="preserve"> ①+② </w:t>
            </w:r>
          </w:p>
        </w:tc>
        <w:tc>
          <w:tcPr>
            <w:tcW w:w="464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162,000,000.00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 xml:space="preserve"> ③+④ </w:t>
            </w: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pStyle w:val="7"/>
              <w:widowControl/>
              <w:numPr>
                <w:ilvl w:val="0"/>
                <w:numId w:val="1"/>
              </w:numPr>
              <w:spacing w:line="240" w:lineRule="auto"/>
              <w:jc w:val="center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302,000,000.00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报价规范：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报价分别填写设计费金额及管理费金额，费率、小计金额、合计金额按照表单中工时计算。</w:t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sz w:val="22"/>
                <w:szCs w:val="22"/>
              </w:rPr>
              <w:t>金额保留小数点后两位，费率保留小数点后三位；</w:t>
            </w:r>
          </w:p>
        </w:tc>
      </w:tr>
    </w:tbl>
    <w:p>
      <w:pPr>
        <w:spacing w:line="440" w:lineRule="exact"/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>
      <w:pP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sectPr>
          <w:footnotePr>
            <w:numFmt w:val="decimalEnclosedCircle"/>
          </w:footnotePr>
          <w:pgSz w:w="16838" w:h="11906" w:orient="landscape"/>
          <w:pgMar w:top="1519" w:right="1440" w:bottom="1519" w:left="1157" w:header="851" w:footer="850" w:gutter="0"/>
          <w:cols w:space="1701" w:num="1"/>
          <w:docGrid w:linePitch="360" w:charSpace="0"/>
        </w:sectPr>
      </w:pPr>
      <w:bookmarkStart w:id="12" w:name="_Toc13928607"/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（二） 招标人参考的材料品牌响应表</w:t>
      </w:r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品牌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（如要求）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896"/>
        <w:gridCol w:w="876"/>
        <w:gridCol w:w="876"/>
        <w:gridCol w:w="876"/>
        <w:gridCol w:w="876"/>
        <w:gridCol w:w="696"/>
        <w:gridCol w:w="18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材料、设备名称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品牌1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品牌2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品牌3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品牌4</w:t>
            </w:r>
          </w:p>
        </w:tc>
        <w:tc>
          <w:tcPr>
            <w:tcW w:w="6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8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投标人选定品牌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9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燃气PE管（dn315）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华创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中燃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津海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泰达</w:t>
            </w:r>
          </w:p>
        </w:tc>
        <w:tc>
          <w:tcPr>
            <w:tcW w:w="6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符合GB/T 15558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华创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9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调压器（RTZ-40）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博燃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蓝天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华通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中压</w:t>
            </w:r>
          </w:p>
        </w:tc>
        <w:tc>
          <w:tcPr>
            <w:tcW w:w="6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符合CJ/T 466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博燃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9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阀门（DN100球阀）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良工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开维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郑阀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沪工</w:t>
            </w:r>
          </w:p>
        </w:tc>
        <w:tc>
          <w:tcPr>
            <w:tcW w:w="6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符合GB/T 12237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良工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9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可燃气体报警器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安瑞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赛福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龙安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t>鑫科</w:t>
            </w:r>
          </w:p>
        </w:tc>
        <w:tc>
          <w:tcPr>
            <w:tcW w:w="6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符合GB 15322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安瑞</w:t>
            </w:r>
          </w:p>
        </w:tc>
      </w:tr>
    </w:tbl>
    <w:p>
      <w:pPr>
        <w:jc w:val="left"/>
        <w:rPr>
          <w:color w:val="000000" w:themeColor="text1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18"/>
          <w14:textFill>
            <w14:solidFill>
              <w14:schemeClr w14:val="tx1"/>
            </w14:solidFill>
          </w14:textFill>
        </w:rPr>
        <w:t>注：</w:t>
      </w:r>
    </w:p>
    <w:p>
      <w:pPr>
        <w:ind w:firstLine="480"/>
        <w:jc w:val="left"/>
        <w:rPr>
          <w:bCs/>
          <w:color w:val="000000" w:themeColor="text1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18"/>
          <w14:textFill>
            <w14:solidFill>
              <w14:schemeClr w14:val="tx1"/>
            </w14:solidFill>
          </w14:textFill>
        </w:rPr>
        <w:t>1. 本表仅针对不采用招标人参考品牌，采用其他品牌的投标人填写，并注明并提供相关技术参数、业绩等供评标委员会评审，未在上表中注明且未提供相关技术参数、业绩，或经评标委员会评审未通过的，中标后只能从招标人参考品牌中进行选择，价格不予调整。</w:t>
      </w:r>
    </w:p>
    <w:p>
      <w:pPr>
        <w:ind w:firstLine="480"/>
        <w:jc w:val="left"/>
        <w:rPr>
          <w:bCs/>
          <w:color w:val="000000" w:themeColor="text1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18"/>
          <w14:textFill>
            <w14:solidFill>
              <w14:schemeClr w14:val="tx1"/>
            </w14:solidFill>
          </w14:textFill>
        </w:rPr>
        <w:t>2. 对于招标人参考品牌的材料、设备等，投标人如认为招标人参考的品牌有限定性、唯一性、明显不在同一档次等级的或者其他疑问的，应在本招标项目澄清提出的截止时间前通过电子交易系统提交。</w:t>
      </w:r>
    </w:p>
    <w:p>
      <w:pPr>
        <w:ind w:firstLine="480"/>
        <w:jc w:val="left"/>
        <w:rPr>
          <w:bCs/>
          <w:color w:val="000000" w:themeColor="text1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18"/>
          <w14:textFill>
            <w14:solidFill>
              <w14:schemeClr w14:val="tx1"/>
            </w14:solidFill>
          </w14:textFill>
        </w:rPr>
        <w:br w:type="page"/>
      </w:r>
    </w:p>
    <w:p>
      <w:pPr>
        <w:pStyle w:val="6"/>
        <w:spacing w:before="24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三、投标报价需要说明的其他资料</w:t>
      </w:r>
      <w:bookmarkEnd w:id="12"/>
    </w:p>
    <w:p>
      <w:bookmarkStart w:id="13" w:name="_GoBack"/>
      <w:bookmarkEnd w:id="13"/>
    </w:p>
    <w:sectPr>
      <w:footnotePr>
        <w:numFmt w:val="decimalEnclosedCircle"/>
      </w:footnotePr>
      <w:pgSz w:w="11906" w:h="16838"/>
      <w:pgMar w:top="1440" w:right="1519" w:bottom="1157" w:left="1519" w:header="851" w:footer="850" w:gutter="0"/>
      <w:cols w:space="1701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95910" cy="19685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9591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  <w:tabs>
                              <w:tab w:val="clear" w:pos="4153"/>
                              <w:tab w:val="clear" w:pos="8306"/>
                            </w:tabs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147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/>
                      </w:txbxContent>
                    </wps:txbx>
                    <wps:bodyPr wrap="squar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5.5pt;width:23.3pt;mso-position-horizontal:center;mso-position-horizontal-relative:margin;z-index:251659264;mso-width-relative:page;mso-height-relative:page;" filled="f" stroked="f" coordsize="21600,21600" o:gfxdata="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gokW9IAAAADAQAADwAAAAAAAAABACAA&#10;AAAiAAAAZHJzL2Rvd25yZXYueG1sUEsBAhQAFAAAAAgAh07iQPWWOW/aAQAApwMAAA4AAAAAAAAA&#10;AQAgAAAAIQ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tabs>
                        <w:tab w:val="clear" w:pos="4153"/>
                        <w:tab w:val="clear" w:pos="8306"/>
                      </w:tabs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147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  <w:p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000000" w:sz="6" w:space="1"/>
      </w:pBdr>
      <w:tabs>
        <w:tab w:val="center" w:pos="4153"/>
        <w:tab w:val="right" w:pos="8306"/>
      </w:tabs>
      <w:spacing w:line="240" w:lineRule="auto"/>
      <w:jc w:val="left"/>
      <w:rPr>
        <w:rFonts w:ascii="宋体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A397E"/>
    <w:multiLevelType w:val="multilevel"/>
    <w:tmpl w:val="1E8A397E"/>
    <w:lvl w:ilvl="0" w:tentative="0">
      <w:start w:val="1"/>
      <w:numFmt w:val="decimalEnclosedCircle"/>
      <w:lvlText w:val="%1"/>
      <w:lvlJc w:val="left"/>
      <w:pPr>
        <w:ind w:left="4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lNzI1NjUyNDZmMDhkYmUzNTM0ODhmYjdiMmE4YjcifQ=="/>
  </w:docVars>
  <w:rsids>
    <w:rsidRoot w:val="00000000"/>
    <w:rsid w:val="219D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标题 21"/>
    <w:basedOn w:val="1"/>
    <w:next w:val="1"/>
    <w:qFormat/>
    <w:uiPriority w:val="0"/>
    <w:pPr>
      <w:keepNext/>
      <w:keepLines/>
      <w:spacing w:before="100" w:after="100" w:line="240" w:lineRule="auto"/>
      <w:jc w:val="left"/>
      <w:outlineLvl w:val="1"/>
    </w:pPr>
    <w:rPr>
      <w:rFonts w:ascii="Cambria" w:hAnsi="Cambria" w:eastAsia="黑体"/>
      <w:b/>
      <w:bCs/>
      <w:sz w:val="32"/>
      <w:szCs w:val="32"/>
    </w:rPr>
  </w:style>
  <w:style w:type="paragraph" w:customStyle="1" w:styleId="6">
    <w:name w:val="标题 31"/>
    <w:basedOn w:val="1"/>
    <w:next w:val="1"/>
    <w:qFormat/>
    <w:uiPriority w:val="0"/>
    <w:pPr>
      <w:keepNext/>
      <w:keepLines/>
      <w:spacing w:before="100" w:after="100" w:line="240" w:lineRule="auto"/>
      <w:jc w:val="left"/>
      <w:outlineLvl w:val="2"/>
    </w:pPr>
    <w:rPr>
      <w:rFonts w:ascii="黑体" w:hAnsi="黑体" w:eastAsia="黑体"/>
      <w:bCs/>
    </w:rPr>
  </w:style>
  <w:style w:type="paragraph" w:styleId="7">
    <w:name w:val="List Paragraph"/>
    <w:basedOn w:val="1"/>
    <w:autoRedefine/>
    <w:qFormat/>
    <w:uiPriority w:val="34"/>
    <w:pPr>
      <w:ind w:left="720"/>
      <w:contextualSpacing/>
    </w:pPr>
  </w:style>
  <w:style w:type="paragraph" w:customStyle="1" w:styleId="8">
    <w:name w:val="页脚1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9">
    <w:name w:val="页码1"/>
    <w:autoRedefine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2026-08-13T01:30:37Z</dcterms:created>
  <dc:creator>nana-</dc:creator>
  <cp:lastModifiedBy>GUAVAstar</cp:lastModifiedBy>
  <dcterms:modified xsi:type="dcterms:W3CDTF">2026-08-13T02:14:28Z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DD559C6158024E4B9DD2CFEC0FF907D5_12</vt:lpwstr>
  </property>
</Properties>
</file>