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FC6E" w14:textId="77777777" w:rsidR="0013105B" w:rsidRPr="000525C7" w:rsidRDefault="0013105B" w:rsidP="0013105B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13105B">
        <w:rPr>
          <w:rFonts w:ascii="Calibri" w:hAnsi="Calibri" w:cs="Calibri"/>
          <w:b/>
          <w:bCs/>
          <w:sz w:val="20"/>
          <w:szCs w:val="20"/>
          <w:u w:val="single"/>
        </w:rPr>
        <w:t>Monitoring produkcji biogazu</w:t>
      </w:r>
    </w:p>
    <w:p w14:paraId="6B98246D" w14:textId="3F38D479" w:rsidR="0013105B" w:rsidRDefault="0013105B" w:rsidP="0013105B">
      <w:pPr>
        <w:rPr>
          <w:rFonts w:ascii="Calibri" w:hAnsi="Calibri" w:cs="Calibri"/>
          <w:b/>
          <w:bCs/>
          <w:sz w:val="20"/>
          <w:szCs w:val="20"/>
        </w:rPr>
      </w:pPr>
      <w:r w:rsidRPr="0013105B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B360D90" w14:textId="2FBED325" w:rsidR="007D4299" w:rsidRPr="007D4299" w:rsidRDefault="007D4299" w:rsidP="007D4299">
      <w:pPr>
        <w:rPr>
          <w:rFonts w:ascii="Calibri" w:hAnsi="Calibri" w:cs="Calibri"/>
          <w:sz w:val="20"/>
          <w:szCs w:val="20"/>
        </w:rPr>
      </w:pPr>
      <w:r w:rsidRPr="000E394C">
        <w:rPr>
          <w:rFonts w:ascii="Calibri" w:hAnsi="Calibri" w:cs="Calibri"/>
          <w:sz w:val="20"/>
          <w:szCs w:val="20"/>
        </w:rPr>
        <w:t xml:space="preserve">Systemy sterowania biogazownią to zaawansowane układy automatyki i wizualizacji, które odpowiadają za optymalizację produkcji biogazu, bezpieczeństwo instalacji oraz automatyzację procesów biologicznych i mechanicznych. Nowoczesne systemy integrują pracę pomp, mieszadeł, dozowników substratu oraz </w:t>
      </w:r>
      <w:proofErr w:type="spellStart"/>
      <w:r w:rsidRPr="000E394C">
        <w:rPr>
          <w:rFonts w:ascii="Calibri" w:hAnsi="Calibri" w:cs="Calibri"/>
          <w:sz w:val="20"/>
          <w:szCs w:val="20"/>
        </w:rPr>
        <w:t>kogeneratorów</w:t>
      </w:r>
      <w:proofErr w:type="spellEnd"/>
      <w:r w:rsidRPr="000E394C">
        <w:rPr>
          <w:rFonts w:ascii="Calibri" w:hAnsi="Calibri" w:cs="Calibri"/>
          <w:sz w:val="20"/>
          <w:szCs w:val="20"/>
        </w:rPr>
        <w:t>, zapewniając ich wydajną pracę. </w:t>
      </w:r>
    </w:p>
    <w:p w14:paraId="446F41A4" w14:textId="77777777" w:rsidR="007D4299" w:rsidRPr="0013105B" w:rsidRDefault="007D4299" w:rsidP="0013105B">
      <w:pPr>
        <w:rPr>
          <w:rFonts w:ascii="Calibri" w:hAnsi="Calibri" w:cs="Calibri"/>
          <w:sz w:val="20"/>
          <w:szCs w:val="20"/>
        </w:rPr>
      </w:pPr>
    </w:p>
    <w:p w14:paraId="46BA545F" w14:textId="77777777" w:rsidR="0013105B" w:rsidRPr="0013105B" w:rsidRDefault="0013105B" w:rsidP="0013105B">
      <w:p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sz w:val="20"/>
          <w:szCs w:val="20"/>
        </w:rPr>
        <w:t>Stały nadzór i optymalizacja fermentacji są niezbędne dla stabilnej i wydajnej produkcji biogazu. Nawet przy stabilnym procesie pomiary pozwalają wykryć odchylenia i zapobiec awariom. Systemy automatyki sterują ogrzewaniem, dozowaniem wsadu, transportem, odsiarczaniem i separacją frakcji. Czujniki wymagają regularnej kalibracji i konserwacji.</w:t>
      </w:r>
    </w:p>
    <w:p w14:paraId="559D62F8" w14:textId="77777777" w:rsidR="0013105B" w:rsidRDefault="0013105B" w:rsidP="0013105B">
      <w:pPr>
        <w:rPr>
          <w:rFonts w:ascii="Calibri" w:hAnsi="Calibri" w:cs="Calibri"/>
          <w:sz w:val="20"/>
          <w:szCs w:val="20"/>
        </w:rPr>
      </w:pPr>
    </w:p>
    <w:p w14:paraId="75439434" w14:textId="524FAC9A" w:rsidR="0013105B" w:rsidRPr="0013105B" w:rsidRDefault="0013105B" w:rsidP="0013105B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13105B">
        <w:rPr>
          <w:rFonts w:ascii="Calibri" w:hAnsi="Calibri" w:cs="Calibri"/>
          <w:b/>
          <w:bCs/>
          <w:sz w:val="20"/>
          <w:szCs w:val="20"/>
          <w:u w:val="single"/>
        </w:rPr>
        <w:t>Kluczowe parametry:</w:t>
      </w:r>
    </w:p>
    <w:p w14:paraId="3C998AF9" w14:textId="77777777" w:rsidR="0013105B" w:rsidRPr="0013105B" w:rsidRDefault="0013105B" w:rsidP="0013105B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b/>
          <w:bCs/>
          <w:sz w:val="20"/>
          <w:szCs w:val="20"/>
        </w:rPr>
        <w:t>Ilość wsadu:</w:t>
      </w:r>
      <w:r w:rsidRPr="0013105B">
        <w:rPr>
          <w:rFonts w:ascii="Calibri" w:hAnsi="Calibri" w:cs="Calibri"/>
          <w:sz w:val="20"/>
          <w:szCs w:val="20"/>
        </w:rPr>
        <w:t xml:space="preserve"> pomiar przepływu dla cieczy (indukcyjne/pojemnościowe/ultradźwiękowe) i waga dla substancji stałych; urządzenia powinny być serwisowalne bez przestojów. </w:t>
      </w:r>
    </w:p>
    <w:p w14:paraId="69754480" w14:textId="77777777" w:rsidR="0013105B" w:rsidRPr="0013105B" w:rsidRDefault="0013105B" w:rsidP="0013105B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b/>
          <w:bCs/>
          <w:sz w:val="20"/>
          <w:szCs w:val="20"/>
        </w:rPr>
        <w:t>Poziom/ciśnienie:</w:t>
      </w:r>
      <w:r w:rsidRPr="0013105B">
        <w:rPr>
          <w:rFonts w:ascii="Calibri" w:hAnsi="Calibri" w:cs="Calibri"/>
          <w:sz w:val="20"/>
          <w:szCs w:val="20"/>
        </w:rPr>
        <w:t xml:space="preserve"> pomiar zapełnienia fermentora (hydrostatyka/ultradźwięki/radar) i poziomu gazu w zbiornikach — sterowanie blokami energetycznymi. </w:t>
      </w:r>
    </w:p>
    <w:p w14:paraId="52D1DEBB" w14:textId="77777777" w:rsidR="0013105B" w:rsidRPr="0013105B" w:rsidRDefault="0013105B" w:rsidP="0013105B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b/>
          <w:bCs/>
          <w:sz w:val="20"/>
          <w:szCs w:val="20"/>
        </w:rPr>
        <w:t>Temperatura:</w:t>
      </w:r>
      <w:r w:rsidRPr="0013105B">
        <w:rPr>
          <w:rFonts w:ascii="Calibri" w:hAnsi="Calibri" w:cs="Calibri"/>
          <w:sz w:val="20"/>
          <w:szCs w:val="20"/>
        </w:rPr>
        <w:t xml:space="preserve"> ciągły pomiar i rejestracja — klucz dla aktywności mikroorganizmów. </w:t>
      </w:r>
    </w:p>
    <w:p w14:paraId="585A8BEA" w14:textId="77777777" w:rsidR="0013105B" w:rsidRPr="0013105B" w:rsidRDefault="0013105B" w:rsidP="0013105B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proofErr w:type="spellStart"/>
      <w:r w:rsidRPr="0013105B">
        <w:rPr>
          <w:rFonts w:ascii="Calibri" w:hAnsi="Calibri" w:cs="Calibri"/>
          <w:b/>
          <w:bCs/>
          <w:sz w:val="20"/>
          <w:szCs w:val="20"/>
        </w:rPr>
        <w:t>pH</w:t>
      </w:r>
      <w:proofErr w:type="spellEnd"/>
      <w:r w:rsidRPr="0013105B">
        <w:rPr>
          <w:rFonts w:ascii="Calibri" w:hAnsi="Calibri" w:cs="Calibri"/>
          <w:b/>
          <w:bCs/>
          <w:sz w:val="20"/>
          <w:szCs w:val="20"/>
        </w:rPr>
        <w:t>:</w:t>
      </w:r>
      <w:r w:rsidRPr="0013105B">
        <w:rPr>
          <w:rFonts w:ascii="Calibri" w:hAnsi="Calibri" w:cs="Calibri"/>
          <w:sz w:val="20"/>
          <w:szCs w:val="20"/>
        </w:rPr>
        <w:t xml:space="preserve"> szybkie pomiary próbek; niskie </w:t>
      </w:r>
      <w:proofErr w:type="spellStart"/>
      <w:r w:rsidRPr="0013105B">
        <w:rPr>
          <w:rFonts w:ascii="Calibri" w:hAnsi="Calibri" w:cs="Calibri"/>
          <w:sz w:val="20"/>
          <w:szCs w:val="20"/>
        </w:rPr>
        <w:t>pH</w:t>
      </w:r>
      <w:proofErr w:type="spellEnd"/>
      <w:r w:rsidRPr="0013105B">
        <w:rPr>
          <w:rFonts w:ascii="Calibri" w:hAnsi="Calibri" w:cs="Calibri"/>
          <w:sz w:val="20"/>
          <w:szCs w:val="20"/>
        </w:rPr>
        <w:t xml:space="preserve"> hamuje </w:t>
      </w:r>
      <w:proofErr w:type="spellStart"/>
      <w:r w:rsidRPr="0013105B">
        <w:rPr>
          <w:rFonts w:ascii="Calibri" w:hAnsi="Calibri" w:cs="Calibri"/>
          <w:sz w:val="20"/>
          <w:szCs w:val="20"/>
        </w:rPr>
        <w:t>metanizację</w:t>
      </w:r>
      <w:proofErr w:type="spellEnd"/>
      <w:r w:rsidRPr="0013105B">
        <w:rPr>
          <w:rFonts w:ascii="Calibri" w:hAnsi="Calibri" w:cs="Calibri"/>
          <w:sz w:val="20"/>
          <w:szCs w:val="20"/>
        </w:rPr>
        <w:t>. </w:t>
      </w:r>
    </w:p>
    <w:p w14:paraId="24B68400" w14:textId="77777777" w:rsidR="0013105B" w:rsidRPr="0013105B" w:rsidRDefault="0013105B" w:rsidP="0013105B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b/>
          <w:bCs/>
          <w:sz w:val="20"/>
          <w:szCs w:val="20"/>
        </w:rPr>
        <w:t>Ilość i skład gazu:</w:t>
      </w:r>
      <w:r w:rsidRPr="0013105B">
        <w:rPr>
          <w:rFonts w:ascii="Calibri" w:hAnsi="Calibri" w:cs="Calibri"/>
          <w:sz w:val="20"/>
          <w:szCs w:val="20"/>
        </w:rPr>
        <w:t xml:space="preserve"> objętość (wydajność) oraz udział CH4; analiza decyduje o korektach wsadu lub uzdatnianiu. </w:t>
      </w:r>
    </w:p>
    <w:p w14:paraId="08F2AE5F" w14:textId="77777777" w:rsidR="0013105B" w:rsidRPr="0013105B" w:rsidRDefault="0013105B" w:rsidP="0013105B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b/>
          <w:bCs/>
          <w:sz w:val="20"/>
          <w:szCs w:val="20"/>
        </w:rPr>
        <w:t>H2S:</w:t>
      </w:r>
      <w:r w:rsidRPr="0013105B">
        <w:rPr>
          <w:rFonts w:ascii="Calibri" w:hAnsi="Calibri" w:cs="Calibri"/>
          <w:sz w:val="20"/>
          <w:szCs w:val="20"/>
        </w:rPr>
        <w:t xml:space="preserve"> pomiar przed i po odsiarczaniu — ocena skuteczności oczyszczania i wpływ na agregaty.</w:t>
      </w:r>
    </w:p>
    <w:p w14:paraId="6FE7D4EF" w14:textId="77777777" w:rsidR="0013105B" w:rsidRDefault="0013105B" w:rsidP="0013105B">
      <w:pPr>
        <w:rPr>
          <w:rFonts w:ascii="Calibri" w:hAnsi="Calibri" w:cs="Calibri"/>
          <w:b/>
          <w:bCs/>
          <w:sz w:val="20"/>
          <w:szCs w:val="20"/>
        </w:rPr>
      </w:pPr>
    </w:p>
    <w:p w14:paraId="61183918" w14:textId="11EA9877" w:rsidR="0013105B" w:rsidRPr="0013105B" w:rsidRDefault="0013105B" w:rsidP="0013105B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13105B">
        <w:rPr>
          <w:rFonts w:ascii="Calibri" w:hAnsi="Calibri" w:cs="Calibri"/>
          <w:b/>
          <w:bCs/>
          <w:sz w:val="20"/>
          <w:szCs w:val="20"/>
          <w:u w:val="single"/>
        </w:rPr>
        <w:t>Praktyczne wskazówki:</w:t>
      </w:r>
    </w:p>
    <w:p w14:paraId="79532B9A" w14:textId="77777777" w:rsidR="0013105B" w:rsidRPr="0013105B" w:rsidRDefault="0013105B" w:rsidP="0013105B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sz w:val="20"/>
          <w:szCs w:val="20"/>
        </w:rPr>
        <w:t xml:space="preserve">Stosować </w:t>
      </w:r>
      <w:proofErr w:type="spellStart"/>
      <w:r w:rsidRPr="0013105B">
        <w:rPr>
          <w:rFonts w:ascii="Calibri" w:hAnsi="Calibri" w:cs="Calibri"/>
          <w:sz w:val="20"/>
          <w:szCs w:val="20"/>
        </w:rPr>
        <w:t>bezczęściowe</w:t>
      </w:r>
      <w:proofErr w:type="spellEnd"/>
      <w:r w:rsidRPr="0013105B">
        <w:rPr>
          <w:rFonts w:ascii="Calibri" w:hAnsi="Calibri" w:cs="Calibri"/>
          <w:sz w:val="20"/>
          <w:szCs w:val="20"/>
        </w:rPr>
        <w:t>, odporne przepływomierze i łatwo dostępne czujniki. </w:t>
      </w:r>
    </w:p>
    <w:p w14:paraId="06BCA3A4" w14:textId="77777777" w:rsidR="0013105B" w:rsidRPr="0013105B" w:rsidRDefault="0013105B" w:rsidP="0013105B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sz w:val="20"/>
          <w:szCs w:val="20"/>
        </w:rPr>
        <w:t>Planować regularne kalibracje i konserwacje. </w:t>
      </w:r>
    </w:p>
    <w:p w14:paraId="0DDE8540" w14:textId="77777777" w:rsidR="0013105B" w:rsidRPr="0013105B" w:rsidRDefault="0013105B" w:rsidP="0013105B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sz w:val="20"/>
          <w:szCs w:val="20"/>
        </w:rPr>
        <w:t>Rejestrować dane historycznie — analiza trendów ułatwia optymalizację i przewidywanie awarii.</w:t>
      </w:r>
    </w:p>
    <w:p w14:paraId="6A5F2A77" w14:textId="77777777" w:rsidR="0013105B" w:rsidRDefault="0013105B" w:rsidP="0013105B">
      <w:pPr>
        <w:rPr>
          <w:rFonts w:ascii="Calibri" w:hAnsi="Calibri" w:cs="Calibri"/>
          <w:sz w:val="20"/>
          <w:szCs w:val="20"/>
        </w:rPr>
      </w:pPr>
    </w:p>
    <w:p w14:paraId="2CAAA458" w14:textId="2BE0CE82" w:rsidR="0013105B" w:rsidRPr="0013105B" w:rsidRDefault="0013105B" w:rsidP="0013105B">
      <w:pPr>
        <w:rPr>
          <w:rFonts w:ascii="Calibri" w:hAnsi="Calibri" w:cs="Calibri"/>
          <w:sz w:val="20"/>
          <w:szCs w:val="20"/>
        </w:rPr>
      </w:pPr>
      <w:r w:rsidRPr="0013105B">
        <w:rPr>
          <w:rFonts w:ascii="Calibri" w:hAnsi="Calibri" w:cs="Calibri"/>
          <w:b/>
          <w:bCs/>
          <w:sz w:val="20"/>
          <w:szCs w:val="20"/>
          <w:u w:val="single"/>
        </w:rPr>
        <w:t>W skrócie:</w:t>
      </w:r>
      <w:r w:rsidRPr="0013105B">
        <w:rPr>
          <w:rFonts w:ascii="Calibri" w:hAnsi="Calibri" w:cs="Calibri"/>
          <w:sz w:val="20"/>
          <w:szCs w:val="20"/>
        </w:rPr>
        <w:t xml:space="preserve"> dobry monitoring (wsad, poziomy, temperatura, </w:t>
      </w:r>
      <w:proofErr w:type="spellStart"/>
      <w:r w:rsidRPr="0013105B">
        <w:rPr>
          <w:rFonts w:ascii="Calibri" w:hAnsi="Calibri" w:cs="Calibri"/>
          <w:sz w:val="20"/>
          <w:szCs w:val="20"/>
        </w:rPr>
        <w:t>pH</w:t>
      </w:r>
      <w:proofErr w:type="spellEnd"/>
      <w:r w:rsidRPr="0013105B">
        <w:rPr>
          <w:rFonts w:ascii="Calibri" w:hAnsi="Calibri" w:cs="Calibri"/>
          <w:sz w:val="20"/>
          <w:szCs w:val="20"/>
        </w:rPr>
        <w:t>, wydajność i skład gazu, H2S) plus regularna konserwacja czujników zapewniają bezpieczną i efektywną pracę biogazowni</w:t>
      </w:r>
    </w:p>
    <w:p w14:paraId="4351642A" w14:textId="77777777" w:rsidR="009F6A8E" w:rsidRPr="0013105B" w:rsidRDefault="009F6A8E">
      <w:pPr>
        <w:rPr>
          <w:rFonts w:ascii="Calibri" w:hAnsi="Calibri" w:cs="Calibri"/>
          <w:sz w:val="20"/>
          <w:szCs w:val="20"/>
        </w:rPr>
      </w:pPr>
    </w:p>
    <w:sectPr w:rsidR="009F6A8E" w:rsidRPr="001310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66F"/>
    <w:multiLevelType w:val="multilevel"/>
    <w:tmpl w:val="4AC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3311"/>
    <w:multiLevelType w:val="multilevel"/>
    <w:tmpl w:val="C5E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6502"/>
    <w:multiLevelType w:val="multilevel"/>
    <w:tmpl w:val="A63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C6C48"/>
    <w:multiLevelType w:val="multilevel"/>
    <w:tmpl w:val="B6BE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A1AD6"/>
    <w:multiLevelType w:val="multilevel"/>
    <w:tmpl w:val="98A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37792"/>
    <w:multiLevelType w:val="multilevel"/>
    <w:tmpl w:val="F66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31A04"/>
    <w:multiLevelType w:val="multilevel"/>
    <w:tmpl w:val="717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3536E"/>
    <w:multiLevelType w:val="multilevel"/>
    <w:tmpl w:val="B2B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B24C1"/>
    <w:multiLevelType w:val="multilevel"/>
    <w:tmpl w:val="73C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B37EC"/>
    <w:multiLevelType w:val="multilevel"/>
    <w:tmpl w:val="2BA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F3AB9"/>
    <w:multiLevelType w:val="multilevel"/>
    <w:tmpl w:val="0FA0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458">
    <w:abstractNumId w:val="6"/>
  </w:num>
  <w:num w:numId="2" w16cid:durableId="1497526477">
    <w:abstractNumId w:val="0"/>
  </w:num>
  <w:num w:numId="3" w16cid:durableId="635918762">
    <w:abstractNumId w:val="2"/>
  </w:num>
  <w:num w:numId="4" w16cid:durableId="197281988">
    <w:abstractNumId w:val="1"/>
  </w:num>
  <w:num w:numId="5" w16cid:durableId="1030296971">
    <w:abstractNumId w:val="7"/>
  </w:num>
  <w:num w:numId="6" w16cid:durableId="1136600559">
    <w:abstractNumId w:val="4"/>
  </w:num>
  <w:num w:numId="7" w16cid:durableId="958416651">
    <w:abstractNumId w:val="10"/>
  </w:num>
  <w:num w:numId="8" w16cid:durableId="1063220037">
    <w:abstractNumId w:val="3"/>
  </w:num>
  <w:num w:numId="9" w16cid:durableId="1937208841">
    <w:abstractNumId w:val="8"/>
  </w:num>
  <w:num w:numId="10" w16cid:durableId="1247495164">
    <w:abstractNumId w:val="5"/>
  </w:num>
  <w:num w:numId="11" w16cid:durableId="1291597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4C"/>
    <w:rsid w:val="000525C7"/>
    <w:rsid w:val="000E394C"/>
    <w:rsid w:val="0013105B"/>
    <w:rsid w:val="001F2E59"/>
    <w:rsid w:val="006471E1"/>
    <w:rsid w:val="006D7519"/>
    <w:rsid w:val="007D4299"/>
    <w:rsid w:val="00826ADB"/>
    <w:rsid w:val="009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50AC5E"/>
  <w15:chartTrackingRefBased/>
  <w15:docId w15:val="{7372FA81-D022-A54D-816E-1C60EC21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E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E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E3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E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E3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E39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E39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E39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E39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E3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0E3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E3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E394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E394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E394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E394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E394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E394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E39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E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E39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E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E39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E394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E394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E394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E3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E394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E394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omylnaczcionkaakapitu"/>
    <w:rsid w:val="000E394C"/>
  </w:style>
  <w:style w:type="character" w:customStyle="1" w:styleId="vkekvd">
    <w:name w:val="vkekvd"/>
    <w:basedOn w:val="Domylnaczcionkaakapitu"/>
    <w:rsid w:val="000E394C"/>
  </w:style>
  <w:style w:type="character" w:customStyle="1" w:styleId="ifmvxd">
    <w:name w:val="ifmvxd"/>
    <w:basedOn w:val="Domylnaczcionkaakapitu"/>
    <w:rsid w:val="000E394C"/>
  </w:style>
  <w:style w:type="character" w:customStyle="1" w:styleId="ijm6od">
    <w:name w:val="ijm6od"/>
    <w:basedOn w:val="Domylnaczcionkaakapitu"/>
    <w:rsid w:val="000E394C"/>
  </w:style>
  <w:style w:type="character" w:styleId="Pogrubienie">
    <w:name w:val="Strong"/>
    <w:basedOn w:val="Domylnaczcionkaakapitu"/>
    <w:uiPriority w:val="22"/>
    <w:qFormat/>
    <w:rsid w:val="000E394C"/>
    <w:rPr>
      <w:b/>
      <w:bCs/>
    </w:rPr>
  </w:style>
  <w:style w:type="paragraph" w:customStyle="1" w:styleId="df3vjf">
    <w:name w:val="df3vjf"/>
    <w:basedOn w:val="Normalny"/>
    <w:rsid w:val="000E39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t286pc">
    <w:name w:val="t286pc"/>
    <w:basedOn w:val="Domylnaczcionkaakapitu"/>
    <w:rsid w:val="000E394C"/>
  </w:style>
  <w:style w:type="paragraph" w:styleId="NormalnyWeb">
    <w:name w:val="Normal (Web)"/>
    <w:basedOn w:val="Normalny"/>
    <w:uiPriority w:val="99"/>
    <w:semiHidden/>
    <w:unhideWhenUsed/>
    <w:rsid w:val="001310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260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Krop</dc:creator>
  <cp:keywords/>
  <dc:description/>
  <cp:lastModifiedBy>Andrzej Krop</cp:lastModifiedBy>
  <cp:revision>1</cp:revision>
  <dcterms:created xsi:type="dcterms:W3CDTF">2026-03-09T15:04:00Z</dcterms:created>
  <dcterms:modified xsi:type="dcterms:W3CDTF">2026-03-09T15:55:00Z</dcterms:modified>
</cp:coreProperties>
</file>