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BTC Consulting / BioTC — Executive Summary</w:t>
      </w:r>
    </w:p>
    <w:p>
      <w:r>
        <w:t>Version: 4.2 (financial data: BTC_biznes plan_HTC only 23.06.2026) | Status: For review by Andrzej Krop</w:t>
      </w:r>
    </w:p>
    <w:p>
      <w:pPr>
        <w:pStyle w:val="Heading1"/>
      </w:pPr>
      <w:r>
        <w:t>Investment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Round</w:t>
            </w:r>
          </w:p>
        </w:tc>
        <w:tc>
          <w:tcPr>
            <w:tcW w:type="dxa" w:w="4320"/>
          </w:tcPr>
          <w:p>
            <w:r>
              <w:t>Pre-Series A (Seed)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EUR 3M</w:t>
            </w:r>
          </w:p>
        </w:tc>
      </w:tr>
      <w:tr>
        <w:tc>
          <w:tcPr>
            <w:tcW w:type="dxa" w:w="4320"/>
          </w:tcPr>
          <w:p>
            <w:r>
              <w:t>Use of proceeds</w:t>
            </w:r>
          </w:p>
        </w:tc>
        <w:tc>
          <w:tcPr>
            <w:tcW w:type="dxa" w:w="4320"/>
          </w:tcPr>
          <w:p>
            <w:r>
              <w:t>Commercialisation &amp; expansion. Phase 1: Poland, Phase 2: EU</w:t>
            </w:r>
          </w:p>
        </w:tc>
      </w:tr>
      <w:tr>
        <w:tc>
          <w:tcPr>
            <w:tcW w:type="dxa" w:w="4320"/>
          </w:tcPr>
          <w:p>
            <w:r>
              <w:t>Return</w:t>
            </w:r>
          </w:p>
        </w:tc>
        <w:tc>
          <w:tcPr>
            <w:tcW w:type="dxa" w:w="4320"/>
          </w:tcPr>
          <w:p>
            <w:r>
              <w:t>Conservative 4–6× · Base 6–9× · Optimistic 9–13×</w:t>
            </w:r>
          </w:p>
        </w:tc>
      </w:tr>
      <w:tr>
        <w:tc>
          <w:tcPr>
            <w:tcW w:type="dxa" w:w="4320"/>
          </w:tcPr>
          <w:p>
            <w:r>
              <w:t>Exit window</w:t>
            </w:r>
          </w:p>
        </w:tc>
        <w:tc>
          <w:tcPr>
            <w:tcW w:type="dxa" w:w="4320"/>
          </w:tcPr>
          <w:p>
            <w:r>
              <w:t>2030–2035 (strategic acquisition or IPO)</w:t>
            </w:r>
          </w:p>
        </w:tc>
      </w:tr>
    </w:tbl>
    <w:p>
      <w:pPr>
        <w:pStyle w:val="Heading1"/>
      </w:pPr>
      <w:r>
        <w:t>Who is BTC — not a startup, but a spin-off from 11 years of research</w:t>
      </w:r>
    </w:p>
    <w:p>
      <w:r>
        <w:t>BTC Consulting Sp. z o.o. (founded December 2025, brand: bioTC) is the commercialisation vehicle for TH-AD-HTC technology developed by its founders over 11+ years at AGH University Krakow and BioTheCon. This is not a new company looking for its first clients — it is a commercial vehicle for a proven, tested, and already commercialised technology.</w:t>
      </w:r>
    </w:p>
    <w:p>
      <w:pPr>
        <w:pStyle w:val="Heading2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at BTC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Background</w:t>
            </w:r>
          </w:p>
        </w:tc>
      </w:tr>
      <w:tr>
        <w:tc>
          <w:tcPr>
            <w:tcW w:type="dxa" w:w="2880"/>
          </w:tcPr>
          <w:p>
            <w:r>
              <w:t>Andrzej Krop</w:t>
            </w:r>
          </w:p>
        </w:tc>
        <w:tc>
          <w:tcPr>
            <w:tcW w:type="dxa" w:w="2880"/>
          </w:tcPr>
          <w:p>
            <w:r>
              <w:t>CEO / 85% → 70% after KS entry</w:t>
            </w:r>
            <w:r>
              <w:t xml:space="preserve"> · </w:t>
            </w:r>
            <w:hyperlink r:id="rId9" w:history="1">
              <w:r>
                <w:rPr>
                  <w:rStyle w:val="Hyperlink"/>
                </w:rPr>
                <w:t>LinkedIn</w:t>
              </w:r>
            </w:hyperlink>
          </w:p>
        </w:tc>
        <w:tc>
          <w:tcPr>
            <w:tcW w:type="dxa" w:w="2880"/>
          </w:tcPr>
          <w:p>
            <w:r>
              <w:t>Commercialisation, sales, strategy</w:t>
            </w:r>
            <w:r>
              <w:t xml:space="preserve"> · </w:t>
            </w:r>
            <w:hyperlink r:id="rId9" w:history="1">
              <w:r>
                <w:rPr>
                  <w:rStyle w:val="Hyperlink"/>
                </w:rPr>
                <w:t>LinkedIn</w:t>
              </w:r>
            </w:hyperlink>
          </w:p>
        </w:tc>
      </w:tr>
      <w:tr>
        <w:tc>
          <w:tcPr>
            <w:tcW w:type="dxa" w:w="2880"/>
          </w:tcPr>
          <w:p>
            <w:r>
              <w:t>Małgorzata Wilk</w:t>
            </w:r>
          </w:p>
        </w:tc>
        <w:tc>
          <w:tcPr>
            <w:tcW w:type="dxa" w:w="2880"/>
          </w:tcPr>
          <w:p>
            <w:r>
              <w:t>CTO / 15% equity</w:t>
            </w:r>
            <w:r>
              <w:t xml:space="preserve"> · </w:t>
            </w:r>
            <w:hyperlink r:id="rId10" w:history="1">
              <w:r>
                <w:rPr>
                  <w:rStyle w:val="Hyperlink"/>
                </w:rPr>
                <w:t>LinkedIn</w:t>
              </w:r>
            </w:hyperlink>
          </w:p>
        </w:tc>
        <w:tc>
          <w:tcPr>
            <w:tcW w:type="dxa" w:w="2880"/>
          </w:tcPr>
          <w:p>
            <w:r>
              <w:t>AGH Professor (Dept. of Thermal Engineering &amp; Environmental Protection); 11 yrs HTC research; 2025 HTC Symposium · LinkedIn</w:t>
            </w:r>
            <w:r>
              <w:t xml:space="preserve"> · </w:t>
            </w:r>
            <w:hyperlink r:id="rId10" w:history="1">
              <w:r>
                <w:rPr>
                  <w:rStyle w:val="Hyperlink"/>
                </w:rPr>
                <w:t>LinkedIn</w:t>
              </w:r>
            </w:hyperlink>
          </w:p>
        </w:tc>
      </w:tr>
      <w:tr>
        <w:tc>
          <w:tcPr>
            <w:tcW w:type="dxa" w:w="2880"/>
          </w:tcPr>
          <w:p>
            <w:r>
              <w:t>Eugeniusz Krop</w:t>
            </w:r>
          </w:p>
        </w:tc>
        <w:tc>
          <w:tcPr>
            <w:tcW w:type="dxa" w:w="2880"/>
          </w:tcPr>
          <w:p>
            <w:r>
              <w:t>Technical Director</w:t>
            </w:r>
          </w:p>
        </w:tc>
        <w:tc>
          <w:tcPr>
            <w:tcW w:type="dxa" w:w="2880"/>
          </w:tcPr>
          <w:p>
            <w:r>
              <w:t>Creator of TH-AD-HTC technology; co-founder of BioTheCon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</w:r>
            <w:r>
              <w:rPr>
                <w:b w:val="0"/>
              </w:rPr>
            </w:r>
            <w:r>
              <w:rPr>
                <w:b w:val="0"/>
              </w:rPr>
              <w:t>Karol Surmacewicz</w:t>
            </w:r>
          </w:p>
        </w:tc>
        <w:tc>
          <w:tcPr>
            <w:tcW w:type="dxa" w:w="2880"/>
          </w:tcPr>
          <w:p>
            <w:r>
              <w:t>Sales, renewable energy, international markets</w:t>
            </w:r>
            <w:r>
              <w:t xml:space="preserve"> · </w:t>
            </w:r>
            <w:hyperlink r:id="rId11" w:history="1">
              <w:r>
                <w:rPr>
                  <w:rStyle w:val="Hyperlink"/>
                </w:rPr>
                <w:t>LinkedIn</w:t>
              </w:r>
            </w:hyperlink>
          </w:p>
        </w:tc>
        <w:tc>
          <w:tcPr>
            <w:tcW w:type="dxa" w:w="2880"/>
          </w:tcPr>
          <w:p>
            <w:r/>
            <w:r/>
            <w:r>
              <w:t>Sales, renewable energy, international markets (https://www.linkedin.com/in/karol-s-867a5b16/)</w:t>
            </w:r>
            <w:r>
              <w:t xml:space="preserve"> · </w:t>
            </w:r>
            <w:hyperlink r:id="rId11" w:history="1">
              <w:r>
                <w:rPr>
                  <w:rStyle w:val="Hyperlink"/>
                </w:rPr>
                <w:t>LinkedIn</w:t>
              </w:r>
            </w:hyperlink>
          </w:p>
        </w:tc>
      </w:tr>
    </w:tbl>
    <w:p>
      <w:pPr>
        <w:pStyle w:val="Heading2"/>
      </w:pPr>
      <w:r>
        <w:t>Technology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2015: Industry provides AGH with a lab reactor (1 000 cm³, up to 232°C and 150 bar)</w:t>
            </w:r>
          </w:p>
        </w:tc>
      </w:tr>
      <w:tr>
        <w:tc>
          <w:tcPr>
            <w:tcW w:type="dxa" w:w="8640"/>
          </w:tcPr>
          <w:p>
            <w:r>
              <w:t>2015–2026: Research on sludge from 6 Polish WWTPs: Orzesze (20K PE), Żory (70K), Lubin (100K), Bytom (150K), Gliwice (200K), Kraków/Płaszów (800K) (BTC own data)</w:t>
            </w:r>
          </w:p>
        </w:tc>
      </w:tr>
      <w:tr>
        <w:tc>
          <w:tcPr>
            <w:tcW w:type="dxa" w:w="8640"/>
          </w:tcPr>
          <w:p>
            <w:r>
              <w:t>2025: MPWiK Lubin — acceptance of TH-AD-HTC concept and purchase of copyrights (BTC own data)</w:t>
            </w:r>
          </w:p>
        </w:tc>
      </w:tr>
      <w:tr>
        <w:tc>
          <w:tcPr>
            <w:tcW w:type="dxa" w:w="8640"/>
          </w:tcPr>
          <w:p>
            <w:r>
              <w:t>December 2025: BTC Consulting incorporated as commercialisation vehicle</w:t>
            </w:r>
          </w:p>
        </w:tc>
      </w:tr>
    </w:tbl>
    <w:p>
      <w:pPr>
        <w:pStyle w:val="Heading2"/>
      </w:pPr>
      <w:r>
        <w:t>BioTheCon → BTC: Line of Succession</w:t>
      </w:r>
    </w:p>
    <w:p>
      <w:r>
        <w:t>BioTheCon sold its sole commercialised work (Lubin) together with all copyrights. The same technical team continues at BTC. Plan: upon first financing — acquisition of rights from inventors + patent applications filed by BTC + M. Wilk + A. Krop + J. K. Surmacewicz.</w:t>
      </w:r>
    </w:p>
    <w:p>
      <w:pPr>
        <w:pStyle w:val="Heading1"/>
      </w:pPr>
      <w:r>
        <w:t>Succession: BioTheCon → BTC Consulting</w:t>
      </w:r>
    </w:p>
    <w:p>
      <w:r>
        <w:t>BTC Consulting does not start from zero. It is the commercialisation vehicle for technology developed over years in the predecessor entity — BioTheCon Sp. z o.o. (Katowice, founded August 2018) — by the same technical team.</w:t>
      </w:r>
    </w:p>
    <w:p>
      <w:pPr>
        <w:pStyle w:val="Heading2"/>
      </w:pPr>
      <w:r>
        <w:t>Origin of BioTheCon</w:t>
      </w:r>
    </w:p>
    <w:p>
      <w:r>
        <w:t>BioTheCon was created on the initiative of former TOREN S.A. (Katowice) shareholders as a special-purpose company to continue R&amp;D work in two areas: (1) biomass (straw) conversion to biogas substrate — closed: German investor acquired the prototype installation in 2021; (2) sewage sludge treatment (TH+HTC) — continued by BTC.</w:t>
      </w:r>
    </w:p>
    <w:p>
      <w:pPr>
        <w:pStyle w:val="Heading2"/>
      </w:pPr>
      <w:r>
        <w:t>BioTheCon vs BTC Consulting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BioTheCon (2018–2025)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BTC Consulting (Dec 2025 → today)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Katowice</w:t>
            </w:r>
          </w:p>
        </w:tc>
        <w:tc>
          <w:tcPr>
            <w:tcW w:type="dxa" w:w="2880"/>
          </w:tcPr>
          <w:p>
            <w:r>
              <w:t>Gliwice</w:t>
            </w:r>
          </w:p>
        </w:tc>
      </w:tr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R&amp;D + pre-commercialisation</w:t>
            </w:r>
          </w:p>
        </w:tc>
        <w:tc>
          <w:tcPr>
            <w:tcW w:type="dxa" w:w="2880"/>
          </w:tcPr>
          <w:p>
            <w:r>
              <w:t>Commercial entity — sales, contracts, funding round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dr inż. Eugeniusz Krop</w:t>
            </w:r>
          </w:p>
        </w:tc>
        <w:tc>
          <w:tcPr>
            <w:tcW w:type="dxa" w:w="2880"/>
          </w:tcPr>
          <w:p>
            <w:r>
              <w:t>Andrzej Krop (85% equity)</w:t>
            </w:r>
          </w:p>
        </w:tc>
      </w:tr>
      <w:tr>
        <w:tc>
          <w:tcPr>
            <w:tcW w:type="dxa" w:w="2880"/>
          </w:tcPr>
          <w:p>
            <w:r>
              <w:t>Ownership</w:t>
            </w:r>
          </w:p>
        </w:tc>
        <w:tc>
          <w:tcPr>
            <w:tcW w:type="dxa" w:w="2880"/>
          </w:tcPr>
          <w:p>
            <w:r>
              <w:t>Former TOREN S.A. shareholders</w:t>
            </w:r>
          </w:p>
        </w:tc>
        <w:tc>
          <w:tcPr>
            <w:tcW w:type="dxa" w:w="2880"/>
          </w:tcPr>
          <w:p>
            <w:r>
              <w:t>A. Krop 85%, M. Wilk 15%</w:t>
            </w:r>
          </w:p>
        </w:tc>
      </w:tr>
      <w:tr>
        <w:tc>
          <w:tcPr>
            <w:tcW w:type="dxa" w:w="2880"/>
          </w:tcPr>
          <w:p>
            <w:r>
              <w:t>Financing</w:t>
            </w:r>
          </w:p>
        </w:tc>
        <w:tc>
          <w:tcPr>
            <w:tcW w:type="dxa" w:w="2880"/>
          </w:tcPr>
          <w:p>
            <w:r>
              <w:t>Bootstrap + investor search (PLN 4M for 2023–2025)</w:t>
            </w:r>
          </w:p>
        </w:tc>
        <w:tc>
          <w:tcPr>
            <w:tcW w:type="dxa" w:w="2880"/>
          </w:tcPr>
          <w:p>
            <w:r>
              <w:t>Seed round EUR 3M</w:t>
            </w:r>
          </w:p>
        </w:tc>
      </w:tr>
      <w:tr>
        <w:tc>
          <w:tcPr>
            <w:tcW w:type="dxa" w:w="2880"/>
          </w:tcPr>
          <w:p>
            <w:r>
              <w:t>What it built</w:t>
            </w:r>
          </w:p>
        </w:tc>
        <w:tc>
          <w:tcPr>
            <w:tcW w:type="dxa" w:w="2880"/>
          </w:tcPr>
          <w:p>
            <w:r>
              <w:t>TH-AD-HTC technology · 11 yrs AGH research · 6 WWTPs tested · Lubin concept · Patent claims (ready 2023)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Sole commercialisation</w:t>
            </w:r>
          </w:p>
        </w:tc>
        <w:tc>
          <w:tcPr>
            <w:tcW w:type="dxa" w:w="2880"/>
          </w:tcPr>
          <w:p>
            <w:r>
              <w:t>MPWiK Lubin — concept + copyrights sold 20.10.2025</w:t>
            </w:r>
          </w:p>
        </w:tc>
        <w:tc>
          <w:tcPr>
            <w:tcW w:type="dxa" w:w="2880"/>
          </w:tcPr>
          <w:p>
            <w:r>
              <w:t>BTC takes over pipeline and delivers subsequent projects</w:t>
            </w:r>
          </w:p>
        </w:tc>
      </w:tr>
      <w:tr>
        <w:tc>
          <w:tcPr>
            <w:tcW w:type="dxa" w:w="2880"/>
          </w:tcPr>
          <w:p>
            <w:r>
              <w:t>Partners then</w:t>
            </w:r>
          </w:p>
        </w:tc>
        <w:tc>
          <w:tcPr>
            <w:tcW w:type="dxa" w:w="2880"/>
          </w:tcPr>
          <w:p>
            <w:r>
              <w:t>AGH (M. Wilk) · EKOPROD Bytom · Miko-Tech · Urządzenia i Konstrukcje Żory</w:t>
            </w:r>
          </w:p>
        </w:tc>
        <w:tc>
          <w:tcPr>
            <w:tcW w:type="dxa" w:w="2880"/>
          </w:tcPr>
          <w:p>
            <w:r>
              <w:t>AGH (LOI) · INTROL S.A. · MPWiK Lubin (reference)</w:t>
            </w:r>
          </w:p>
        </w:tc>
      </w:tr>
    </w:tbl>
    <w:p>
      <w:pPr>
        <w:pStyle w:val="Heading2"/>
      </w:pPr>
      <w:r>
        <w:t>Team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at BioTheCon (2023)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at BTC (2026)</w:t>
            </w:r>
          </w:p>
        </w:tc>
      </w:tr>
      <w:tr>
        <w:tc>
          <w:tcPr>
            <w:tcW w:type="dxa" w:w="2880"/>
          </w:tcPr>
          <w:p>
            <w:r>
              <w:t>Eugeniusz Krop</w:t>
            </w:r>
          </w:p>
        </w:tc>
        <w:tc>
          <w:tcPr>
            <w:tcW w:type="dxa" w:w="2880"/>
          </w:tcPr>
          <w:p>
            <w:r>
              <w:t>CEO; lead designer</w:t>
            </w:r>
          </w:p>
        </w:tc>
        <w:tc>
          <w:tcPr>
            <w:tcW w:type="dxa" w:w="2880"/>
          </w:tcPr>
          <w:p>
            <w:r>
              <w:t>Technical Director (joining at funding)</w:t>
            </w:r>
          </w:p>
        </w:tc>
      </w:tr>
      <w:tr>
        <w:tc>
          <w:tcPr>
            <w:tcW w:type="dxa" w:w="2880"/>
          </w:tcPr>
          <w:p>
            <w:r>
              <w:t>Małgorzata Wilk</w:t>
            </w:r>
          </w:p>
        </w:tc>
        <w:tc>
          <w:tcPr>
            <w:tcW w:type="dxa" w:w="2880"/>
          </w:tcPr>
          <w:p>
            <w:r>
              <w:t>AGH research group leader</w:t>
            </w:r>
          </w:p>
        </w:tc>
        <w:tc>
          <w:tcPr>
            <w:tcW w:type="dxa" w:w="2880"/>
          </w:tcPr>
          <w:p>
            <w:r>
              <w:t>CTO / 15% equity</w:t>
            </w:r>
            <w:r>
              <w:t xml:space="preserve"> · </w:t>
            </w:r>
            <w:hyperlink r:id="rId10" w:history="1">
              <w:r>
                <w:rPr>
                  <w:rStyle w:val="Hyperlink"/>
                </w:rPr>
                <w:t>LinkedIn</w:t>
              </w:r>
            </w:hyperlink>
          </w:p>
        </w:tc>
      </w:tr>
      <w:tr>
        <w:tc>
          <w:tcPr>
            <w:tcW w:type="dxa" w:w="2880"/>
          </w:tcPr>
          <w:p>
            <w:r>
              <w:t>Andrzej Krop</w:t>
            </w:r>
          </w:p>
        </w:tc>
        <w:tc>
          <w:tcPr>
            <w:tcW w:type="dxa" w:w="2880"/>
          </w:tcPr>
          <w:p>
            <w:r>
              <w:t>Co-owner</w:t>
            </w:r>
          </w:p>
        </w:tc>
        <w:tc>
          <w:tcPr>
            <w:tcW w:type="dxa" w:w="2880"/>
          </w:tcPr>
          <w:p>
            <w:r>
              <w:t>CEO / 85% equity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</w:r>
            <w:r>
              <w:rPr>
                <w:b w:val="0"/>
              </w:rPr>
            </w:r>
            <w:r>
              <w:rPr>
                <w:b w:val="0"/>
              </w:rPr>
              <w:t>Karol Surmacewicz</w:t>
            </w:r>
          </w:p>
        </w:tc>
        <w:tc>
          <w:tcPr>
            <w:tcW w:type="dxa" w:w="2880"/>
          </w:tcPr>
          <w:p>
            <w:r/>
            <w:r/>
            <w:r>
              <w:t>COO / 15% equity</w:t>
            </w:r>
          </w:p>
        </w:tc>
        <w:tc>
          <w:tcPr>
            <w:tcW w:type="dxa" w:w="2880"/>
          </w:tcPr>
          <w:p>
            <w:r/>
            <w:r/>
            <w:r>
              <w:t>Sales, renewable energy, international markets (https://www.linkedin.com/in/karol-s-867a5b16/)</w:t>
            </w:r>
            <w:r>
              <w:t xml:space="preserve"> · </w:t>
            </w:r>
            <w:hyperlink r:id="rId11" w:history="1">
              <w:r>
                <w:rPr>
                  <w:rStyle w:val="Hyperlink"/>
                </w:rPr>
                <w:t>LinkedIn</w:t>
              </w:r>
            </w:hyperlink>
          </w:p>
        </w:tc>
      </w:tr>
    </w:tbl>
    <w:p>
      <w:pPr>
        <w:pStyle w:val="Heading2"/>
      </w:pPr>
      <w:r>
        <w:t>Key Fact for Investors</w:t>
      </w:r>
    </w:p>
    <w:p>
      <w:r>
        <w:t>BioTheCon developed the technology, patent claims (ready in 2023), and delivered the only commercialisation (Lubin). BTC continues this work as a fully commercial entity — with professional ownership structure, capacity to receive investment and register patents.</w:t>
      </w:r>
    </w:p>
    <w:p>
      <w:r>
        <w:t>IP to verify in DD: assignment agreement BioTheCon → BTC (Tier 2 item); status of patent applications (claims ready since 2023 — verify whether filed with the Patent Office).</w:t>
      </w:r>
    </w:p>
    <w:p>
      <w:pPr>
        <w:pStyle w:val="Heading2"/>
      </w:pPr>
      <w:r>
        <w:t>Proof It Works — 11 Years of Research</w:t>
      </w:r>
    </w:p>
    <w:p>
      <w:r>
        <w:t>The technology does not come from an investor presentation. It comes from 11 years of AGH Krakow research on sludge from 6 Polish WWTPs (20,000 to 800,000 PE).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Background</w:t>
            </w:r>
          </w:p>
        </w:tc>
      </w:tr>
      <w:tr>
        <w:tc>
          <w:tcPr>
            <w:tcW w:type="dxa" w:w="4320"/>
          </w:tcPr>
          <w:p>
            <w:r>
              <w:t>Andrzej Krop — CEO</w:t>
            </w:r>
          </w:p>
        </w:tc>
        <w:tc>
          <w:tcPr>
            <w:tcW w:type="dxa" w:w="4320"/>
          </w:tcPr>
          <w:p>
            <w:r>
              <w:t>Managing Director CEE — Vestel (11 yrs); 21 yrs Sharp — region from Estonia to Cyprus incl. Ukraine (20+ countries); SGH Warsaw</w:t>
            </w:r>
            <w:r>
              <w:t xml:space="preserve"> · </w:t>
            </w:r>
            <w:hyperlink r:id="rId9" w:history="1">
              <w:r>
                <w:rPr>
                  <w:rStyle w:val="Hyperlink"/>
                </w:rPr>
                <w:t>LinkedIn</w:t>
              </w:r>
            </w:hyperlink>
          </w:p>
        </w:tc>
      </w:tr>
      <w:tr>
        <w:tc>
          <w:tcPr>
            <w:tcW w:type="dxa" w:w="4320"/>
          </w:tcPr>
          <w:p>
            <w:r>
              <w:t>Małgorzata Wilk — CTO</w:t>
            </w:r>
          </w:p>
        </w:tc>
        <w:tc>
          <w:tcPr>
            <w:tcW w:type="dxa" w:w="4320"/>
          </w:tcPr>
          <w:p>
            <w:r>
              <w:t>AGH Professor, 11 yrs HTC research, co-creator of technology and plant</w:t>
            </w:r>
            <w:r>
              <w:t xml:space="preserve"> · </w:t>
            </w:r>
            <w:hyperlink r:id="rId10" w:history="1">
              <w:r>
                <w:rPr>
                  <w:rStyle w:val="Hyperlink"/>
                </w:rPr>
                <w:t>LinkedIn</w:t>
              </w:r>
            </w:hyperlink>
          </w:p>
        </w:tc>
      </w:tr>
      <w:tr>
        <w:tc>
          <w:tcPr>
            <w:tcW w:type="dxa" w:w="4320"/>
          </w:tcPr>
          <w:p>
            <w:r>
              <w:t>dr inż. Eugeniusz Krop — Technical Director</w:t>
            </w:r>
          </w:p>
        </w:tc>
        <w:tc>
          <w:tcPr>
            <w:tcW w:type="dxa" w:w="4320"/>
          </w:tcPr>
          <w:p>
            <w:r>
              <w:t>Silesian University of Technology (PhD); Prosynchem (now Fluor S.A.); Erlangen-Nuremberg; 4 technologies developed, 28 plants built (incl. ORLEN, PERN) as market leader; co-creator of technology and plant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</w:r>
            <w:r>
              <w:rPr>
                <w:b w:val="0"/>
              </w:rPr>
            </w:r>
            <w:r>
              <w:rPr>
                <w:b w:val="0"/>
              </w:rPr>
              <w:t>Karol Surmacewicz</w:t>
            </w:r>
          </w:p>
        </w:tc>
        <w:tc>
          <w:tcPr>
            <w:tcW w:type="dxa" w:w="4320"/>
          </w:tcPr>
          <w:p>
            <w:r>
              <w:t>Sales, renewable energy, international markets</w:t>
            </w:r>
            <w:r>
              <w:t xml:space="preserve"> · </w:t>
            </w:r>
            <w:hyperlink r:id="rId11" w:history="1">
              <w:r>
                <w:rPr>
                  <w:rStyle w:val="Hyperlink"/>
                </w:rPr>
                <w:t>LinkedIn</w:t>
              </w:r>
            </w:hyperlink>
          </w:p>
        </w:tc>
      </w:tr>
    </w:tbl>
    <w:p>
      <w:pPr>
        <w:pStyle w:val="Heading2"/>
      </w:pPr>
      <w:r>
        <w:t>Partners</w:t>
      </w:r>
    </w:p>
    <w:p>
      <w:r>
        <w:t>AGH Krakow — University with 11-year HTC research track record on sewage sludge. BTC CTO (Małgorzata Wilk) is an AGH professor leading HTC research — the partnership is structural, not declarative.</w:t>
      </w:r>
    </w:p>
    <w:p>
      <w:r>
        <w:t>INTROL S.A. — Listed (GPW: INL), 1,600 employees, EUR ~150M revenue (2024). Actively pricing HTC components for our projects. Formal contract upon first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Facts</w:t>
            </w:r>
          </w:p>
        </w:tc>
      </w:tr>
      <w:tr>
        <w:tc>
          <w:tcPr>
            <w:tcW w:type="dxa" w:w="2880"/>
          </w:tcPr>
          <w:p>
            <w:r>
              <w:t>AGH Krakow</w:t>
            </w:r>
          </w:p>
        </w:tc>
        <w:tc>
          <w:tcPr>
            <w:tcW w:type="dxa" w:w="2880"/>
          </w:tcPr>
          <w:p>
            <w:r>
              <w:t>✅ LOI signed</w:t>
            </w:r>
          </w:p>
        </w:tc>
        <w:tc>
          <w:tcPr>
            <w:tcW w:type="dxa" w:w="2880"/>
          </w:tcPr>
          <w:p>
            <w:r>
              <w:t>CTO BTC (M. Wilk) = AGH professor; 11 yrs HTC research; preferred implementation partner</w:t>
            </w:r>
          </w:p>
        </w:tc>
      </w:tr>
      <w:tr>
        <w:tc>
          <w:tcPr>
            <w:tcW w:type="dxa" w:w="2880"/>
          </w:tcPr>
          <w:p>
            <w:r>
              <w:t>INTROL S.A.</w:t>
            </w:r>
          </w:p>
        </w:tc>
        <w:tc>
          <w:tcPr>
            <w:tcW w:type="dxa" w:w="2880"/>
          </w:tcPr>
          <w:p>
            <w:r>
              <w:t>✅ NDA + active component pricing</w:t>
            </w:r>
          </w:p>
        </w:tc>
        <w:tc>
          <w:tcPr>
            <w:tcW w:type="dxa" w:w="2880"/>
          </w:tcPr>
          <w:p>
            <w:r>
              <w:t>Listed (INL), 1,580 employees; ~EUR 140M revenue (2024); formal contract upon implementation</w:t>
            </w:r>
          </w:p>
        </w:tc>
      </w:tr>
      <w:tr>
        <w:tc>
          <w:tcPr>
            <w:tcW w:type="dxa" w:w="2880"/>
          </w:tcPr>
          <w:p>
            <w:r>
              <w:t>NEFCO</w:t>
            </w:r>
          </w:p>
        </w:tc>
        <w:tc>
          <w:tcPr>
            <w:tcW w:type="dxa" w:w="2880"/>
          </w:tcPr>
          <w:p>
            <w:r>
              <w:t>⚠️ Unverified</w:t>
            </w:r>
          </w:p>
        </w:tc>
        <w:tc>
          <w:tcPr>
            <w:tcW w:type="dxa" w:w="2880"/>
          </w:tcPr>
          <w:p>
            <w:r>
              <w:t>Active in Ukraine; role in Poland TBC — do not use as argument</w:t>
            </w:r>
          </w:p>
        </w:tc>
      </w:tr>
    </w:tbl>
    <w:p>
      <w:pPr>
        <w:pStyle w:val="Heading1"/>
      </w:pPr>
      <w:r>
        <w:t>Three Market Forces</w:t>
      </w:r>
    </w:p>
    <w:p>
      <w:pPr>
        <w:pStyle w:val="Heading2"/>
      </w:pPr>
      <w:r>
        <w:t>Force 1 — EU Regulatory Mandate (VERIFIED)</w:t>
      </w:r>
    </w:p>
    <w:p>
      <w:r>
        <w:t>EU Directive 2024/3019 (UWWTD) — published 12.12.2024; entered into force (as EU law) January 2025; national transposition deadline: 31.07.2027; application from: 01.08.2027 (source: EUR-Lex, summary 2024/3019).</w:t>
      </w:r>
    </w:p>
    <w:p>
      <w:r>
        <w:t>Renewable energy targets for WWTPs (source: UWWTD 2024/3019, Art. 11; confirmed by AFRY, Cambi):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>
              <w:t>20% energy from renewables</w:t>
            </w:r>
          </w:p>
        </w:tc>
        <w:tc>
          <w:tcPr>
            <w:tcW w:type="dxa" w:w="4320"/>
          </w:tcPr>
          <w:p>
            <w:r>
              <w:t>2030</w:t>
            </w:r>
          </w:p>
        </w:tc>
      </w:tr>
      <w:tr>
        <w:tc>
          <w:tcPr>
            <w:tcW w:type="dxa" w:w="4320"/>
          </w:tcPr>
          <w:p>
            <w:r>
              <w:t>40% energy from renewables</w:t>
            </w:r>
          </w:p>
        </w:tc>
        <w:tc>
          <w:tcPr>
            <w:tcW w:type="dxa" w:w="4320"/>
          </w:tcPr>
          <w:p>
            <w:r>
              <w:t>2035</w:t>
            </w:r>
          </w:p>
        </w:tc>
      </w:tr>
      <w:tr>
        <w:tc>
          <w:tcPr>
            <w:tcW w:type="dxa" w:w="4320"/>
          </w:tcPr>
          <w:p>
            <w:r>
              <w:t>70% energy from renewables</w:t>
            </w:r>
          </w:p>
        </w:tc>
        <w:tc>
          <w:tcPr>
            <w:tcW w:type="dxa" w:w="4320"/>
          </w:tcPr>
          <w:p>
            <w:r>
              <w:t>2040</w:t>
            </w:r>
          </w:p>
        </w:tc>
      </w:tr>
      <w:tr>
        <w:tc>
          <w:tcPr>
            <w:tcW w:type="dxa" w:w="4320"/>
          </w:tcPr>
          <w:p>
            <w:r>
              <w:t>100% — full energy neutrality</w:t>
            </w:r>
          </w:p>
        </w:tc>
        <w:tc>
          <w:tcPr>
            <w:tcW w:type="dxa" w:w="4320"/>
          </w:tcPr>
          <w:p>
            <w:r>
              <w:t>2045</w:t>
            </w:r>
          </w:p>
        </w:tc>
      </w:tr>
    </w:tbl>
    <w:p>
      <w:r>
        <w:t>Poland compliance gap: 71% of wastewater meets old standards (EU avg: 75.9%) (source: WISE Freshwater / Race for the Baltic 2025). Risk of EU infringement proceedings.</w:t>
      </w:r>
    </w:p>
    <w:p>
      <w:pPr>
        <w:pStyle w:val="Heading2"/>
      </w:pPr>
      <w:r>
        <w:t>Force 2 — Sludge Crisis + Legal Processing Obligation (VERIFIED)</w:t>
      </w:r>
    </w:p>
    <w:p>
      <w:r>
        <w:t>Poland: ~580,000–700,000 tonnes of sewage sludge per year (580,700 t dry matter per GUS 2022; wet mass higher) (source: GUS 2022 / scientific literature; approximate).</w:t>
      </w:r>
    </w:p>
    <w:p>
      <w:r>
        <w:t>Polish law (MoE Regulation 2015 + MKiŚ 2021) — 5 permitted methods: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HTC</w:t>
            </w:r>
          </w:p>
        </w:tc>
      </w:tr>
      <w:tr>
        <w:tc>
          <w:tcPr>
            <w:tcW w:type="dxa" w:w="2880"/>
          </w:tcPr>
          <w:p>
            <w:r>
              <w:t>Anaerobic</w:t>
            </w:r>
          </w:p>
        </w:tc>
        <w:tc>
          <w:tcPr>
            <w:tcW w:type="dxa" w:w="2880"/>
          </w:tcPr>
          <w:p>
            <w:r>
              <w:t>Organic reduction ≥38% or temp &gt;34°C for ≥12 days</w:t>
            </w:r>
          </w:p>
        </w:tc>
        <w:tc>
          <w:tcPr>
            <w:tcW w:type="dxa" w:w="2880"/>
          </w:tcPr>
          <w:p>
            <w:r>
              <w:t>✅ HTC reduces &gt;40% (BTC own data)</w:t>
            </w:r>
          </w:p>
        </w:tc>
      </w:tr>
      <w:tr>
        <w:tc>
          <w:tcPr>
            <w:tcW w:type="dxa" w:w="2880"/>
          </w:tcPr>
          <w:p>
            <w:r>
              <w:t>Aerobic</w:t>
            </w:r>
          </w:p>
        </w:tc>
        <w:tc>
          <w:tcPr>
            <w:tcW w:type="dxa" w:w="2880"/>
          </w:tcPr>
          <w:p>
            <w:r>
              <w:t>≥25 days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Aerobic</w:t>
            </w:r>
          </w:p>
        </w:tc>
        <w:tc>
          <w:tcPr>
            <w:tcW w:type="dxa" w:w="2880"/>
          </w:tcPr>
          <w:p>
            <w:r>
              <w:t>≥10 days at &gt;40°C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Chemical</w:t>
            </w:r>
          </w:p>
        </w:tc>
        <w:tc>
          <w:tcPr>
            <w:tcW w:type="dxa" w:w="2880"/>
          </w:tcPr>
          <w:p>
            <w:r>
              <w:t>Lime ≥0.25 kg/kg d.m.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Humification</w:t>
            </w:r>
          </w:p>
        </w:tc>
        <w:tc>
          <w:tcPr>
            <w:tcW w:type="dxa" w:w="2880"/>
          </w:tcPr>
          <w:p>
            <w:r>
              <w:t>≥90 days or moisture &lt;30%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HTC is the legally approved and preferred method — meets option 1 requirements with the best indicators.</w:t>
      </w:r>
    </w:p>
    <w:p>
      <w:r>
        <w:t>Available outlets — and why each one fails:</w:t>
      </w:r>
    </w:p>
    <w:p>
      <w:pPr>
        <w:pStyle w:val="Heading3"/>
      </w:pPr>
      <w:r>
        <w:t>❌ Landfill — banned since 2016</w:t>
      </w:r>
    </w:p>
    <w:p>
      <w:r>
        <w:t>Ban under MoE Regulation 2015 (effective 2016). Sludge with loss on ignition &gt;5% cannot be landfilled. Route definitively closed.</w:t>
      </w:r>
    </w:p>
    <w:p>
      <w:pPr>
        <w:pStyle w:val="Heading3"/>
      </w:pPr>
      <w:r>
        <w:t>⚠️ Agricultural spreading — shrinking window</w:t>
      </w:r>
    </w:p>
    <w:p>
      <w:r>
        <w:t>Agriculture remains the most common method in Poland, but the legal and market basis for this practice is eroding: PFAS ("forever chemicals"), heavy metals, pharmaceuticals &amp; hormones, microplastics. EU regulatory direction: 1986 Sewage Sludge Directive (86/278/EEC) under revision. New draft tightens limits for PFAS, microplastics, pharmaceuticals and heavy metals. Germany (AbwKlärV 2017 — phased withdrawal of agricultural use by 2029), Netherlands and Austria have introduced a de facto ban. Poland will follow the same path — question is when, not if.</w:t>
      </w:r>
    </w:p>
    <w:p>
      <w:pPr>
        <w:pStyle w:val="Heading3"/>
      </w:pPr>
      <w:r>
        <w:t>⚠️ Incineration — full and unaffordable</w:t>
      </w:r>
    </w:p>
    <w:p>
      <w:r>
        <w:t>Poland has 11 sludge incineration plants with total capacity ~160,300 Mg/year (source: Resources 2020) — covering only ~23% of annual production. Incinerators are a sellers' market: full queues, rising prices. Building a dedicated sludge incinerator: EUR 50–150M and 8–12 years of procedures — beyond the reach of any municipality. Gate fees have risen 30–50% in the last 3 years.</w:t>
      </w:r>
    </w:p>
    <w:p>
      <w:r>
        <w:t>Systemic effect: over 75% of Polish sludge has no stable, legal, economically viable outlet. Each available solution is either banned, shrinking, or financially out of reach. The situation worsens year by year.</w:t>
      </w:r>
    </w:p>
    <w:p>
      <w:r>
        <w:t>HTC solves the problem structurally: on-site installation, no transport, sludge becomes a product with value, legal status changes from "waste" to "hydrochar".</w:t>
      </w:r>
    </w:p>
    <w:p>
      <w:pPr>
        <w:pStyle w:val="Heading2"/>
      </w:pPr>
      <w:r>
        <w:t>Force 3 — Grant Window (VERIFIED)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Programme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Terms</w:t>
            </w:r>
          </w:p>
        </w:tc>
      </w:tr>
      <w:tr>
        <w:tc>
          <w:tcPr>
            <w:tcW w:type="dxa" w:w="2880"/>
          </w:tcPr>
          <w:p>
            <w:r>
              <w:t>FENX.01.03</w:t>
            </w:r>
          </w:p>
        </w:tc>
        <w:tc>
          <w:tcPr>
            <w:tcW w:type="dxa" w:w="2880"/>
          </w:tcPr>
          <w:p>
            <w:r>
              <w:t>EUR 1.05B (EU)</w:t>
            </w:r>
          </w:p>
        </w:tc>
        <w:tc>
          <w:tcPr>
            <w:tcW w:type="dxa" w:w="2880"/>
          </w:tcPr>
          <w:p>
            <w:r>
              <w:t>Grant up to 70% (source: NFOŚiGW / funduszeunijne.gov.pl); local governments &amp; water utilities; agglomerations ≥15,000 PE; expenditure eligibility to 31.12.2029</w:t>
            </w:r>
          </w:p>
        </w:tc>
      </w:tr>
      <w:tr>
        <w:tc>
          <w:tcPr>
            <w:tcW w:type="dxa" w:w="2880"/>
          </w:tcPr>
          <w:p>
            <w:r>
              <w:t>NFOŚiGW — outside agglomerations</w:t>
            </w:r>
          </w:p>
        </w:tc>
        <w:tc>
          <w:tcPr>
            <w:tcW w:type="dxa" w:w="2880"/>
          </w:tcPr>
          <w:p>
            <w:r>
              <w:t>PLN 100M</w:t>
            </w:r>
          </w:p>
        </w:tc>
        <w:tc>
          <w:tcPr>
            <w:tcW w:type="dxa" w:w="2880"/>
          </w:tcPr>
          <w:p>
            <w:r>
              <w:t>Loan 100% + 30–50% write-off (up to PLN 5M); WIBOR 3M; 15 years</w:t>
            </w:r>
          </w:p>
        </w:tc>
      </w:tr>
      <w:tr>
        <w:tc>
          <w:tcPr>
            <w:tcW w:type="dxa" w:w="2880"/>
          </w:tcPr>
          <w:p>
            <w:r>
              <w:t>FEnIKS + KPO + NFOŚiGW total</w:t>
            </w:r>
          </w:p>
        </w:tc>
        <w:tc>
          <w:tcPr>
            <w:tcW w:type="dxa" w:w="2880"/>
          </w:tcPr>
          <w:p>
            <w:r>
              <w:t>PLN 30B ≈ EUR 7.6B</w:t>
            </w:r>
          </w:p>
        </w:tc>
        <w:tc>
          <w:tcPr>
            <w:tcW w:type="dxa" w:w="2880"/>
          </w:tcPr>
          <w:p>
            <w:r>
              <w:t>Water &amp; wastewater sector only</w:t>
            </w:r>
          </w:p>
        </w:tc>
      </w:tr>
      <w:tr>
        <w:tc>
          <w:tcPr>
            <w:tcW w:type="dxa" w:w="2880"/>
          </w:tcPr>
          <w:p>
            <w:r>
              <w:t>Cohesion Fund</w:t>
            </w:r>
          </w:p>
        </w:tc>
        <w:tc>
          <w:tcPr>
            <w:tcW w:type="dxa" w:w="2880"/>
          </w:tcPr>
          <w:p>
            <w:r>
              <w:t>EUR 3.1B from 2026</w:t>
            </w:r>
          </w:p>
        </w:tc>
        <w:tc>
          <w:tcPr>
            <w:tcW w:type="dxa" w:w="2880"/>
          </w:tcPr>
          <w:p>
            <w:r>
              <w:t>Water resilience</w:t>
            </w:r>
          </w:p>
        </w:tc>
      </w:tr>
    </w:tbl>
    <w:p>
      <w:r>
        <w:t>Grant coverage (FENX.01.03 + NFOŚiGW loan with write-off): 75–90% CapEx (approximate; FENX.01.03 alone: max 70%; 75–90% when stacked with NFOŚiGW). Peak application window: 2024–2027.</w:t>
      </w:r>
    </w:p>
    <w:p>
      <w:pPr>
        <w:pStyle w:val="Heading1"/>
      </w:pPr>
      <w:r>
        <w:t>Technology TH-AD-HTC — BTC's Edge</w:t>
      </w:r>
    </w:p>
    <w:p>
      <w:pPr>
        <w:pStyle w:val="Heading2"/>
      </w:pPr>
      <w:r>
        <w:t>Process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Temperature: ~200°C | Pressure: ~25 bar | Duration: ~2 hours (BTC own data, AGH Krakow project)</w:t>
            </w:r>
          </w:p>
        </w:tc>
      </w:tr>
      <w:tr>
        <w:tc>
          <w:tcPr>
            <w:tcW w:type="dxa" w:w="8640"/>
          </w:tcPr>
          <w:p>
            <w:r>
              <w:t>Validated on 6 Polish WWTPs (20K–800K PE) (BTC own data)</w:t>
            </w:r>
          </w:p>
        </w:tc>
      </w:tr>
    </w:tbl>
    <w:p>
      <w:pPr>
        <w:pStyle w:val="Heading2"/>
      </w:pPr>
      <w:r>
        <w:t>Benefits for WWTPs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Reduction in solid residue volume</w:t>
            </w:r>
          </w:p>
        </w:tc>
        <w:tc>
          <w:tcPr>
            <w:tcW w:type="dxa" w:w="4320"/>
          </w:tcPr>
          <w:p>
            <w:r>
              <w:t>4–5× less (Lubin: 4.4×) (BTC own data, Lubin 2025)</w:t>
            </w:r>
          </w:p>
        </w:tc>
      </w:tr>
      <w:tr>
        <w:tc>
          <w:tcPr>
            <w:tcW w:type="dxa" w:w="4320"/>
          </w:tcPr>
          <w:p>
            <w:r>
              <w:t>Organic compound reduction</w:t>
            </w:r>
          </w:p>
        </w:tc>
        <w:tc>
          <w:tcPr>
            <w:tcW w:type="dxa" w:w="4320"/>
          </w:tcPr>
          <w:p>
            <w:r>
              <w:t>&gt;70% (BTC own data)</w:t>
            </w:r>
          </w:p>
        </w:tc>
      </w:tr>
      <w:tr>
        <w:tc>
          <w:tcPr>
            <w:tcW w:type="dxa" w:w="4320"/>
          </w:tcPr>
          <w:p>
            <w:r>
              <w:t>Pathogen removal</w:t>
            </w:r>
          </w:p>
        </w:tc>
        <w:tc>
          <w:tcPr>
            <w:tcW w:type="dxa" w:w="4320"/>
          </w:tcPr>
          <w:p>
            <w:r>
              <w:t>100% (BTC own data)</w:t>
            </w:r>
          </w:p>
        </w:tc>
      </w:tr>
      <w:tr>
        <w:tc>
          <w:tcPr>
            <w:tcW w:type="dxa" w:w="4320"/>
          </w:tcPr>
          <w:p>
            <w:r>
              <w:t>Pharmaceuticals &amp; microplastics</w:t>
            </w:r>
          </w:p>
        </w:tc>
        <w:tc>
          <w:tcPr>
            <w:tcW w:type="dxa" w:w="4320"/>
          </w:tcPr>
          <w:p>
            <w:r>
              <w:t>Removed or near-removed (BTC own data)</w:t>
            </w:r>
          </w:p>
        </w:tc>
      </w:tr>
      <w:tr>
        <w:tc>
          <w:tcPr>
            <w:tcW w:type="dxa" w:w="4320"/>
          </w:tcPr>
          <w:p>
            <w:r>
              <w:t>Odour</w:t>
            </w:r>
          </w:p>
        </w:tc>
        <w:tc>
          <w:tcPr>
            <w:tcW w:type="dxa" w:w="4320"/>
          </w:tcPr>
          <w:p>
            <w:r>
              <w:t>Eliminated (BTC own data)</w:t>
            </w:r>
          </w:p>
        </w:tc>
      </w:tr>
      <w:tr>
        <w:tc>
          <w:tcPr>
            <w:tcW w:type="dxa" w:w="4320"/>
          </w:tcPr>
          <w:p>
            <w:r>
              <w:t>Waste status</w:t>
            </w:r>
          </w:p>
        </w:tc>
        <w:tc>
          <w:tcPr>
            <w:tcW w:type="dxa" w:w="4320"/>
          </w:tcPr>
          <w:p>
            <w:r>
              <w:t>Changed → free transfer to municipality or sale to construction companies</w:t>
            </w:r>
          </w:p>
        </w:tc>
      </w:tr>
      <w:tr>
        <w:tc>
          <w:tcPr>
            <w:tcW w:type="dxa" w:w="4320"/>
          </w:tcPr>
          <w:p>
            <w:r>
              <w:t>Biogas</w:t>
            </w:r>
          </w:p>
        </w:tc>
        <w:tc>
          <w:tcPr>
            <w:tcW w:type="dxa" w:w="4320"/>
          </w:tcPr>
          <w:p>
            <w:r>
              <w:t>Heat and electricity production</w:t>
            </w:r>
          </w:p>
        </w:tc>
      </w:tr>
      <w:tr>
        <w:tc>
          <w:tcPr>
            <w:tcW w:type="dxa" w:w="4320"/>
          </w:tcPr>
          <w:p>
            <w:r>
              <w:t>Anaerobic digester</w:t>
            </w:r>
          </w:p>
        </w:tc>
        <w:tc>
          <w:tcPr>
            <w:tcW w:type="dxa" w:w="4320"/>
          </w:tcPr>
          <w:p>
            <w:r>
              <w:t>Reduced demand → co-digestion of biowaste possible</w:t>
            </w:r>
          </w:p>
        </w:tc>
      </w:tr>
    </w:tbl>
    <w:p>
      <w:pPr>
        <w:pStyle w:val="Heading1"/>
      </w:pPr>
      <w:r>
        <w:t>Market Reference — MPWiK Lubin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24.09.2025 — acceptance of 200+ page TH-AD-HTC Concept for Lubin WWTP (PE ~100,000) (BTC own data)</w:t>
            </w:r>
          </w:p>
        </w:tc>
      </w:tr>
      <w:tr>
        <w:tc>
          <w:tcPr>
            <w:tcW w:type="dxa" w:w="8640"/>
          </w:tcPr>
          <w:p>
            <w:r>
              <w:t>20.10.2025 — MPWiK Lubin purchased all proprietary and derivative rights (BTC own data)</w:t>
            </w:r>
          </w:p>
        </w:tc>
      </w:tr>
      <w:tr>
        <w:tc>
          <w:tcPr>
            <w:tcW w:type="dxa" w:w="8640"/>
          </w:tcPr>
          <w:p>
            <w:r>
              <w:t>Document = ready specification for construction tender</w:t>
            </w:r>
          </w:p>
        </w:tc>
      </w:tr>
    </w:tbl>
    <w:p>
      <w:r>
        <w:t>Lubin in numbers: estimated sludge reduction 4.4× → significant reduction in operational costs (BTC own data, Lubin 2025).</w:t>
      </w:r>
    </w:p>
    <w:p>
      <w:pPr>
        <w:pStyle w:val="Heading1"/>
      </w:pPr>
      <w:r>
        <w:t>Competitive Advantage of BTC</w:t>
      </w:r>
    </w:p>
    <w:p>
      <w:r>
        <w:t>BTC does not sell a reactor. It sells a complete project: technology + concept + grant pathway + tender documentation. This model only works with deep knowledge of Polish law, Polish grants and Polish sludge — from the inside.</w:t>
      </w:r>
    </w:p>
    <w:p>
      <w:pPr>
        <w:pStyle w:val="Heading2"/>
      </w:pPr>
      <w:r>
        <w:t>Pillar 1 — Knowledge that cannot be bought in 12 months</w:t>
      </w:r>
    </w:p>
    <w:p>
      <w:r>
        <w:t>11 years of AGH research on sludge from 6 Polish cities. Polish chemistry, Polish standards, Polish law (MoE Regulation 2015 — HTC = method #1). Our team created this technology for this market — they did not adapt it.</w:t>
      </w:r>
    </w:p>
    <w:p>
      <w:pPr>
        <w:pStyle w:val="Heading2"/>
      </w:pPr>
      <w:r>
        <w:t>Pillar 2 — Grant as core of the model, not a bonus</w:t>
      </w:r>
    </w:p>
    <w:p>
      <w:r>
        <w:t>FENX.01.03 covers up to 70% of CapEx (source: NFOŚiGW). But the application must meet technical, environmental and legal requirements — and land in the 2026–2027 window. A municipality without BTC must handle this alone. They usually cannot.</w:t>
      </w:r>
    </w:p>
    <w:p>
      <w:r>
        <w:t>Municipality pays: EUR 750K (15–30% own contribution) | EU adds: EUR 3.5M+ (FENX.01.03, up to 70%) — Installation: fully financed</w:t>
      </w:r>
    </w:p>
    <w:p>
      <w:r>
        <w:t>BTC earns because it knows how to write an application that gets approved. That is our specialisation — and the barrier to entry.</w:t>
      </w:r>
    </w:p>
    <w:p>
      <w:pPr>
        <w:pStyle w:val="Heading2"/>
      </w:pPr>
      <w:r>
        <w:t>Pillar 3 — Scale that nobody else sees</w:t>
      </w:r>
    </w:p>
    <w:p>
      <w:r>
        <w:t>Municipalities below 50,000 PE are too small for most players to be economically justified. BTC's grant model makes 2,000+ Polish municipalities fully addressable.</w:t>
      </w:r>
    </w:p>
    <w:p>
      <w:pPr>
        <w:pStyle w:val="Heading2"/>
      </w:pPr>
      <w:r>
        <w:t>BTC Revenue per Project</w:t>
      </w:r>
    </w:p>
    <w:p>
      <w:r>
        <w:t>TEO / Concept (Year 0): EUR 30–100K</w:t>
        <w:br/>
        <w:t>Construction royalty (6%): EUR 300K</w:t>
        <w:br/>
        <w:t>Patent royalty (0.3%/yr × 10 yrs = +3% CapEx): EUR 36–490K</w:t>
        <w:br/>
        <w:t>Installation servicing (potential): TBD</w:t>
        <w:br/>
        <w:t>────────────────────────────────</w:t>
        <w:br/>
        <w:t>LTV per project (excl. servicing): EUR 366K–890K+</w:t>
      </w:r>
    </w:p>
    <w:p>
      <w:pPr>
        <w:pStyle w:val="Heading1"/>
      </w:pPr>
      <w:r>
        <w:t>Sales Strategy — 4 Channels</w:t>
      </w:r>
    </w:p>
    <w:p>
      <w:pPr>
        <w:pStyle w:val="Heading2"/>
      </w:pPr>
      <w:r>
        <w:t>Channel A — Direct: Municipalities / WWTPs</w:t>
      </w:r>
    </w:p>
    <w:p>
      <w:r>
        <w:t>End customer. Barrier: fragmentation (each municipality decides individually). Cycle: 6–18 months. Reference: MPWiK Lubin ✅</w:t>
      </w:r>
    </w:p>
    <w:p>
      <w:pPr>
        <w:pStyle w:val="Heading2"/>
      </w:pPr>
      <w:r>
        <w:t>Channel B — PPP Operators (largest scale)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Veolia Woda Polska</w:t>
            </w:r>
          </w:p>
        </w:tc>
        <w:tc>
          <w:tcPr>
            <w:tcW w:type="dxa" w:w="2880"/>
          </w:tcPr>
          <w:p>
            <w:r>
              <w:t>123 municipalities (source: Veolia PL Press Centre)</w:t>
            </w:r>
          </w:p>
        </w:tc>
        <w:tc>
          <w:tcPr>
            <w:tcW w:type="dxa" w:w="2880"/>
          </w:tcPr>
          <w:p>
            <w:r>
              <w:t>🔴 #1</w:t>
            </w:r>
          </w:p>
        </w:tc>
      </w:tr>
      <w:tr>
        <w:tc>
          <w:tcPr>
            <w:tcW w:type="dxa" w:w="2880"/>
          </w:tcPr>
          <w:p>
            <w:r>
              <w:t>Remondis</w:t>
            </w:r>
          </w:p>
        </w:tc>
        <w:tc>
          <w:tcPr>
            <w:tcW w:type="dxa" w:w="2880"/>
          </w:tcPr>
          <w:p>
            <w:r>
              <w:t>14 PPP + commercial sludge collection</w:t>
            </w:r>
          </w:p>
        </w:tc>
        <w:tc>
          <w:tcPr>
            <w:tcW w:type="dxa" w:w="2880"/>
          </w:tcPr>
          <w:p>
            <w:r>
              <w:t>🔴 #2 — meeting in progress</w:t>
            </w:r>
          </w:p>
        </w:tc>
      </w:tr>
      <w:tr>
        <w:tc>
          <w:tcPr>
            <w:tcW w:type="dxa" w:w="2880"/>
          </w:tcPr>
          <w:p>
            <w:r>
              <w:t>SUEZ / Ondeo</w:t>
            </w:r>
          </w:p>
        </w:tc>
        <w:tc>
          <w:tcPr>
            <w:tcW w:type="dxa" w:w="2880"/>
          </w:tcPr>
          <w:p>
            <w:r>
              <w:t>PPP Mława + consulting</w:t>
            </w:r>
          </w:p>
        </w:tc>
        <w:tc>
          <w:tcPr>
            <w:tcW w:type="dxa" w:w="2880"/>
          </w:tcPr>
          <w:p>
            <w:r>
              <w:t>🟠 #3</w:t>
            </w:r>
          </w:p>
        </w:tc>
      </w:tr>
      <w:tr>
        <w:tc>
          <w:tcPr>
            <w:tcW w:type="dxa" w:w="2880"/>
          </w:tcPr>
          <w:p>
            <w:r>
              <w:t>SAUR Polska</w:t>
            </w:r>
          </w:p>
        </w:tc>
        <w:tc>
          <w:tcPr>
            <w:tcW w:type="dxa" w:w="2880"/>
          </w:tcPr>
          <w:p>
            <w:r>
              <w:t>Gdańsk, Konstancin-Jeziorna</w:t>
            </w:r>
          </w:p>
        </w:tc>
        <w:tc>
          <w:tcPr>
            <w:tcW w:type="dxa" w:w="2880"/>
          </w:tcPr>
          <w:p>
            <w:r>
              <w:t>🟡 #4</w:t>
            </w:r>
          </w:p>
        </w:tc>
      </w:tr>
    </w:tbl>
    <w:p>
      <w:pPr>
        <w:pStyle w:val="Heading2"/>
      </w:pPr>
      <w:r>
        <w:t>Channel C — EPC General Contractors (fastest start — 1–3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4320"/>
          </w:tcPr>
          <w:p>
            <w:r>
              <w:t>HMK (30+ WWTP, biogas)</w:t>
            </w:r>
          </w:p>
        </w:tc>
        <w:tc>
          <w:tcPr>
            <w:tcW w:type="dxa" w:w="4320"/>
          </w:tcPr>
          <w:p>
            <w:r>
              <w:t>🔴 #1</w:t>
            </w:r>
          </w:p>
        </w:tc>
      </w:tr>
      <w:tr>
        <w:tc>
          <w:tcPr>
            <w:tcW w:type="dxa" w:w="4320"/>
          </w:tcPr>
          <w:p>
            <w:r>
              <w:t>Instal Kraków S.A. (active: Sternalice VI 2025)</w:t>
            </w:r>
          </w:p>
        </w:tc>
        <w:tc>
          <w:tcPr>
            <w:tcW w:type="dxa" w:w="4320"/>
          </w:tcPr>
          <w:p>
            <w:r>
              <w:t>🔴 #2</w:t>
            </w:r>
          </w:p>
        </w:tc>
      </w:tr>
      <w:tr>
        <w:tc>
          <w:tcPr>
            <w:tcW w:type="dxa" w:w="4320"/>
          </w:tcPr>
          <w:p>
            <w:r>
              <w:t>Strabag Umwelttechnik (biogas, fermentation)</w:t>
            </w:r>
          </w:p>
        </w:tc>
        <w:tc>
          <w:tcPr>
            <w:tcW w:type="dxa" w:w="4320"/>
          </w:tcPr>
          <w:p>
            <w:r>
              <w:t>🟠 #3</w:t>
            </w:r>
          </w:p>
        </w:tc>
      </w:tr>
      <w:tr>
        <w:tc>
          <w:tcPr>
            <w:tcW w:type="dxa" w:w="4320"/>
          </w:tcPr>
          <w:p>
            <w:r>
              <w:t>Ekoservispol (small/containerised WWTP)</w:t>
            </w:r>
          </w:p>
        </w:tc>
        <w:tc>
          <w:tcPr>
            <w:tcW w:type="dxa" w:w="4320"/>
          </w:tcPr>
          <w:p>
            <w:r>
              <w:t>🟠 #4</w:t>
            </w:r>
          </w:p>
        </w:tc>
      </w:tr>
    </w:tbl>
    <w:p>
      <w:pPr>
        <w:pStyle w:val="Heading2"/>
      </w:pPr>
      <w:r>
        <w:t>Channel D — Sludge Collectors (supplementary — 2–4 months)</w:t>
      </w:r>
    </w:p>
    <w:p>
      <w:r>
        <w:t>Interzero Polska 🔴 · Senda 🟠 · Geanova 🟠</w:t>
      </w:r>
    </w:p>
    <w:p>
      <w:pPr>
        <w:pStyle w:val="Heading1"/>
      </w:pPr>
      <w:r>
        <w:t>TAM — Total Addressable Market</w:t>
      </w:r>
    </w:p>
    <w:p>
      <w:pPr>
        <w:pStyle w:val="Heading2"/>
      </w:pPr>
      <w:r>
        <w:t>Poland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BTC Potential</w:t>
            </w:r>
          </w:p>
        </w:tc>
      </w:tr>
      <w:tr>
        <w:tc>
          <w:tcPr>
            <w:tcW w:type="dxa" w:w="2880"/>
          </w:tcPr>
          <w:p>
            <w:r>
              <w:t>Municipal WWTPs</w:t>
            </w:r>
          </w:p>
        </w:tc>
        <w:tc>
          <w:tcPr>
            <w:tcW w:type="dxa" w:w="2880"/>
          </w:tcPr>
          <w:p>
            <w:r>
              <w:t>3,273</w:t>
            </w:r>
          </w:p>
        </w:tc>
        <w:tc>
          <w:tcPr>
            <w:tcW w:type="dxa" w:w="2880"/>
          </w:tcPr>
          <w:p>
            <w:r>
              <w:t>Full target</w:t>
            </w:r>
          </w:p>
        </w:tc>
      </w:tr>
      <w:tr>
        <w:tc>
          <w:tcPr>
            <w:tcW w:type="dxa" w:w="2880"/>
          </w:tcPr>
          <w:p>
            <w:r>
              <w:t>Industrial WWTPs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Partial target</w:t>
            </w:r>
          </w:p>
        </w:tc>
      </w:tr>
      <w:tr>
        <w:tc>
          <w:tcPr>
            <w:tcW w:type="dxa" w:w="2880"/>
          </w:tcPr>
          <w:p>
            <w:r>
              <w:t>Agglomerations ≥2,000 PE</w:t>
            </w:r>
          </w:p>
        </w:tc>
        <w:tc>
          <w:tcPr>
            <w:tcW w:type="dxa" w:w="2880"/>
          </w:tcPr>
          <w:p>
            <w:r>
              <w:t>1,524</w:t>
            </w:r>
          </w:p>
        </w:tc>
        <w:tc>
          <w:tcPr>
            <w:tcW w:type="dxa" w:w="2880"/>
          </w:tcPr>
          <w:p>
            <w:r>
              <w:t>Direct grant target</w:t>
            </w:r>
          </w:p>
        </w:tc>
      </w:tr>
      <w:tr>
        <w:tc>
          <w:tcPr>
            <w:tcW w:type="dxa" w:w="2880"/>
          </w:tcPr>
          <w:p>
            <w:r>
              <w:t>WWTPs with stringent treatment</w:t>
            </w:r>
          </w:p>
        </w:tc>
        <w:tc>
          <w:tcPr>
            <w:tcW w:type="dxa" w:w="2880"/>
          </w:tcPr>
          <w:p>
            <w:r>
              <w:t>1,613</w:t>
            </w:r>
          </w:p>
        </w:tc>
        <w:tc>
          <w:tcPr>
            <w:tcW w:type="dxa" w:w="2880"/>
          </w:tcPr>
          <w:p>
            <w:r>
              <w:t>Sludge management upgrade</w:t>
            </w:r>
          </w:p>
        </w:tc>
      </w:tr>
    </w:tbl>
    <w:p>
      <w:pPr>
        <w:pStyle w:val="Heading2"/>
      </w:pPr>
      <w:r>
        <w:t>Europe (expansion 2028+)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Municipal WWTPs in EU (27 countries)</w:t>
            </w:r>
          </w:p>
        </w:tc>
        <w:tc>
          <w:tcPr>
            <w:tcW w:type="dxa" w:w="4320"/>
          </w:tcPr>
          <w:p>
            <w:r>
              <w:t>21,437</w:t>
            </w:r>
          </w:p>
        </w:tc>
      </w:tr>
      <w:tr>
        <w:tc>
          <w:tcPr>
            <w:tcW w:type="dxa" w:w="4320"/>
          </w:tcPr>
          <w:p>
            <w:r>
              <w:t>Poland's share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Agglomerations ≥2,000 PE in EU</w:t>
            </w:r>
          </w:p>
        </w:tc>
        <w:tc>
          <w:tcPr>
            <w:tcW w:type="dxa" w:w="4320"/>
          </w:tcPr>
          <w:p>
            <w:r>
              <w:t>21,626</w:t>
            </w:r>
          </w:p>
        </w:tc>
      </w:tr>
      <w:tr>
        <w:tc>
          <w:tcPr>
            <w:tcW w:type="dxa" w:w="4320"/>
          </w:tcPr>
          <w:p>
            <w:r>
              <w:t>Total EU load (PE)</w:t>
            </w:r>
          </w:p>
        </w:tc>
        <w:tc>
          <w:tcPr>
            <w:tcW w:type="dxa" w:w="4320"/>
          </w:tcPr>
          <w:p>
            <w:r>
              <w:t>702,000,000</w:t>
            </w:r>
          </w:p>
        </w:tc>
      </w:tr>
    </w:tbl>
    <w:p>
      <w:r>
        <w:t>Expansion model: agency or distribution.</w:t>
      </w:r>
    </w:p>
    <w:p>
      <w:pPr>
        <w:pStyle w:val="Heading1"/>
      </w:pPr>
      <w:r>
        <w:t>Financial Projections</w:t>
      </w:r>
    </w:p>
    <w:p>
      <w:r>
        <w:t>(exchange rate 4.3 PLN/EUR; model: Poland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Net Profit / Loss</w:t>
            </w:r>
          </w:p>
        </w:tc>
      </w:tr>
      <w:tr>
        <w:tc>
          <w:tcPr>
            <w:tcW w:type="dxa" w:w="2880"/>
          </w:tcPr>
          <w:p>
            <w:r>
              <w:t>2026 (6 months)</w:t>
            </w:r>
          </w:p>
        </w:tc>
        <w:tc>
          <w:tcPr>
            <w:tcW w:type="dxa" w:w="2880"/>
          </w:tcPr>
          <w:p>
            <w:r>
              <w:t>EUR 107K</w:t>
            </w:r>
          </w:p>
        </w:tc>
        <w:tc>
          <w:tcPr>
            <w:tcW w:type="dxa" w:w="2880"/>
          </w:tcPr>
          <w:p>
            <w:r>
              <w:t>–EUR 590K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EUR 1.07M</w:t>
            </w:r>
          </w:p>
        </w:tc>
        <w:tc>
          <w:tcPr>
            <w:tcW w:type="dxa" w:w="2880"/>
          </w:tcPr>
          <w:p>
            <w:r>
              <w:t>–EUR 1.39M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EUR 1.97M</w:t>
            </w:r>
          </w:p>
        </w:tc>
        <w:tc>
          <w:tcPr>
            <w:tcW w:type="dxa" w:w="2880"/>
          </w:tcPr>
          <w:p>
            <w:r>
              <w:t>–EUR 1.04M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EUR 6.33M</w:t>
            </w:r>
          </w:p>
        </w:tc>
        <w:tc>
          <w:tcPr>
            <w:tcW w:type="dxa" w:w="2880"/>
          </w:tcPr>
          <w:p>
            <w:r>
              <w:t>+EUR 1.40M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EUR 7.57M</w:t>
            </w:r>
          </w:p>
        </w:tc>
        <w:tc>
          <w:tcPr>
            <w:tcW w:type="dxa" w:w="2880"/>
          </w:tcPr>
          <w:p>
            <w:r>
              <w:t>+EUR 3.08M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EUR 11.10M</w:t>
            </w:r>
          </w:p>
        </w:tc>
        <w:tc>
          <w:tcPr>
            <w:tcW w:type="dxa" w:w="2880"/>
          </w:tcPr>
          <w:p>
            <w:r>
              <w:t>+EUR 4.70M</w:t>
            </w:r>
          </w:p>
        </w:tc>
      </w:tr>
    </w:tbl>
    <w:p>
      <w:r>
        <w:t>Profitability: 2029. Cumulative breakeven: 2030.</w:t>
      </w:r>
    </w:p>
    <w:p>
      <w:r>
        <w:t>Unit economics: Client contribution: 15–30% (EUR 750K–1.5M; EU covers the rest via FENX.01.03) · EU grant: up to 70% (FENX.01.03) + NFOŚiGW · Customer LTV: EUR 1.08M (10-year horizon) · CAC payback: 12–18 months</w:t>
      </w:r>
    </w:p>
    <w:p>
      <w:pPr>
        <w:pStyle w:val="Heading1"/>
      </w:pPr>
      <w:r>
        <w:t>Return on Investment</w:t>
      </w:r>
    </w:p>
    <w:p>
      <w:r>
        <w:t>EUR 3M seed round for ~25% equity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Revenue Yr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Valuation (5–7×)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Investor Return (25%)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Multiple</w:t>
            </w:r>
          </w:p>
        </w:tc>
      </w:tr>
      <w:tr>
        <w:tc>
          <w:tcPr>
            <w:tcW w:type="dxa" w:w="1728"/>
          </w:tcPr>
          <w:p>
            <w:r>
              <w:t>Conservative</w:t>
            </w:r>
          </w:p>
        </w:tc>
        <w:tc>
          <w:tcPr>
            <w:tcW w:type="dxa" w:w="1728"/>
          </w:tcPr>
          <w:p>
            <w:r>
              <w:t>EUR 5M</w:t>
            </w:r>
          </w:p>
        </w:tc>
        <w:tc>
          <w:tcPr>
            <w:tcW w:type="dxa" w:w="1728"/>
          </w:tcPr>
          <w:p>
            <w:r>
              <w:t>EUR 25–35M</w:t>
            </w:r>
          </w:p>
        </w:tc>
        <w:tc>
          <w:tcPr>
            <w:tcW w:type="dxa" w:w="1728"/>
          </w:tcPr>
          <w:p>
            <w:r>
              <w:t>EUR 6–9M</w:t>
            </w:r>
          </w:p>
        </w:tc>
        <w:tc>
          <w:tcPr>
            <w:tcW w:type="dxa" w:w="1728"/>
          </w:tcPr>
          <w:p>
            <w:r>
              <w:t>4–6×</w:t>
            </w:r>
          </w:p>
        </w:tc>
      </w:tr>
      <w:tr>
        <w:tc>
          <w:tcPr>
            <w:tcW w:type="dxa" w:w="1728"/>
          </w:tcPr>
          <w:p>
            <w:r>
              <w:t>Base case</w:t>
            </w:r>
          </w:p>
        </w:tc>
        <w:tc>
          <w:tcPr>
            <w:tcW w:type="dxa" w:w="1728"/>
          </w:tcPr>
          <w:p>
            <w:r>
              <w:t>EUR 8M</w:t>
            </w:r>
          </w:p>
        </w:tc>
        <w:tc>
          <w:tcPr>
            <w:tcW w:type="dxa" w:w="1728"/>
          </w:tcPr>
          <w:p>
            <w:r>
              <w:t>EUR 40–56M</w:t>
            </w:r>
          </w:p>
        </w:tc>
        <w:tc>
          <w:tcPr>
            <w:tcW w:type="dxa" w:w="1728"/>
          </w:tcPr>
          <w:p>
            <w:r>
              <w:t>EUR 10–14M</w:t>
            </w:r>
          </w:p>
        </w:tc>
        <w:tc>
          <w:tcPr>
            <w:tcW w:type="dxa" w:w="1728"/>
          </w:tcPr>
          <w:p>
            <w:r>
              <w:t>6–9×</w:t>
            </w:r>
          </w:p>
        </w:tc>
      </w:tr>
      <w:tr>
        <w:tc>
          <w:tcPr>
            <w:tcW w:type="dxa" w:w="1728"/>
          </w:tcPr>
          <w:p>
            <w:r>
              <w:t>Optimistic</w:t>
            </w:r>
          </w:p>
        </w:tc>
        <w:tc>
          <w:tcPr>
            <w:tcW w:type="dxa" w:w="1728"/>
          </w:tcPr>
          <w:p>
            <w:r>
              <w:t>EUR 12–15M</w:t>
            </w:r>
          </w:p>
        </w:tc>
        <w:tc>
          <w:tcPr>
            <w:tcW w:type="dxa" w:w="1728"/>
          </w:tcPr>
          <w:p>
            <w:r>
              <w:t>EUR 60–100M</w:t>
            </w:r>
          </w:p>
        </w:tc>
        <w:tc>
          <w:tcPr>
            <w:tcW w:type="dxa" w:w="1728"/>
          </w:tcPr>
          <w:p>
            <w:r>
              <w:t>EUR 15–25M</w:t>
            </w:r>
          </w:p>
        </w:tc>
        <w:tc>
          <w:tcPr>
            <w:tcW w:type="dxa" w:w="1728"/>
          </w:tcPr>
          <w:p>
            <w:r>
              <w:t>9–13×</w:t>
            </w:r>
          </w:p>
        </w:tc>
      </w:tr>
    </w:tbl>
    <w:p>
      <w:pPr>
        <w:pStyle w:val="Heading1"/>
      </w:pPr>
      <w:r>
        <w:t>Risks — Updated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AGH partnership</w:t>
            </w:r>
          </w:p>
        </w:tc>
        <w:tc>
          <w:tcPr>
            <w:tcW w:type="dxa" w:w="4320"/>
          </w:tcPr>
          <w:p>
            <w:r>
              <w:t>✅ CLOSED — LOI signed</w:t>
            </w:r>
          </w:p>
        </w:tc>
      </w:tr>
      <w:tr>
        <w:tc>
          <w:tcPr>
            <w:tcW w:type="dxa" w:w="4320"/>
          </w:tcPr>
          <w:p>
            <w:r>
              <w:t>INTROL partnership</w:t>
            </w:r>
          </w:p>
        </w:tc>
        <w:tc>
          <w:tcPr>
            <w:tcW w:type="dxa" w:w="4320"/>
          </w:tcPr>
          <w:p>
            <w:r>
              <w:t>✅ CLOSED operationally</w:t>
            </w:r>
          </w:p>
        </w:tc>
      </w:tr>
      <w:tr>
        <w:tc>
          <w:tcPr>
            <w:tcW w:type="dxa" w:w="4320"/>
          </w:tcPr>
          <w:p>
            <w:r>
              <w:t>Customer traction</w:t>
            </w:r>
          </w:p>
        </w:tc>
        <w:tc>
          <w:tcPr>
            <w:tcW w:type="dxa" w:w="4320"/>
          </w:tcPr>
          <w:p>
            <w:r>
              <w:t>✅ CLOSED — MPWiK Lubin</w:t>
            </w:r>
          </w:p>
        </w:tc>
      </w:tr>
      <w:tr>
        <w:tc>
          <w:tcPr>
            <w:tcW w:type="dxa" w:w="4320"/>
          </w:tcPr>
          <w:p>
            <w:r>
              <w:t>Technology validation</w:t>
            </w:r>
          </w:p>
        </w:tc>
        <w:tc>
          <w:tcPr>
            <w:tcW w:type="dxa" w:w="4320"/>
          </w:tcPr>
          <w:p>
            <w:r>
              <w:t>✅ CLOSED — 11 yrs research + Lubin</w:t>
            </w:r>
          </w:p>
        </w:tc>
      </w:tr>
      <w:tr>
        <w:tc>
          <w:tcPr>
            <w:tcW w:type="dxa" w:w="4320"/>
          </w:tcPr>
          <w:p>
            <w:r>
              <w:t>Customer pipeline</w:t>
            </w:r>
          </w:p>
        </w:tc>
        <w:tc>
          <w:tcPr>
            <w:tcW w:type="dxa" w:w="4320"/>
          </w:tcPr>
          <w:p>
            <w:r>
              <w:t>⚠️ 2–3 further LOIs needed</w:t>
            </w:r>
          </w:p>
        </w:tc>
      </w:tr>
      <w:tr>
        <w:tc>
          <w:tcPr>
            <w:tcW w:type="dxa" w:w="4320"/>
          </w:tcPr>
          <w:p>
            <w:r>
              <w:t>Formal IP</w:t>
            </w:r>
          </w:p>
        </w:tc>
        <w:tc>
          <w:tcPr>
            <w:tcW w:type="dxa" w:w="4320"/>
          </w:tcPr>
          <w:p>
            <w:r>
              <w:t>⚠️ Patents at funding</w:t>
            </w:r>
          </w:p>
        </w:tc>
      </w:tr>
      <w:tr>
        <w:tc>
          <w:tcPr>
            <w:tcW w:type="dxa" w:w="4320"/>
          </w:tcPr>
          <w:p>
            <w:r>
              <w:t>Grant rate</w:t>
            </w:r>
          </w:p>
        </w:tc>
        <w:tc>
          <w:tcPr>
            <w:tcW w:type="dxa" w:w="4320"/>
          </w:tcPr>
          <w:p>
            <w:r>
              <w:t>⚠️ FENX.01.03 up to 70% — confirmed; 80% with other programmes — to verify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🟡 MODERATE — TerraNova: operating pilot in Poland (Berezka, July 2024); active EoW lobbying; BTC has advantage of Polish ecosystem and law</w:t>
            </w:r>
          </w:p>
        </w:tc>
      </w:tr>
      <w:tr>
        <w:tc>
          <w:tcPr>
            <w:tcW w:type="dxa" w:w="4320"/>
          </w:tcPr>
          <w:p>
            <w:r>
              <w:t>Regulations</w:t>
            </w:r>
          </w:p>
        </w:tc>
        <w:tc>
          <w:tcPr>
            <w:tcW w:type="dxa" w:w="4320"/>
          </w:tcPr>
          <w:p>
            <w:r>
              <w:t>🟢 LOW — UWWTD + Polish law = fact</w:t>
            </w:r>
          </w:p>
        </w:tc>
      </w:tr>
    </w:tbl>
    <w:p>
      <w:pPr>
        <w:pStyle w:val="Heading1"/>
      </w:pPr>
      <w:r>
        <w:t>What Must Happen Before Round Closes</w:t>
      </w:r>
    </w:p>
    <w:p>
      <w:r>
        <w:t>Tier 1 — REQUIRED:</w:t>
        <w:br/>
        <w:t>[x] LOI with AGH</w:t>
        <w:br/>
        <w:t>[x] INTROL — active cooperation</w:t>
        <w:br/>
        <w:t>[x] Customer reference (MPWiK Lubin)</w:t>
        <w:br/>
        <w:t>[ ] 2–3 further LOIs from municipalities or operators (Remondis, Veolia)</w:t>
        <w:br/>
        <w:t>[ ] Patent applications or IP documentation</w:t>
      </w:r>
    </w:p>
    <w:p>
      <w:r>
        <w:t>Tier 2 — RECOMMENDED:</w:t>
        <w:br/>
        <w:t>[ ] Interview with grant officials (validate rate and timing of next FENX.01.03 call)</w:t>
        <w:br/>
        <w:t>[ ] Model stress-test (60% grant scenario)</w:t>
        <w:br/>
        <w:t>[ ] IP licence agreement: BioTheCon → BTC Consulting</w:t>
      </w:r>
    </w:p>
    <w:p>
      <w:pPr>
        <w:pStyle w:val="Heading1"/>
      </w:pPr>
      <w:r>
        <w:t>Use of Proceeds (EUR 3M)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Sales &amp; market development</w:t>
            </w:r>
          </w:p>
        </w:tc>
        <w:tc>
          <w:tcPr>
            <w:tcW w:type="dxa" w:w="2880"/>
          </w:tcPr>
          <w:p>
            <w:r>
              <w:t>EUR 600K</w:t>
            </w:r>
          </w:p>
        </w:tc>
        <w:tc>
          <w:tcPr>
            <w:tcW w:type="dxa" w:w="2880"/>
          </w:tcPr>
          <w:p>
            <w:r>
              <w:t>2 engineers + 1 grant specialist + travel</w:t>
            </w:r>
          </w:p>
        </w:tc>
      </w:tr>
      <w:tr>
        <w:tc>
          <w:tcPr>
            <w:tcW w:type="dxa" w:w="2880"/>
          </w:tcPr>
          <w:p>
            <w:r>
              <w:t>Technology + AGH + KS + patents</w:t>
            </w:r>
          </w:p>
        </w:tc>
        <w:tc>
          <w:tcPr>
            <w:tcW w:type="dxa" w:w="2880"/>
          </w:tcPr>
          <w:p>
            <w:r>
              <w:t>EUR 400K</w:t>
            </w:r>
          </w:p>
        </w:tc>
        <w:tc>
          <w:tcPr>
            <w:tcW w:type="dxa" w:w="2880"/>
          </w:tcPr>
          <w:p>
            <w:r>
              <w:t>AGH cooperation + INTROL + KS joining</w:t>
            </w:r>
          </w:p>
        </w:tc>
      </w:tr>
      <w:tr>
        <w:tc>
          <w:tcPr>
            <w:tcW w:type="dxa" w:w="2880"/>
          </w:tcPr>
          <w:p>
            <w:r>
              <w:t>Reference installation co-financing</w:t>
            </w:r>
          </w:p>
        </w:tc>
        <w:tc>
          <w:tcPr>
            <w:tcW w:type="dxa" w:w="2880"/>
          </w:tcPr>
          <w:p>
            <w:r>
              <w:t>EUR 300K</w:t>
            </w:r>
          </w:p>
        </w:tc>
        <w:tc>
          <w:tcPr>
            <w:tcW w:type="dxa" w:w="2880"/>
          </w:tcPr>
          <w:p>
            <w:r>
              <w:t>15–30% own contribution for EUR 1–2M project (EU covers rest)</w:t>
            </w:r>
          </w:p>
        </w:tc>
      </w:tr>
      <w:tr>
        <w:tc>
          <w:tcPr>
            <w:tcW w:type="dxa" w:w="2880"/>
          </w:tcPr>
          <w:p>
            <w:r>
              <w:t>Admin &amp; overhead</w:t>
            </w:r>
          </w:p>
        </w:tc>
        <w:tc>
          <w:tcPr>
            <w:tcW w:type="dxa" w:w="2880"/>
          </w:tcPr>
          <w:p>
            <w:r>
              <w:t>EUR 200K</w:t>
            </w:r>
          </w:p>
        </w:tc>
        <w:tc>
          <w:tcPr>
            <w:tcW w:type="dxa" w:w="2880"/>
          </w:tcPr>
          <w:p>
            <w:r>
              <w:t>Office (Gliwice) + legal + reserve</w:t>
            </w:r>
          </w:p>
        </w:tc>
      </w:tr>
      <w:tr>
        <w:tc>
          <w:tcPr>
            <w:tcW w:type="dxa" w:w="2880"/>
          </w:tcPr>
          <w:p>
            <w:r>
              <w:t>Operational buffer</w:t>
            </w:r>
          </w:p>
        </w:tc>
        <w:tc>
          <w:tcPr>
            <w:tcW w:type="dxa" w:w="2880"/>
          </w:tcPr>
          <w:p>
            <w:r>
              <w:t>EUR 500K</w:t>
            </w:r>
          </w:p>
        </w:tc>
        <w:tc>
          <w:tcPr>
            <w:tcW w:type="dxa" w:w="2880"/>
          </w:tcPr>
          <w:p>
            <w:r>
              <w:t>Coverage of 2028 losses + reserve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EUR 3M</w:t>
            </w:r>
          </w:p>
        </w:tc>
        <w:tc>
          <w:tcPr>
            <w:tcW w:type="dxa" w:w="2880"/>
          </w:tcPr>
          <w:p>
            <w:r>
              <w:t>Covers peak deficit 2026–2028 (PLN 13.0M ≈ EUR 3.0M)</w:t>
            </w:r>
          </w:p>
        </w:tc>
      </w:tr>
    </w:tbl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2880"/>
          </w:tcPr>
          <w:p>
            <w:r>
              <w:t>Due Diligence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Verification</w:t>
            </w:r>
          </w:p>
        </w:tc>
      </w:tr>
      <w:tr>
        <w:tc>
          <w:tcPr>
            <w:tcW w:type="dxa" w:w="2880"/>
          </w:tcPr>
          <w:p>
            <w:r>
              <w:t>Round close</w:t>
            </w:r>
          </w:p>
        </w:tc>
        <w:tc>
          <w:tcPr>
            <w:tcW w:type="dxa" w:w="2880"/>
          </w:tcPr>
          <w:p>
            <w:r>
              <w:t>September 2026</w:t>
            </w:r>
          </w:p>
        </w:tc>
        <w:tc>
          <w:tcPr>
            <w:tcW w:type="dxa" w:w="2880"/>
          </w:tcPr>
          <w:p>
            <w:r>
              <w:t>Capital deployment</w:t>
            </w:r>
          </w:p>
        </w:tc>
      </w:tr>
      <w:tr>
        <w:tc>
          <w:tcPr>
            <w:tcW w:type="dxa" w:w="2880"/>
          </w:tcPr>
          <w:p>
            <w:r>
              <w:t>Patent applications</w:t>
            </w:r>
          </w:p>
        </w:tc>
        <w:tc>
          <w:tcPr>
            <w:tcW w:type="dxa" w:w="2880"/>
          </w:tcPr>
          <w:p>
            <w:r>
              <w:t>Q4 2026</w:t>
            </w:r>
          </w:p>
        </w:tc>
        <w:tc>
          <w:tcPr>
            <w:tcW w:type="dxa" w:w="2880"/>
          </w:tcPr>
          <w:p>
            <w:r>
              <w:t>IP formalisation</w:t>
            </w:r>
          </w:p>
        </w:tc>
      </w:tr>
      <w:tr>
        <w:tc>
          <w:tcPr>
            <w:tcW w:type="dxa" w:w="2880"/>
          </w:tcPr>
          <w:p>
            <w:r>
              <w:t>K. Surmacewicz joins BTC</w:t>
            </w:r>
          </w:p>
        </w:tc>
        <w:tc>
          <w:tcPr>
            <w:tcW w:type="dxa" w:w="2880"/>
          </w:tcPr>
          <w:p>
            <w:r>
              <w:t>Q4 2026</w:t>
            </w:r>
          </w:p>
        </w:tc>
        <w:tc>
          <w:tcPr>
            <w:tcW w:type="dxa" w:w="2880"/>
          </w:tcPr>
          <w:p>
            <w:r>
              <w:t>Full team</w:t>
            </w:r>
          </w:p>
        </w:tc>
      </w:tr>
      <w:tr>
        <w:tc>
          <w:tcPr>
            <w:tcW w:type="dxa" w:w="2880"/>
          </w:tcPr>
          <w:p>
            <w:r>
              <w:t>Lubin — construction tender</w:t>
            </w:r>
          </w:p>
        </w:tc>
        <w:tc>
          <w:tcPr>
            <w:tcW w:type="dxa" w:w="2880"/>
          </w:tcPr>
          <w:p>
            <w:r>
              <w:t>Q4 2026–Q1 2027</w:t>
            </w:r>
          </w:p>
        </w:tc>
        <w:tc>
          <w:tcPr>
            <w:tcW w:type="dxa" w:w="2880"/>
          </w:tcPr>
          <w:p>
            <w:r>
              <w:t>First implementation</w:t>
            </w:r>
          </w:p>
        </w:tc>
      </w:tr>
      <w:tr>
        <w:tc>
          <w:tcPr>
            <w:tcW w:type="dxa" w:w="2880"/>
          </w:tcPr>
          <w:p>
            <w:r>
              <w:t>Operating installation</w:t>
            </w:r>
          </w:p>
        </w:tc>
        <w:tc>
          <w:tcPr>
            <w:tcW w:type="dxa" w:w="2880"/>
          </w:tcPr>
          <w:p>
            <w:r>
              <w:t>Q2 2027</w:t>
            </w:r>
          </w:p>
        </w:tc>
        <w:tc>
          <w:tcPr>
            <w:tcW w:type="dxa" w:w="2880"/>
          </w:tcPr>
          <w:p>
            <w:r>
              <w:t>Field proof</w:t>
            </w:r>
          </w:p>
        </w:tc>
      </w:tr>
      <w:tr>
        <w:tc>
          <w:tcPr>
            <w:tcW w:type="dxa" w:w="2880"/>
          </w:tcPr>
          <w:p>
            <w:r>
              <w:t>Profitability</w:t>
            </w:r>
          </w:p>
        </w:tc>
        <w:tc>
          <w:tcPr>
            <w:tcW w:type="dxa" w:w="2880"/>
          </w:tcPr>
          <w:p>
            <w:r>
              <w:t>Q3 2027</w:t>
            </w:r>
          </w:p>
        </w:tc>
        <w:tc>
          <w:tcPr>
            <w:tcW w:type="dxa" w:w="2880"/>
          </w:tcPr>
          <w:p>
            <w:r>
              <w:t>Consulting covers burn</w:t>
            </w:r>
          </w:p>
        </w:tc>
      </w:tr>
    </w:tbl>
    <w:p>
      <w:pPr>
        <w:pStyle w:val="Heading1"/>
      </w:pPr>
      <w:r>
        <w:t>Summary</w:t>
      </w:r>
    </w:p>
    <w:p>
      <w:r>
        <w:t>Poland faces a verified infrastructure gap: 3,273 municipal WWTPs, a sludge crisis (~580,000–700,000 t/year), UWWTD 2035 and EUR 7.6B in EU grants.</w:t>
      </w:r>
    </w:p>
    <w:p>
      <w:r>
        <w:t>BTC is a spin-off with 11 years of R&amp;D — not a startup. TH-AD-HTC technology tested on 6 Polish WWTPs (20K–800K PE) (BTC own data), commercially validated by MPWiK Lubin, legally approved as method #1 for sludge treatment.</w:t>
      </w:r>
    </w:p>
    <w:p>
      <w:r>
        <w:t>The model reverses the economics: EU grants (FENX.01.03, up to 70%) reduce the municipality's own contribution to 15–30% — a project that would be unaffordable without a grant becomes feasible. 21,437 WWTPs in the EU is the ultimate target. Poland (7.7%) is the entry point with a 2–3 year lead.</w:t>
      </w:r>
    </w:p>
    <w:p>
      <w:r>
        <w:t>Prepared by: Andrzej Krop, BTC Consulting Sp. z o.o.</w:t>
        <w:br/>
        <w:t>Contact: Gliwice | bioTC</w:t>
        <w:br/>
        <w:t>Version: 4.2 — financial data: BTC_biznes plan_HTC only 23.06.2026</w:t>
        <w:br/>
        <w:t>Verified sources: EUR-Lex 2024/3019 · MoE Regulation 2015/MKiŚ 2021 · FENX.01.03 (NFOŚiGW) · GUS 2022 · Resources 2020 · WISE Freshwater / Race for the Baltic 2025 · bankier.pl / introl.pl (INTROL 2024–2025) · Veolia Press Centre · terranova-energy.com (Poland project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ndrzej-krop-80031011a" TargetMode="External"/><Relationship Id="rId10" Type="http://schemas.openxmlformats.org/officeDocument/2006/relationships/hyperlink" Target="https://www.linkedin.com/in/ma%C5%82gorzatawilk" TargetMode="External"/><Relationship Id="rId11" Type="http://schemas.openxmlformats.org/officeDocument/2006/relationships/hyperlink" Target="https://www.linkedin.com/in/karol-s-867a5b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