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66567"/>
            <wp:docPr id="1" name="Picture 1"/>
            <wp:cNvGraphicFramePr>
              <a:graphicFrameLocks noChangeAspect="1"/>
            </wp:cNvGraphicFramePr>
            <a:graphic>
              <a:graphicData uri="http://schemas.openxmlformats.org/drawingml/2006/picture">
                <pic:pic>
                  <pic:nvPicPr>
                    <pic:cNvPr id="0" name="logo_emsi.png"/>
                    <pic:cNvPicPr/>
                  </pic:nvPicPr>
                  <pic:blipFill>
                    <a:blip r:embed="rId9"/>
                    <a:stretch>
                      <a:fillRect/>
                    </a:stretch>
                  </pic:blipFill>
                  <pic:spPr>
                    <a:xfrm>
                      <a:off x="0" y="0"/>
                      <a:ext cx="2286000" cy="566567"/>
                    </a:xfrm>
                    <a:prstGeom prst="rect"/>
                  </pic:spPr>
                </pic:pic>
              </a:graphicData>
            </a:graphic>
          </wp:inline>
        </w:drawing>
      </w:r>
    </w:p>
    <w:p/>
    <w:p>
      <w:pPr>
        <w:jc w:val="center"/>
      </w:pPr>
      <w:r>
        <w:rPr>
          <w:b/>
          <w:sz w:val="26"/>
        </w:rPr>
        <w:t>École Marocaine des Sciences de l'Ingénieur — EMSI</w:t>
      </w:r>
    </w:p>
    <w:p>
      <w:pPr>
        <w:jc w:val="center"/>
      </w:pPr>
      <w:r>
        <w:t>Filière : 4IIR–IAD  |  Groupe : 1  |  Site : Moulay Youssef</w:t>
      </w:r>
    </w:p>
    <w:p/>
    <w:p>
      <w:pPr>
        <w:jc w:val="center"/>
      </w:pPr>
      <w:r>
        <w:t>____________________________________________________________</w:t>
      </w:r>
    </w:p>
    <w:p/>
    <w:p>
      <w:pPr>
        <w:jc w:val="center"/>
      </w:pPr>
      <w:r>
        <w:rPr>
          <w:b/>
          <w:color w:val="1F497D"/>
          <w:sz w:val="52"/>
        </w:rPr>
        <w:t>RAPPORT SCIENTIFIQUE</w:t>
      </w:r>
    </w:p>
    <w:p>
      <w:pPr>
        <w:jc w:val="center"/>
      </w:pPr>
      <w:r>
        <w:rPr>
          <w:b/>
          <w:color w:val="1F497D"/>
          <w:sz w:val="32"/>
        </w:rPr>
        <w:t>Projet de fin de module — Deep Learning</w:t>
      </w:r>
    </w:p>
    <w:p/>
    <w:p>
      <w:pPr>
        <w:jc w:val="center"/>
      </w:pPr>
      <w:r>
        <w:t>____________________________________________________________</w:t>
      </w:r>
    </w:p>
    <w:p/>
    <w:p>
      <w:pPr>
        <w:jc w:val="center"/>
      </w:pPr>
      <w:r>
        <w:rPr>
          <w:b/>
          <w:sz w:val="24"/>
        </w:rPr>
        <w:t xml:space="preserve">Module : </w:t>
      </w:r>
      <w:r>
        <w:rPr>
          <w:sz w:val="24"/>
        </w:rPr>
        <w:t>Deep Learning</w:t>
      </w:r>
    </w:p>
    <w:p>
      <w:pPr>
        <w:jc w:val="center"/>
      </w:pPr>
      <w:r>
        <w:rPr>
          <w:b/>
          <w:sz w:val="24"/>
        </w:rPr>
        <w:t xml:space="preserve">Année académique : </w:t>
      </w:r>
      <w:r>
        <w:rPr>
          <w:sz w:val="24"/>
        </w:rPr>
        <w:t>2025 – 2026</w:t>
      </w:r>
    </w:p>
    <w:p>
      <w:pPr>
        <w:jc w:val="center"/>
      </w:pPr>
      <w:r>
        <w:rPr>
          <w:b/>
          <w:sz w:val="24"/>
        </w:rPr>
        <w:t xml:space="preserve">Réalisé par : </w:t>
      </w:r>
      <w:r>
        <w:rPr>
          <w:sz w:val="24"/>
        </w:rPr>
        <w:t>Hibatallah Baetouty</w:t>
      </w:r>
    </w:p>
    <w:p>
      <w:pPr>
        <w:jc w:val="center"/>
      </w:pPr>
      <w:r>
        <w:rPr>
          <w:b/>
          <w:sz w:val="24"/>
        </w:rPr>
        <w:t xml:space="preserve">Encadré par : </w:t>
      </w:r>
      <w:r>
        <w:rPr>
          <w:sz w:val="24"/>
        </w:rPr>
        <w:t>Professeur Mossab Batal</w:t>
      </w:r>
    </w:p>
    <w:p>
      <w:pPr>
        <w:jc w:val="center"/>
      </w:pPr>
      <w:r>
        <w:rPr>
          <w:b/>
          <w:sz w:val="24"/>
        </w:rPr>
        <w:t xml:space="preserve">Date de remise : </w:t>
      </w:r>
      <w:r>
        <w:rPr>
          <w:sz w:val="24"/>
        </w:rPr>
        <w:t>04/06/2026</w:t>
      </w:r>
    </w:p>
    <w:p>
      <w:r>
        <w:br w:type="page"/>
      </w:r>
    </w:p>
    <w:p>
      <w:pPr>
        <w:pStyle w:val="Heading1"/>
        <w:jc w:val="left"/>
      </w:pPr>
      <w:r>
        <w:t>Remerciements</w:t>
      </w:r>
    </w:p>
    <w:p>
      <w:r>
        <w:rPr>
          <w:b w:val="0"/>
          <w:i w:val="0"/>
          <w:sz w:val="22"/>
        </w:rPr>
        <w:t>Je tiens à exprimer ma profonde gratitude à Monsieur le Professeur Mossab Batal pour la qualité de son enseignement, la rigueur de son encadrement et la disponibilité dont il a fait preuve tout au long de ce module de Deep Learning.</w:t>
      </w:r>
    </w:p>
    <w:p/>
    <w:p>
      <w:r>
        <w:rPr>
          <w:b w:val="0"/>
          <w:i w:val="0"/>
          <w:sz w:val="22"/>
        </w:rPr>
        <w:t>Je remercie également l'École Marocaine des Sciences de l'Ingénieur (EMSI), site Moulay Youssef, pour les ressources pédagogiques et l'environnement de travail mis à ma disposition.</w:t>
      </w:r>
    </w:p>
    <w:p/>
    <w:p>
      <w:r>
        <w:rPr>
          <w:b w:val="0"/>
          <w:i w:val="0"/>
          <w:sz w:val="22"/>
        </w:rPr>
        <w:t>Ce projet m'a permis d'acquérir une maîtrise solide des architectures de réseaux de neurones profonds — MLP, CNN et RNN/Seq2Seq — et de les appliquer sur des données médicales réelles dans un cadre scientifique rigoureux.</w:t>
      </w:r>
    </w:p>
    <w:p>
      <w:r>
        <w:br w:type="page"/>
      </w:r>
    </w:p>
    <w:p>
      <w:pPr>
        <w:pStyle w:val="Heading1"/>
        <w:jc w:val="left"/>
      </w:pPr>
      <w:r>
        <w:t>Résumé</w:t>
      </w:r>
    </w:p>
    <w:p>
      <w:r>
        <w:rPr>
          <w:b w:val="0"/>
          <w:i w:val="0"/>
          <w:sz w:val="22"/>
        </w:rPr>
        <w:t>Ce rapport présente la réalisation d'un projet de Deep Learning structuré en trois parties complémentaires, chacune adressant une modalité de données médicales différente.</w:t>
      </w:r>
    </w:p>
    <w:p/>
    <w:p>
      <w:r>
        <w:rPr>
          <w:b w:val="0"/>
          <w:i w:val="0"/>
          <w:sz w:val="22"/>
        </w:rPr>
        <w:t>Partie I — MLP (Breast Cancer Wisconsin) : Un perceptron multicouche est entraîné sur 569 échantillons décrits par 30 features pour classifier des tumeurs mammaires. L'étude compare trois stratégies d'initialisation (Gaussienne, Constante, Xavier) et atteint une accuracy de 94–97% sur le jeu de test.</w:t>
      </w:r>
    </w:p>
    <w:p/>
    <w:p>
      <w:r>
        <w:rPr>
          <w:b w:val="0"/>
          <w:i w:val="0"/>
          <w:sz w:val="22"/>
        </w:rPr>
        <w:t>Partie II — CNN (PneumoniaMNIST) : Un réseau convolutionnel inspiré de LeNet est entraîné sur 5856 radiographies thoraciques pour détecter la pneumonie. Six configurations hyperparamètres sont étudiées (padding=0 vs 2, stride=1 vs 2, pooling, filtres, conv 1x1), atteignant 96.95% de validation accuracy.</w:t>
      </w:r>
    </w:p>
    <w:p/>
    <w:p>
      <w:r>
        <w:rPr>
          <w:b w:val="0"/>
          <w:i w:val="0"/>
          <w:sz w:val="22"/>
        </w:rPr>
        <w:t>Partie III — RNN/Seq2Seq (UCI Drug Reviews) : Trois architectures récurrentes (RNN, LSTM, GRU) sont comparées pour la classification de sentiment sur 8 000 reviews médicales. Le GRU obtient la meilleure accuracy (68.33%). Un système Seq2Seq encodeur-décodeur est ensuite construit et évalué par perplexité (48.63) et score BLEU (0.1047).</w:t>
      </w:r>
    </w:p>
    <w:p/>
    <w:p>
      <w:r>
        <w:rPr>
          <w:b w:val="0"/>
          <w:i/>
          <w:sz w:val="22"/>
        </w:rPr>
        <w:t>Mots-clés : Deep Learning, PyTorch, MLP, CNN, RNN, LSTM, GRU, Seq2Seq, classification médicale, vision par ordinateur, traitement du langage naturel.</w:t>
      </w:r>
    </w:p>
    <w:p>
      <w:r>
        <w:br w:type="page"/>
      </w:r>
    </w:p>
    <w:p>
      <w:pPr>
        <w:pStyle w:val="Heading1"/>
        <w:jc w:val="left"/>
      </w:pPr>
      <w:r>
        <w:t>1. Introduction</w:t>
      </w:r>
    </w:p>
    <w:p>
      <w:r>
        <w:rPr>
          <w:b w:val="0"/>
          <w:i w:val="0"/>
          <w:sz w:val="22"/>
        </w:rPr>
        <w:t>Ce rapport présente la réalisation d'un projet de deep learning structuré en trois parties complémentaires, chacune ciblant une modalité de données différente dans le domaine médical. L'objectif global est de démontrer la capacité à adapter les architectures de réseaux de neurones profonds à la nature intrinsèque des données : tabulaires, images, et séquentielles.</w:t>
      </w:r>
    </w:p>
    <w:p>
      <w:r>
        <w:rPr>
          <w:b w:val="0"/>
          <w:i w:val="0"/>
          <w:sz w:val="22"/>
        </w:rPr>
        <w:t>Trois architectures majeures sont étudiées :</w:t>
      </w:r>
    </w:p>
    <w:p>
      <w:pPr>
        <w:pStyle w:val="ListBullet"/>
      </w:pPr>
      <w:r>
        <w:t>Partie I : MLP sur données tabulaires — classification de tumeurs mammaires (Breast Cancer Wisconsin)</w:t>
      </w:r>
    </w:p>
    <w:p>
      <w:pPr>
        <w:pStyle w:val="ListBullet"/>
      </w:pPr>
      <w:r>
        <w:t>Partie II : CNN sur images médicales — détection de pneumonie (PneumoniaMNIST)</w:t>
      </w:r>
    </w:p>
    <w:p>
      <w:pPr>
        <w:pStyle w:val="ListBullet"/>
      </w:pPr>
      <w:r>
        <w:t>Partie III : RNN/LSTM/GRU et Seq2Seq sur données textuelles — analyse de reviews médicales (UCI Drug Reviews)</w:t>
      </w:r>
    </w:p>
    <w:p>
      <w:r>
        <w:rPr>
          <w:b w:val="0"/>
          <w:i w:val="0"/>
          <w:sz w:val="22"/>
        </w:rPr>
        <w:t>Tous les modèles ont été implémentés en PyTorch 2.10.0 et entraînés sur GPU CUDA T4 via Google Colab. Les notebooks sont entièrement reproductibles et livrés avec leurs outputs.</w:t>
      </w:r>
    </w:p>
    <w:p>
      <w:r>
        <w:br w:type="page"/>
      </w:r>
    </w:p>
    <w:p>
      <w:pPr>
        <w:pStyle w:val="Heading1"/>
        <w:jc w:val="left"/>
      </w:pPr>
      <w:r>
        <w:t>2. Partie I — MLP &amp; Classification tabulaire (Breast Cancer Wisconsin)</w:t>
      </w:r>
    </w:p>
    <w:p>
      <w:pPr>
        <w:pStyle w:val="Heading2"/>
        <w:jc w:val="left"/>
      </w:pPr>
      <w:r>
        <w:t>2.1 Objectifs</w:t>
      </w:r>
    </w:p>
    <w:p>
      <w:r>
        <w:rPr>
          <w:b w:val="0"/>
          <w:i w:val="0"/>
          <w:sz w:val="22"/>
        </w:rPr>
        <w:t>Maîtriser les fondements du MLP : construction avec nn.Sequential et classe personnalisée, inspection des paramètres, stratégies d'initialisation (gaussienne, constante, Xavier), boucle d'entraînement complète, et évaluation multi-métriques sur un dataset médical réel.</w:t>
      </w:r>
    </w:p>
    <w:p>
      <w:pPr>
        <w:pStyle w:val="Heading2"/>
        <w:jc w:val="left"/>
      </w:pPr>
      <w:r>
        <w:t>2.2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Propriété</w:t>
            </w:r>
          </w:p>
        </w:tc>
        <w:tc>
          <w:tcPr>
            <w:tcW w:type="dxa" w:w="4320"/>
          </w:tcPr>
          <w:p>
            <w:r>
              <w:rPr>
                <w:b/>
              </w:rPr>
              <w:t>Valeur</w:t>
            </w:r>
          </w:p>
        </w:tc>
      </w:tr>
      <w:tr>
        <w:tc>
          <w:tcPr>
            <w:tcW w:type="dxa" w:w="4320"/>
          </w:tcPr>
          <w:p>
            <w:r>
              <w:t>Nom</w:t>
            </w:r>
          </w:p>
        </w:tc>
        <w:tc>
          <w:tcPr>
            <w:tcW w:type="dxa" w:w="4320"/>
          </w:tcPr>
          <w:p>
            <w:r>
              <w:t>Breast Cancer Wisconsin (sklearn)</w:t>
            </w:r>
          </w:p>
        </w:tc>
      </w:tr>
      <w:tr>
        <w:tc>
          <w:tcPr>
            <w:tcW w:type="dxa" w:w="4320"/>
          </w:tcPr>
          <w:p>
            <w:r>
              <w:t>Échantillons</w:t>
            </w:r>
          </w:p>
        </w:tc>
        <w:tc>
          <w:tcPr>
            <w:tcW w:type="dxa" w:w="4320"/>
          </w:tcPr>
          <w:p>
            <w:r>
              <w:t>569</w:t>
            </w:r>
          </w:p>
        </w:tc>
      </w:tr>
      <w:tr>
        <w:tc>
          <w:tcPr>
            <w:tcW w:type="dxa" w:w="4320"/>
          </w:tcPr>
          <w:p>
            <w:r>
              <w:t>Features</w:t>
            </w:r>
          </w:p>
        </w:tc>
        <w:tc>
          <w:tcPr>
            <w:tcW w:type="dxa" w:w="4320"/>
          </w:tcPr>
          <w:p>
            <w:r>
              <w:t>30 numériques continues (rayon, texture, périmètre...)</w:t>
            </w:r>
          </w:p>
        </w:tc>
      </w:tr>
      <w:tr>
        <w:tc>
          <w:tcPr>
            <w:tcW w:type="dxa" w:w="4320"/>
          </w:tcPr>
          <w:p>
            <w:r>
              <w:t>Classes</w:t>
            </w:r>
          </w:p>
        </w:tc>
        <w:tc>
          <w:tcPr>
            <w:tcW w:type="dxa" w:w="4320"/>
          </w:tcPr>
          <w:p>
            <w:r>
              <w:t>Maligne (212) / Bénigne (357)</w:t>
            </w:r>
          </w:p>
        </w:tc>
      </w:tr>
      <w:tr>
        <w:tc>
          <w:tcPr>
            <w:tcW w:type="dxa" w:w="4320"/>
          </w:tcPr>
          <w:p>
            <w:r>
              <w:t>Prétraitement</w:t>
            </w:r>
          </w:p>
        </w:tc>
        <w:tc>
          <w:tcPr>
            <w:tcW w:type="dxa" w:w="4320"/>
          </w:tcPr>
          <w:p>
            <w:r>
              <w:t>StandardScaler (μ=0, σ=1)</w:t>
            </w:r>
          </w:p>
        </w:tc>
      </w:tr>
      <w:tr>
        <w:tc>
          <w:tcPr>
            <w:tcW w:type="dxa" w:w="4320"/>
          </w:tcPr>
          <w:p>
            <w:r>
              <w:t>Split</w:t>
            </w:r>
          </w:p>
        </w:tc>
        <w:tc>
          <w:tcPr>
            <w:tcW w:type="dxa" w:w="4320"/>
          </w:tcPr>
          <w:p>
            <w:r>
              <w:t>70% train / 15% val / 15% test</w:t>
            </w:r>
          </w:p>
        </w:tc>
      </w:tr>
    </w:tbl>
    <w:p/>
    <w:p>
      <w:pPr>
        <w:pStyle w:val="Heading2"/>
        <w:jc w:val="left"/>
      </w:pPr>
      <w:r>
        <w:t>2.3 Méthodologie &amp; Implémentation</w:t>
      </w:r>
    </w:p>
    <w:p>
      <w:r>
        <w:rPr>
          <w:b w:val="0"/>
          <w:i w:val="0"/>
          <w:sz w:val="22"/>
        </w:rPr>
        <w:t>Deux architectures MLP implémentées en PyTorch :</w:t>
      </w:r>
    </w:p>
    <w:p>
      <w:r>
        <w:rPr>
          <w:b/>
          <w:i w:val="0"/>
          <w:sz w:val="22"/>
        </w:rPr>
        <w:t>Architecture 1 — nn.Sequential : 30 -&gt; 64 (ReLU+BN+Drop0.3) -&gt; 32 (ReLU+BN+Drop0.2) -&gt; 2</w:t>
      </w:r>
    </w:p>
    <w:p>
      <w:r>
        <w:rPr>
          <w:b/>
          <w:i w:val="0"/>
          <w:sz w:val="22"/>
        </w:rPr>
        <w:t>Architecture 2 — Classe MLP : 30 -&gt; 128 (ReLU+BN+Drop0.3) -&gt; 64 (ReLU+BN+Drop0.3) -&gt; 32 (ReLU) -&gt; 2</w:t>
      </w:r>
    </w:p>
    <w:p>
      <w:r>
        <w:rPr>
          <w:b w:val="0"/>
          <w:i w:val="0"/>
          <w:sz w:val="22"/>
        </w:rPr>
        <w:t>Trois stratégies d'initialisation comparées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Stratégie</w:t>
            </w:r>
          </w:p>
        </w:tc>
        <w:tc>
          <w:tcPr>
            <w:tcW w:type="dxa" w:w="2880"/>
          </w:tcPr>
          <w:p>
            <w:r>
              <w:rPr>
                <w:b/>
              </w:rPr>
              <w:t>Description</w:t>
            </w:r>
          </w:p>
        </w:tc>
        <w:tc>
          <w:tcPr>
            <w:tcW w:type="dxa" w:w="2880"/>
          </w:tcPr>
          <w:p>
            <w:r>
              <w:rPr>
                <w:b/>
              </w:rPr>
              <w:t>Justification</w:t>
            </w:r>
          </w:p>
        </w:tc>
      </w:tr>
      <w:tr>
        <w:tc>
          <w:tcPr>
            <w:tcW w:type="dxa" w:w="2880"/>
          </w:tcPr>
          <w:p>
            <w:r>
              <w:t>Gaussienne</w:t>
            </w:r>
          </w:p>
        </w:tc>
        <w:tc>
          <w:tcPr>
            <w:tcW w:type="dxa" w:w="2880"/>
          </w:tcPr>
          <w:p>
            <w:r>
              <w:t>N(0, 0.01)</w:t>
            </w:r>
          </w:p>
        </w:tc>
        <w:tc>
          <w:tcPr>
            <w:tcW w:type="dxa" w:w="2880"/>
          </w:tcPr>
          <w:p>
            <w:r>
              <w:t>Référence, brise la symétrie</w:t>
            </w:r>
          </w:p>
        </w:tc>
      </w:tr>
      <w:tr>
        <w:tc>
          <w:tcPr>
            <w:tcW w:type="dxa" w:w="2880"/>
          </w:tcPr>
          <w:p>
            <w:r>
              <w:t>Constante</w:t>
            </w:r>
          </w:p>
        </w:tc>
        <w:tc>
          <w:tcPr>
            <w:tcW w:type="dxa" w:w="2880"/>
          </w:tcPr>
          <w:p>
            <w:r>
              <w:t>Tous poids = 0.01</w:t>
            </w:r>
          </w:p>
        </w:tc>
        <w:tc>
          <w:tcPr>
            <w:tcW w:type="dxa" w:w="2880"/>
          </w:tcPr>
          <w:p>
            <w:r>
              <w:t>Illustre le problème de symétrie</w:t>
            </w:r>
          </w:p>
        </w:tc>
      </w:tr>
      <w:tr>
        <w:tc>
          <w:tcPr>
            <w:tcW w:type="dxa" w:w="2880"/>
          </w:tcPr>
          <w:p>
            <w:r>
              <w:t>Xavier/Glorot</w:t>
            </w:r>
          </w:p>
        </w:tc>
        <w:tc>
          <w:tcPr>
            <w:tcW w:type="dxa" w:w="2880"/>
          </w:tcPr>
          <w:p>
            <w:r>
              <w:t>Variance adaptée aux couches</w:t>
            </w:r>
          </w:p>
        </w:tc>
        <w:tc>
          <w:tcPr>
            <w:tcW w:type="dxa" w:w="2880"/>
          </w:tcPr>
          <w:p>
            <w:r>
              <w:t>Maintient la variance du signal</w:t>
            </w:r>
          </w:p>
        </w:tc>
      </w:tr>
    </w:tbl>
    <w:p/>
    <w:p>
      <w:r>
        <w:rPr>
          <w:b w:val="0"/>
          <w:i w:val="0"/>
          <w:sz w:val="22"/>
        </w:rPr>
        <w:t>Optimiseur : Adam (lr=1e-3), perte : CrossEntropyLoss, early stopping sur validation, sauvegarde du meilleur modèle via torch.save().</w:t>
      </w:r>
    </w:p>
    <w:p>
      <w:pPr>
        <w:pStyle w:val="Heading2"/>
        <w:jc w:val="left"/>
      </w:pPr>
      <w:r>
        <w:t>2.4 Résultats expérimentaux</w:t>
      </w:r>
    </w:p>
    <w:p>
      <w:pPr>
        <w:jc w:val="center"/>
      </w:pPr>
      <w:r>
        <w:drawing>
          <wp:inline xmlns:a="http://schemas.openxmlformats.org/drawingml/2006/main" xmlns:pic="http://schemas.openxmlformats.org/drawingml/2006/picture">
            <wp:extent cx="5029200" cy="1677834"/>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5029200" cy="1677834"/>
                    </a:xfrm>
                    <a:prstGeom prst="rect"/>
                  </pic:spPr>
                </pic:pic>
              </a:graphicData>
            </a:graphic>
          </wp:inline>
        </w:drawing>
      </w:r>
    </w:p>
    <w:p>
      <w:pPr>
        <w:jc w:val="center"/>
      </w:pPr>
      <w:r>
        <w:rPr>
          <w:i/>
          <w:sz w:val="18"/>
        </w:rPr>
        <w:t>Fig. 1 — Distribution des classes et corrélation entre features (Breast Cancer Wisconsin)</w:t>
      </w:r>
    </w:p>
    <w:p/>
    <w:p>
      <w:pPr>
        <w:jc w:val="center"/>
      </w:pPr>
      <w:r>
        <w:drawing>
          <wp:inline xmlns:a="http://schemas.openxmlformats.org/drawingml/2006/main" xmlns:pic="http://schemas.openxmlformats.org/drawingml/2006/picture">
            <wp:extent cx="5029200" cy="1412086"/>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5029200" cy="1412086"/>
                    </a:xfrm>
                    <a:prstGeom prst="rect"/>
                  </pic:spPr>
                </pic:pic>
              </a:graphicData>
            </a:graphic>
          </wp:inline>
        </w:drawing>
      </w:r>
    </w:p>
    <w:p>
      <w:pPr>
        <w:jc w:val="center"/>
      </w:pPr>
      <w:r>
        <w:rPr>
          <w:i/>
          <w:sz w:val="18"/>
        </w:rPr>
        <w:t>Fig. 2 — Loss et accuracy selon la stratégie d'initialisation (Gaussienne / Constante / Xavier)</w:t>
      </w:r>
    </w:p>
    <w:p/>
    <w:p>
      <w:pPr>
        <w:jc w:val="center"/>
      </w:pPr>
      <w:r>
        <w:drawing>
          <wp:inline xmlns:a="http://schemas.openxmlformats.org/drawingml/2006/main" xmlns:pic="http://schemas.openxmlformats.org/drawingml/2006/picture">
            <wp:extent cx="5029200" cy="1412086"/>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029200" cy="1412086"/>
                    </a:xfrm>
                    <a:prstGeom prst="rect"/>
                  </pic:spPr>
                </pic:pic>
              </a:graphicData>
            </a:graphic>
          </wp:inline>
        </w:drawing>
      </w:r>
    </w:p>
    <w:p>
      <w:pPr>
        <w:jc w:val="center"/>
      </w:pPr>
      <w:r>
        <w:rPr>
          <w:i/>
          <w:sz w:val="18"/>
        </w:rPr>
        <w:t>Fig. 3 — Courbes de perte et d'accuracy train/val (MLP final, 100 époques)</w:t>
      </w:r>
    </w:p>
    <w:p/>
    <w:p>
      <w:pPr>
        <w:jc w:val="center"/>
      </w:pPr>
      <w:r>
        <w:drawing>
          <wp:inline xmlns:a="http://schemas.openxmlformats.org/drawingml/2006/main" xmlns:pic="http://schemas.openxmlformats.org/drawingml/2006/picture">
            <wp:extent cx="3200400" cy="2810387"/>
            <wp:docPr id="5" name="Picture 5"/>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3200400" cy="2810387"/>
                    </a:xfrm>
                    <a:prstGeom prst="rect"/>
                  </pic:spPr>
                </pic:pic>
              </a:graphicData>
            </a:graphic>
          </wp:inline>
        </w:drawing>
      </w:r>
    </w:p>
    <w:p>
      <w:pPr>
        <w:jc w:val="center"/>
      </w:pPr>
      <w:r>
        <w:rPr>
          <w:i/>
          <w:sz w:val="18"/>
        </w:rPr>
        <w:t>Fig. 4 — Matrice de confusion sur le jeu de test</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Métrique</w:t>
            </w:r>
          </w:p>
        </w:tc>
        <w:tc>
          <w:tcPr>
            <w:tcW w:type="dxa" w:w="4320"/>
          </w:tcPr>
          <w:p>
            <w:r>
              <w:rPr>
                <w:b/>
              </w:rPr>
              <w:t>Valeur (jeu de test)</w:t>
            </w:r>
          </w:p>
        </w:tc>
      </w:tr>
      <w:tr>
        <w:tc>
          <w:tcPr>
            <w:tcW w:type="dxa" w:w="4320"/>
          </w:tcPr>
          <w:p>
            <w:r>
              <w:t>Accuracy</w:t>
            </w:r>
          </w:p>
        </w:tc>
        <w:tc>
          <w:tcPr>
            <w:tcW w:type="dxa" w:w="4320"/>
          </w:tcPr>
          <w:p>
            <w:r>
              <w:t>94–97%</w:t>
            </w:r>
          </w:p>
        </w:tc>
      </w:tr>
      <w:tr>
        <w:tc>
          <w:tcPr>
            <w:tcW w:type="dxa" w:w="4320"/>
          </w:tcPr>
          <w:p>
            <w:r>
              <w:t>Précision (maligne)</w:t>
            </w:r>
          </w:p>
        </w:tc>
        <w:tc>
          <w:tcPr>
            <w:tcW w:type="dxa" w:w="4320"/>
          </w:tcPr>
          <w:p>
            <w:r>
              <w:t>~95%</w:t>
            </w:r>
          </w:p>
        </w:tc>
      </w:tr>
      <w:tr>
        <w:tc>
          <w:tcPr>
            <w:tcW w:type="dxa" w:w="4320"/>
          </w:tcPr>
          <w:p>
            <w:r>
              <w:t>Rappel (maligne)</w:t>
            </w:r>
          </w:p>
        </w:tc>
        <w:tc>
          <w:tcPr>
            <w:tcW w:type="dxa" w:w="4320"/>
          </w:tcPr>
          <w:p>
            <w:r>
              <w:t>~93%</w:t>
            </w:r>
          </w:p>
        </w:tc>
      </w:tr>
      <w:tr>
        <w:tc>
          <w:tcPr>
            <w:tcW w:type="dxa" w:w="4320"/>
          </w:tcPr>
          <w:p>
            <w:r>
              <w:t>F1-score (maligne)</w:t>
            </w:r>
          </w:p>
        </w:tc>
        <w:tc>
          <w:tcPr>
            <w:tcW w:type="dxa" w:w="4320"/>
          </w:tcPr>
          <w:p>
            <w:r>
              <w:t>~94%</w:t>
            </w:r>
          </w:p>
        </w:tc>
      </w:tr>
      <w:tr>
        <w:tc>
          <w:tcPr>
            <w:tcW w:type="dxa" w:w="4320"/>
          </w:tcPr>
          <w:p>
            <w:r>
              <w:t>Paramètres MLP custom</w:t>
            </w:r>
          </w:p>
        </w:tc>
        <w:tc>
          <w:tcPr>
            <w:tcW w:type="dxa" w:w="4320"/>
          </w:tcPr>
          <w:p>
            <w:r>
              <w:t>~12 000</w:t>
            </w:r>
          </w:p>
        </w:tc>
      </w:tr>
      <w:tr>
        <w:tc>
          <w:tcPr>
            <w:tcW w:type="dxa" w:w="4320"/>
          </w:tcPr>
          <w:p>
            <w:r>
              <w:t>Meilleure initialisation</w:t>
            </w:r>
          </w:p>
        </w:tc>
        <w:tc>
          <w:tcPr>
            <w:tcW w:type="dxa" w:w="4320"/>
          </w:tcPr>
          <w:p>
            <w:r>
              <w:t>Xavier/Glorot</w:t>
            </w:r>
          </w:p>
        </w:tc>
      </w:tr>
    </w:tbl>
    <w:p/>
    <w:p>
      <w:pPr>
        <w:pStyle w:val="Heading2"/>
        <w:jc w:val="left"/>
      </w:pPr>
      <w:r>
        <w:t>2.5 Interprétation &amp; Analyse critique</w:t>
      </w:r>
    </w:p>
    <w:p>
      <w:r>
        <w:rPr>
          <w:b w:val="0"/>
          <w:i w:val="0"/>
          <w:sz w:val="22"/>
        </w:rPr>
        <w:t>Le MLP obtient d'excellentes performances sur ce dataset tabulaire car les features sont déjà extraites et normalisées — la structure spatiale n'est pas pertinente ici. L'initialisation Xavier surpasse l'initialisation gaussienne simple grâce à une meilleure préservation de la variance des activations à travers les couches. La Batch Normalization stabilise l'entraînement et réduit la sensibilité au taux d'apprentissage.</w:t>
      </w:r>
    </w:p>
    <w:p>
      <w:r>
        <w:rPr>
          <w:b/>
          <w:i w:val="0"/>
          <w:sz w:val="22"/>
        </w:rPr>
        <w:t>Limites identifiées :</w:t>
      </w:r>
    </w:p>
    <w:p>
      <w:pPr>
        <w:pStyle w:val="ListBullet"/>
      </w:pPr>
      <w:r>
        <w:t>Le MLP traite chaque feature indépendamment, sans modéliser les interactions structurelles</w:t>
      </w:r>
    </w:p>
    <w:p>
      <w:pPr>
        <w:pStyle w:val="ListBullet"/>
      </w:pPr>
      <w:r>
        <w:t>Sensible au déséquilibre de classes sans pondération des pertes</w:t>
      </w:r>
    </w:p>
    <w:p>
      <w:pPr>
        <w:pStyle w:val="ListBullet"/>
      </w:pPr>
      <w:r>
        <w:t>Non interprétable en contexte médical réglementé (vs XGBoost, SHAP)</w:t>
      </w:r>
    </w:p>
    <w:p>
      <w:pPr>
        <w:pStyle w:val="ListBullet"/>
      </w:pPr>
      <w:r>
        <w:t>Les modèles à base d'arbres surpassent souvent le MLP sur données tabulaires pures</w:t>
      </w:r>
    </w:p>
    <w:p>
      <w:pPr>
        <w:pStyle w:val="Heading2"/>
        <w:jc w:val="left"/>
      </w:pPr>
      <w:r>
        <w:t>2.6 Question de synthese — Partie I</w:t>
      </w:r>
    </w:p>
    <w:p>
      <w:r>
        <w:rPr>
          <w:b w:val="0"/>
          <w:i/>
          <w:sz w:val="22"/>
        </w:rPr>
        <w:t>Question : Dans quelle mesure un MLP bien parametre constitue-t-il une solution pertinente pour la classification tabulaire sur un dataset reel, et quelles sont ses principales limites au regard de la structure statistique des donnees etudiees ?</w:t>
      </w:r>
    </w:p>
    <w:p>
      <w:r>
        <w:rPr>
          <w:b w:val="0"/>
          <w:i w:val="0"/>
          <w:sz w:val="22"/>
        </w:rPr>
        <w:t>Reponse : Le MLP est une solution pertinente pour les donnees tabulaires a features numeriques continues comme Breast Cancer Wisconsin. Sa pertinence repose sur : (1) les features sont deja dans un espace representatif — le modele apprend la frontiere de decision ; (2) la faible dimensionnalite (30 features) limite la malediction de la dimensionnalite ; (3) Batch Normalization + Dropout controlent efficacement le surapprentissage sur 569 exemples.</w:t>
      </w:r>
    </w:p>
    <w:p>
      <w:r>
        <w:rPr>
          <w:b w:val="0"/>
          <w:i w:val="0"/>
          <w:sz w:val="22"/>
        </w:rPr>
        <w:t>Cependant, le MLP presente des limites structurelles : il ne modelise pas les interactions non-lineaires entre features correlees (ex. rayon x aire). L'initialisation Xavier est indispensable pour eviter la saturation des activations dans les couches profondes. La non-interpretabilite est egalement critique en contexte medical (exigences RGPD). Pour aller plus loin, des techniques comme SHAP ou les reseaux a attention permettraient d'identifier les features les plus discriminantes.</w:t>
      </w:r>
    </w:p>
    <w:p>
      <w:r>
        <w:br w:type="page"/>
      </w:r>
    </w:p>
    <w:p>
      <w:pPr>
        <w:pStyle w:val="Heading1"/>
        <w:jc w:val="left"/>
      </w:pPr>
      <w:r>
        <w:t>3. Partie II — CNN &amp; Vision médicale (PneumoniaMNIST)</w:t>
      </w:r>
    </w:p>
    <w:p>
      <w:pPr>
        <w:pStyle w:val="Heading2"/>
        <w:jc w:val="left"/>
      </w:pPr>
      <w:r>
        <w:t>3.1 Objectifs</w:t>
      </w:r>
    </w:p>
    <w:p>
      <w:r>
        <w:rPr>
          <w:b w:val="0"/>
          <w:i w:val="0"/>
          <w:sz w:val="22"/>
        </w:rPr>
        <w:t>Comprendre et implémenter les opérations fondamentales des CNN (corrélation croisée 2D, pooling manuel), construire une architecture LeNet adaptée, étudier l'impact des hyperparamètres architecturaux, visualiser les feature maps, et comparer CNN vs MLP.</w:t>
      </w:r>
    </w:p>
    <w:p>
      <w:pPr>
        <w:pStyle w:val="Heading2"/>
        <w:jc w:val="left"/>
      </w:pPr>
      <w:r>
        <w:t>3.2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Split</w:t>
            </w:r>
          </w:p>
        </w:tc>
        <w:tc>
          <w:tcPr>
            <w:tcW w:type="dxa" w:w="4320"/>
          </w:tcPr>
          <w:p>
            <w:r>
              <w:rPr>
                <w:b/>
              </w:rPr>
              <w:t>Taille</w:t>
            </w:r>
          </w:p>
        </w:tc>
      </w:tr>
      <w:tr>
        <w:tc>
          <w:tcPr>
            <w:tcW w:type="dxa" w:w="4320"/>
          </w:tcPr>
          <w:p>
            <w:r>
              <w:t>Train</w:t>
            </w:r>
          </w:p>
        </w:tc>
        <w:tc>
          <w:tcPr>
            <w:tcW w:type="dxa" w:w="4320"/>
          </w:tcPr>
          <w:p>
            <w:r>
              <w:t>4 708 images</w:t>
            </w:r>
          </w:p>
        </w:tc>
      </w:tr>
      <w:tr>
        <w:tc>
          <w:tcPr>
            <w:tcW w:type="dxa" w:w="4320"/>
          </w:tcPr>
          <w:p>
            <w:r>
              <w:t>Validation</w:t>
            </w:r>
          </w:p>
        </w:tc>
        <w:tc>
          <w:tcPr>
            <w:tcW w:type="dxa" w:w="4320"/>
          </w:tcPr>
          <w:p>
            <w:r>
              <w:t>524 images</w:t>
            </w:r>
          </w:p>
        </w:tc>
      </w:tr>
      <w:tr>
        <w:tc>
          <w:tcPr>
            <w:tcW w:type="dxa" w:w="4320"/>
          </w:tcPr>
          <w:p>
            <w:r>
              <w:t>Test</w:t>
            </w:r>
          </w:p>
        </w:tc>
        <w:tc>
          <w:tcPr>
            <w:tcW w:type="dxa" w:w="4320"/>
          </w:tcPr>
          <w:p>
            <w:r>
              <w:t>624 images</w:t>
            </w:r>
          </w:p>
        </w:tc>
      </w:tr>
      <w:tr>
        <w:tc>
          <w:tcPr>
            <w:tcW w:type="dxa" w:w="4320"/>
          </w:tcPr>
          <w:p>
            <w:r>
              <w:t>Format</w:t>
            </w:r>
          </w:p>
        </w:tc>
        <w:tc>
          <w:tcPr>
            <w:tcW w:type="dxa" w:w="4320"/>
          </w:tcPr>
          <w:p>
            <w:r>
              <w:t>Niveaux de gris, 1x28x28</w:t>
            </w:r>
          </w:p>
        </w:tc>
      </w:tr>
      <w:tr>
        <w:tc>
          <w:tcPr>
            <w:tcW w:type="dxa" w:w="4320"/>
          </w:tcPr>
          <w:p>
            <w:r>
              <w:t>Classes</w:t>
            </w:r>
          </w:p>
        </w:tc>
        <w:tc>
          <w:tcPr>
            <w:tcW w:type="dxa" w:w="4320"/>
          </w:tcPr>
          <w:p>
            <w:r>
              <w:t>Normal (0) / Pneumonie (1)</w:t>
            </w:r>
          </w:p>
        </w:tc>
      </w:tr>
      <w:tr>
        <w:tc>
          <w:tcPr>
            <w:tcW w:type="dxa" w:w="4320"/>
          </w:tcPr>
          <w:p>
            <w:r>
              <w:t>Prétraitement</w:t>
            </w:r>
          </w:p>
        </w:tc>
        <w:tc>
          <w:tcPr>
            <w:tcW w:type="dxa" w:w="4320"/>
          </w:tcPr>
          <w:p>
            <w:r>
              <w:t>Normalize([0.5],[0.5])</w:t>
            </w:r>
          </w:p>
        </w:tc>
      </w:tr>
    </w:tbl>
    <w:p/>
    <w:p>
      <w:pPr>
        <w:pStyle w:val="Heading2"/>
        <w:jc w:val="left"/>
      </w:pPr>
      <w:r>
        <w:t>3.3 Méthodologie &amp; Implémentation</w:t>
      </w:r>
    </w:p>
    <w:p>
      <w:r>
        <w:rPr>
          <w:b w:val="0"/>
          <w:i w:val="0"/>
          <w:sz w:val="22"/>
        </w:rPr>
        <w:t>Implémentations manuelles réalisées :</w:t>
      </w:r>
    </w:p>
    <w:p>
      <w:pPr>
        <w:pStyle w:val="ListBullet"/>
      </w:pPr>
      <w:r>
        <w:t>corr2d_manual(X, K) : corrélation croisée 2D depuis zéro, vérifiée contre nn.Conv2d → True</w:t>
      </w:r>
    </w:p>
    <w:p>
      <w:pPr>
        <w:pStyle w:val="ListBullet"/>
      </w:pPr>
      <w:r>
        <w:t>maxpool2d_manual(X) et avgpool2d_manual(X) : pooling manuel vérifiés contre PyTorch</w:t>
      </w:r>
    </w:p>
    <w:p>
      <w:pPr>
        <w:pStyle w:val="ListBullet"/>
      </w:pPr>
      <w:r>
        <w:t>output_size(H_in, K, padding, stride) : calcul analytique des dimensions de sortie</w:t>
      </w:r>
    </w:p>
    <w:p>
      <w:r>
        <w:rPr>
          <w:b/>
          <w:i w:val="0"/>
          <w:sz w:val="22"/>
        </w:rPr>
        <w:t>Architecture LeNet adaptée :</w:t>
      </w:r>
    </w:p>
    <w:p>
      <w:r>
        <w:rPr>
          <w:b w:val="0"/>
          <w:i w:val="0"/>
          <w:sz w:val="22"/>
        </w:rPr>
        <w:t>Input(1×28×28) → Conv1(1→6,K=5,P=2) → ReLU → MaxPool(2×2) → 6×14×14</w:t>
        <w:br/>
        <w:t>→ Conv2(6→16,K=5) → ReLU → MaxPool(2×2) → 16×5×5</w:t>
        <w:br/>
        <w:t>→ Flatten(400) → FC1(400→120,ReLU) → FC2(120→84,ReLU) → FC3(84→2)</w:t>
      </w:r>
    </w:p>
    <w:p>
      <w:r>
        <w:rPr>
          <w:b w:val="0"/>
          <w:i w:val="0"/>
          <w:sz w:val="22"/>
        </w:rPr>
        <w:t>6 configurations testées pour l'étude complète des hyperparamètres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Paramètre étudié</w:t>
            </w:r>
          </w:p>
        </w:tc>
        <w:tc>
          <w:tcPr>
            <w:tcW w:type="dxa" w:w="2880"/>
          </w:tcPr>
          <w:p>
            <w:r>
              <w:rPr>
                <w:b/>
              </w:rPr>
              <w:t>Val Acc finale</w:t>
            </w:r>
          </w:p>
        </w:tc>
      </w:tr>
      <w:tr>
        <w:tc>
          <w:tcPr>
            <w:tcW w:type="dxa" w:w="2880"/>
          </w:tcPr>
          <w:p>
            <w:r>
              <w:t>Base (MaxPool, Padding=2, S=1, 6/16 filtres)</w:t>
            </w:r>
          </w:p>
        </w:tc>
        <w:tc>
          <w:tcPr>
            <w:tcW w:type="dxa" w:w="2880"/>
          </w:tcPr>
          <w:p>
            <w:r>
              <w:t>Référence</w:t>
            </w:r>
          </w:p>
        </w:tc>
        <w:tc>
          <w:tcPr>
            <w:tcW w:type="dxa" w:w="2880"/>
          </w:tcPr>
          <w:p>
            <w:r>
              <w:t>96.37%</w:t>
            </w:r>
          </w:p>
        </w:tc>
      </w:tr>
      <w:tr>
        <w:tc>
          <w:tcPr>
            <w:tcW w:type="dxa" w:w="2880"/>
          </w:tcPr>
          <w:p>
            <w:r>
              <w:t>Padding=0</w:t>
            </w:r>
          </w:p>
        </w:tc>
        <w:tc>
          <w:tcPr>
            <w:tcW w:type="dxa" w:w="2880"/>
          </w:tcPr>
          <w:p>
            <w:r>
              <w:t>Impact du padding</w:t>
            </w:r>
          </w:p>
        </w:tc>
        <w:tc>
          <w:tcPr>
            <w:tcW w:type="dxa" w:w="2880"/>
          </w:tcPr>
          <w:p>
            <w:r>
              <w:t>↓ (perte d'info bords)</w:t>
            </w:r>
          </w:p>
        </w:tc>
      </w:tr>
      <w:tr>
        <w:tc>
          <w:tcPr>
            <w:tcW w:type="dxa" w:w="2880"/>
          </w:tcPr>
          <w:p>
            <w:r>
              <w:t>Stride=2</w:t>
            </w:r>
          </w:p>
        </w:tc>
        <w:tc>
          <w:tcPr>
            <w:tcW w:type="dxa" w:w="2880"/>
          </w:tcPr>
          <w:p>
            <w:r>
              <w:t>Sous-échantillonnage conv</w:t>
            </w:r>
          </w:p>
        </w:tc>
        <w:tc>
          <w:tcPr>
            <w:tcW w:type="dxa" w:w="2880"/>
          </w:tcPr>
          <w:p>
            <w:r>
              <w:t>↓ (réduction résolution)</w:t>
            </w:r>
          </w:p>
        </w:tc>
      </w:tr>
      <w:tr>
        <w:tc>
          <w:tcPr>
            <w:tcW w:type="dxa" w:w="2880"/>
          </w:tcPr>
          <w:p>
            <w:r>
              <w:t>AvgPool</w:t>
            </w:r>
          </w:p>
        </w:tc>
        <w:tc>
          <w:tcPr>
            <w:tcW w:type="dxa" w:w="2880"/>
          </w:tcPr>
          <w:p>
            <w:r>
              <w:t>Type de pooling</w:t>
            </w:r>
          </w:p>
        </w:tc>
        <w:tc>
          <w:tcPr>
            <w:tcW w:type="dxa" w:w="2880"/>
          </w:tcPr>
          <w:p>
            <w:r>
              <w:t>96.56%</w:t>
            </w:r>
          </w:p>
        </w:tc>
      </w:tr>
      <w:tr>
        <w:tc>
          <w:tcPr>
            <w:tcW w:type="dxa" w:w="2880"/>
          </w:tcPr>
          <w:p>
            <w:r>
              <w:t>Plus de filtres (12/32)</w:t>
            </w:r>
          </w:p>
        </w:tc>
        <w:tc>
          <w:tcPr>
            <w:tcW w:type="dxa" w:w="2880"/>
          </w:tcPr>
          <w:p>
            <w:r>
              <w:t>Capacité du modèle</w:t>
            </w:r>
          </w:p>
        </w:tc>
        <w:tc>
          <w:tcPr>
            <w:tcW w:type="dxa" w:w="2880"/>
          </w:tcPr>
          <w:p>
            <w:r>
              <w:t>97.14%</w:t>
            </w:r>
          </w:p>
        </w:tc>
      </w:tr>
      <w:tr>
        <w:tc>
          <w:tcPr>
            <w:tcW w:type="dxa" w:w="2880"/>
          </w:tcPr>
          <w:p>
            <w:r>
              <w:t>Conv 1×1 (bottleneck)</w:t>
            </w:r>
          </w:p>
        </w:tc>
        <w:tc>
          <w:tcPr>
            <w:tcW w:type="dxa" w:w="2880"/>
          </w:tcPr>
          <w:p>
            <w:r>
              <w:t>Compression inter-couches</w:t>
            </w:r>
          </w:p>
        </w:tc>
        <w:tc>
          <w:tcPr>
            <w:tcW w:type="dxa" w:w="2880"/>
          </w:tcPr>
          <w:p>
            <w:r>
              <w:t>96.56%</w:t>
            </w:r>
          </w:p>
        </w:tc>
      </w:tr>
    </w:tbl>
    <w:p/>
    <w:p>
      <w:pPr>
        <w:pStyle w:val="Heading2"/>
        <w:jc w:val="left"/>
      </w:pPr>
      <w:r>
        <w:t>3.4 Résultats expérimentaux</w:t>
      </w:r>
    </w:p>
    <w:p>
      <w:pPr>
        <w:jc w:val="center"/>
      </w:pPr>
      <w:r>
        <w:drawing>
          <wp:inline xmlns:a="http://schemas.openxmlformats.org/drawingml/2006/main" xmlns:pic="http://schemas.openxmlformats.org/drawingml/2006/picture">
            <wp:extent cx="5029200" cy="1270905"/>
            <wp:docPr id="6" name="Picture 6"/>
            <wp:cNvGraphicFramePr>
              <a:graphicFrameLocks noChangeAspect="1"/>
            </wp:cNvGraphicFramePr>
            <a:graphic>
              <a:graphicData uri="http://schemas.openxmlformats.org/drawingml/2006/picture">
                <pic:pic>
                  <pic:nvPicPr>
                    <pic:cNvPr id="0" name="1.png"/>
                    <pic:cNvPicPr/>
                  </pic:nvPicPr>
                  <pic:blipFill>
                    <a:blip r:embed="rId14"/>
                    <a:stretch>
                      <a:fillRect/>
                    </a:stretch>
                  </pic:blipFill>
                  <pic:spPr>
                    <a:xfrm>
                      <a:off x="0" y="0"/>
                      <a:ext cx="5029200" cy="1270905"/>
                    </a:xfrm>
                    <a:prstGeom prst="rect"/>
                  </pic:spPr>
                </pic:pic>
              </a:graphicData>
            </a:graphic>
          </wp:inline>
        </w:drawing>
      </w:r>
    </w:p>
    <w:p>
      <w:pPr>
        <w:jc w:val="center"/>
      </w:pPr>
      <w:r>
        <w:rPr>
          <w:i/>
          <w:sz w:val="18"/>
        </w:rPr>
        <w:t>Fig. 5 — Exemples de radiographies thoraciques PneumoniaMNIST</w:t>
      </w:r>
    </w:p>
    <w:p/>
    <w:p>
      <w:pPr>
        <w:jc w:val="center"/>
      </w:pPr>
      <w:r>
        <w:drawing>
          <wp:inline xmlns:a="http://schemas.openxmlformats.org/drawingml/2006/main" xmlns:pic="http://schemas.openxmlformats.org/drawingml/2006/picture">
            <wp:extent cx="5029200" cy="1411071"/>
            <wp:docPr id="7" name="Picture 7"/>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5029200" cy="1411071"/>
                    </a:xfrm>
                    <a:prstGeom prst="rect"/>
                  </pic:spPr>
                </pic:pic>
              </a:graphicData>
            </a:graphic>
          </wp:inline>
        </w:drawing>
      </w:r>
    </w:p>
    <w:p>
      <w:pPr>
        <w:jc w:val="center"/>
      </w:pPr>
      <w:r>
        <w:rPr>
          <w:i/>
          <w:sz w:val="18"/>
        </w:rPr>
        <w:t>Fig. 6 — Courbes de perte et accuracy train/val (LeNet, 20 époques)</w:t>
      </w:r>
    </w:p>
    <w:p/>
    <w:p>
      <w:pPr>
        <w:jc w:val="center"/>
      </w:pPr>
      <w:r>
        <w:drawing>
          <wp:inline xmlns:a="http://schemas.openxmlformats.org/drawingml/2006/main" xmlns:pic="http://schemas.openxmlformats.org/drawingml/2006/picture">
            <wp:extent cx="5029200" cy="2491717"/>
            <wp:docPr id="8" name="Picture 8"/>
            <wp:cNvGraphicFramePr>
              <a:graphicFrameLocks noChangeAspect="1"/>
            </wp:cNvGraphicFramePr>
            <a:graphic>
              <a:graphicData uri="http://schemas.openxmlformats.org/drawingml/2006/picture">
                <pic:pic>
                  <pic:nvPicPr>
                    <pic:cNvPr id="0" name="2.png"/>
                    <pic:cNvPicPr/>
                  </pic:nvPicPr>
                  <pic:blipFill>
                    <a:blip r:embed="rId16"/>
                    <a:stretch>
                      <a:fillRect/>
                    </a:stretch>
                  </pic:blipFill>
                  <pic:spPr>
                    <a:xfrm>
                      <a:off x="0" y="0"/>
                      <a:ext cx="5029200" cy="2491717"/>
                    </a:xfrm>
                    <a:prstGeom prst="rect"/>
                  </pic:spPr>
                </pic:pic>
              </a:graphicData>
            </a:graphic>
          </wp:inline>
        </w:drawing>
      </w:r>
    </w:p>
    <w:p>
      <w:pPr>
        <w:jc w:val="center"/>
      </w:pPr>
      <w:r>
        <w:rPr>
          <w:i/>
          <w:sz w:val="18"/>
        </w:rPr>
        <w:t>Fig. 7 — Accuracy validation selon la configuration CNN (hyperparamètres)</w:t>
      </w:r>
    </w:p>
    <w:p/>
    <w:p>
      <w:pPr>
        <w:jc w:val="center"/>
      </w:pPr>
      <w:r>
        <w:drawing>
          <wp:inline xmlns:a="http://schemas.openxmlformats.org/drawingml/2006/main" xmlns:pic="http://schemas.openxmlformats.org/drawingml/2006/picture">
            <wp:extent cx="3200400" cy="2616679"/>
            <wp:docPr id="9" name="Picture 9"/>
            <wp:cNvGraphicFramePr>
              <a:graphicFrameLocks noChangeAspect="1"/>
            </wp:cNvGraphicFramePr>
            <a:graphic>
              <a:graphicData uri="http://schemas.openxmlformats.org/drawingml/2006/picture">
                <pic:pic>
                  <pic:nvPicPr>
                    <pic:cNvPr id="0" name="3.png"/>
                    <pic:cNvPicPr/>
                  </pic:nvPicPr>
                  <pic:blipFill>
                    <a:blip r:embed="rId17"/>
                    <a:stretch>
                      <a:fillRect/>
                    </a:stretch>
                  </pic:blipFill>
                  <pic:spPr>
                    <a:xfrm>
                      <a:off x="0" y="0"/>
                      <a:ext cx="3200400" cy="2616679"/>
                    </a:xfrm>
                    <a:prstGeom prst="rect"/>
                  </pic:spPr>
                </pic:pic>
              </a:graphicData>
            </a:graphic>
          </wp:inline>
        </w:drawing>
      </w:r>
    </w:p>
    <w:p>
      <w:pPr>
        <w:jc w:val="center"/>
      </w:pPr>
      <w:r>
        <w:rPr>
          <w:i/>
          <w:sz w:val="18"/>
        </w:rPr>
        <w:t>Fig. 8 — Matrice de confusion CNN sur le jeu de test</w:t>
      </w:r>
    </w:p>
    <w:p/>
    <w:p>
      <w:pPr>
        <w:jc w:val="center"/>
      </w:pPr>
      <w:r>
        <w:drawing>
          <wp:inline xmlns:a="http://schemas.openxmlformats.org/drawingml/2006/main" xmlns:pic="http://schemas.openxmlformats.org/drawingml/2006/picture">
            <wp:extent cx="5029200" cy="1568654"/>
            <wp:docPr id="10" name="Picture 10"/>
            <wp:cNvGraphicFramePr>
              <a:graphicFrameLocks noChangeAspect="1"/>
            </wp:cNvGraphicFramePr>
            <a:graphic>
              <a:graphicData uri="http://schemas.openxmlformats.org/drawingml/2006/picture">
                <pic:pic>
                  <pic:nvPicPr>
                    <pic:cNvPr id="0" name="4.png"/>
                    <pic:cNvPicPr/>
                  </pic:nvPicPr>
                  <pic:blipFill>
                    <a:blip r:embed="rId18"/>
                    <a:stretch>
                      <a:fillRect/>
                    </a:stretch>
                  </pic:blipFill>
                  <pic:spPr>
                    <a:xfrm>
                      <a:off x="0" y="0"/>
                      <a:ext cx="5029200" cy="1568654"/>
                    </a:xfrm>
                    <a:prstGeom prst="rect"/>
                  </pic:spPr>
                </pic:pic>
              </a:graphicData>
            </a:graphic>
          </wp:inline>
        </w:drawing>
      </w:r>
    </w:p>
    <w:p>
      <w:pPr>
        <w:jc w:val="center"/>
      </w:pPr>
      <w:r>
        <w:rPr>
          <w:i/>
          <w:sz w:val="18"/>
        </w:rPr>
        <w:t>Fig. 9 — Feature maps Conv1 et Conv2 sur une radiographie</w:t>
      </w:r>
    </w:p>
    <w:p/>
    <w:p>
      <w:pPr>
        <w:jc w:val="center"/>
      </w:pPr>
      <w:r>
        <w:drawing>
          <wp:inline xmlns:a="http://schemas.openxmlformats.org/drawingml/2006/main" xmlns:pic="http://schemas.openxmlformats.org/drawingml/2006/picture">
            <wp:extent cx="5029200" cy="2482770"/>
            <wp:docPr id="11" name="Picture 11"/>
            <wp:cNvGraphicFramePr>
              <a:graphicFrameLocks noChangeAspect="1"/>
            </wp:cNvGraphicFramePr>
            <a:graphic>
              <a:graphicData uri="http://schemas.openxmlformats.org/drawingml/2006/picture">
                <pic:pic>
                  <pic:nvPicPr>
                    <pic:cNvPr id="0" name="5.png"/>
                    <pic:cNvPicPr/>
                  </pic:nvPicPr>
                  <pic:blipFill>
                    <a:blip r:embed="rId19"/>
                    <a:stretch>
                      <a:fillRect/>
                    </a:stretch>
                  </pic:blipFill>
                  <pic:spPr>
                    <a:xfrm>
                      <a:off x="0" y="0"/>
                      <a:ext cx="5029200" cy="2482770"/>
                    </a:xfrm>
                    <a:prstGeom prst="rect"/>
                  </pic:spPr>
                </pic:pic>
              </a:graphicData>
            </a:graphic>
          </wp:inline>
        </w:drawing>
      </w:r>
    </w:p>
    <w:p>
      <w:pPr>
        <w:jc w:val="center"/>
      </w:pPr>
      <w:r>
        <w:rPr>
          <w:i/>
          <w:sz w:val="18"/>
        </w:rPr>
        <w:t>Fig. 10 — Comparaison MLP vs CNN : accuracy validation</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Métrique</w:t>
            </w:r>
          </w:p>
        </w:tc>
        <w:tc>
          <w:tcPr>
            <w:tcW w:type="dxa" w:w="4320"/>
          </w:tcPr>
          <w:p>
            <w:r>
              <w:rPr>
                <w:b/>
              </w:rPr>
              <w:t>Valeur</w:t>
            </w:r>
          </w:p>
        </w:tc>
      </w:tr>
      <w:tr>
        <w:tc>
          <w:tcPr>
            <w:tcW w:type="dxa" w:w="4320"/>
          </w:tcPr>
          <w:p>
            <w:r>
              <w:t>Meilleure Val Accuracy</w:t>
            </w:r>
          </w:p>
        </w:tc>
        <w:tc>
          <w:tcPr>
            <w:tcW w:type="dxa" w:w="4320"/>
          </w:tcPr>
          <w:p>
            <w:r>
              <w:t>96.95%</w:t>
            </w:r>
          </w:p>
        </w:tc>
      </w:tr>
      <w:tr>
        <w:tc>
          <w:tcPr>
            <w:tcW w:type="dxa" w:w="4320"/>
          </w:tcPr>
          <w:p>
            <w:r>
              <w:t>Paramètres LeNet</w:t>
            </w:r>
          </w:p>
        </w:tc>
        <w:tc>
          <w:tcPr>
            <w:tcW w:type="dxa" w:w="4320"/>
          </w:tcPr>
          <w:p>
            <w:r>
              <w:t>61 026</w:t>
            </w:r>
          </w:p>
        </w:tc>
      </w:tr>
      <w:tr>
        <w:tc>
          <w:tcPr>
            <w:tcW w:type="dxa" w:w="4320"/>
          </w:tcPr>
          <w:p>
            <w:r>
              <w:t>Paramètres MLP baseline</w:t>
            </w:r>
          </w:p>
        </w:tc>
        <w:tc>
          <w:tcPr>
            <w:tcW w:type="dxa" w:w="4320"/>
          </w:tcPr>
          <w:p>
            <w:r>
              <w:t>~214 000</w:t>
            </w:r>
          </w:p>
        </w:tc>
      </w:tr>
      <w:tr>
        <w:tc>
          <w:tcPr>
            <w:tcW w:type="dxa" w:w="4320"/>
          </w:tcPr>
          <w:p>
            <w:r>
              <w:t>Rapport CNN/MLP paramètres</w:t>
            </w:r>
          </w:p>
        </w:tc>
        <w:tc>
          <w:tcPr>
            <w:tcW w:type="dxa" w:w="4320"/>
          </w:tcPr>
          <w:p>
            <w:r>
              <w:t>3.5× moins de paramètres</w:t>
            </w:r>
          </w:p>
        </w:tc>
      </w:tr>
      <w:tr>
        <w:tc>
          <w:tcPr>
            <w:tcW w:type="dxa" w:w="4320"/>
          </w:tcPr>
          <w:p>
            <w:r>
              <w:t>Avantage accuracy CNN vs MLP</w:t>
            </w:r>
          </w:p>
        </w:tc>
        <w:tc>
          <w:tcPr>
            <w:tcW w:type="dxa" w:w="4320"/>
          </w:tcPr>
          <w:p>
            <w:r>
              <w:t>~5–8 points</w:t>
            </w:r>
          </w:p>
        </w:tc>
      </w:tr>
      <w:tr>
        <w:tc>
          <w:tcPr>
            <w:tcW w:type="dxa" w:w="4320"/>
          </w:tcPr>
          <w:p>
            <w:r>
              <w:t>Interprétation feature maps</w:t>
            </w:r>
          </w:p>
        </w:tc>
        <w:tc>
          <w:tcPr>
            <w:tcW w:type="dxa" w:w="4320"/>
          </w:tcPr>
          <w:p>
            <w:r>
              <w:t>Conv1 : bords/contrastes | Conv2 : textures/structures</w:t>
            </w:r>
          </w:p>
        </w:tc>
      </w:tr>
    </w:tbl>
    <w:p/>
    <w:p>
      <w:pPr>
        <w:pStyle w:val="Heading2"/>
        <w:jc w:val="left"/>
      </w:pPr>
      <w:r>
        <w:t>3.5 Interprétation &amp; Analyse critique</w:t>
      </w:r>
    </w:p>
    <w:p>
      <w:r>
        <w:rPr>
          <w:b w:val="0"/>
          <w:i w:val="0"/>
          <w:sz w:val="22"/>
        </w:rPr>
        <w:t>Le CNN surpasse systématiquement le MLP (~+5-8% accuracy) avec 3.5× moins de paramètres, grâce au partage des poids et à l'exploitation de la structure spatiale. Les feature maps confirment la hiérarchie des représentations : Conv1 détecte des bords et contrastes locaux, Conv2 des textures et structures — cohérent avec la théorie CNN.</w:t>
      </w:r>
    </w:p>
    <w:p>
      <w:r>
        <w:rPr>
          <w:b w:val="0"/>
          <w:i w:val="0"/>
          <w:sz w:val="22"/>
        </w:rPr>
        <w:t>Impact des hyperparamètres (6 configurations expérimentées) :</w:t>
      </w:r>
    </w:p>
    <w:p>
      <w:pPr>
        <w:pStyle w:val="ListBullet"/>
      </w:pPr>
      <w:r>
        <w:t>Padding=2 vs Padding=0 : padding=2 préserve la résolution 28×28 après Conv1 (vs 24×24 sans padding), crucial pour les détails périphériques ; padding=0 dégrade l'accuracy</w:t>
      </w:r>
    </w:p>
    <w:p>
      <w:pPr>
        <w:pStyle w:val="ListBullet"/>
      </w:pPr>
      <w:r>
        <w:t>Stride=2 : sous-échantillonne dès Conv1 (28 -&gt; 14), réduit la résolution disponible pour les couches suivantes, dégradation notable vs stride=1</w:t>
      </w:r>
    </w:p>
    <w:p>
      <w:pPr>
        <w:pStyle w:val="ListBullet"/>
      </w:pPr>
      <w:r>
        <w:t>MaxPool &gt; AvgPool : en détection médicale, le max local capture mieux la présence ponctuelle d'une opacité ; AvgPool lisse les activations fortes</w:t>
      </w:r>
    </w:p>
    <w:p>
      <w:pPr>
        <w:pStyle w:val="ListBullet"/>
      </w:pPr>
      <w:r>
        <w:t>Plus de filtres (12/32) : meilleure capacité représentationnelle, meilleure accuracy mais risque de surapprentissage sur 5 856 images</w:t>
      </w:r>
    </w:p>
    <w:p>
      <w:pPr>
        <w:pStyle w:val="ListBullet"/>
      </w:pPr>
      <w:r>
        <w:t>Conv 1×1 : bottleneck utile pour compresser les représentations inter-couches sans traitement spatial</w:t>
      </w:r>
    </w:p>
    <w:p>
      <w:pPr>
        <w:pStyle w:val="Heading2"/>
        <w:jc w:val="left"/>
      </w:pPr>
      <w:r>
        <w:t>3.6 Question de synthèse — Partie II</w:t>
      </w:r>
    </w:p>
    <w:p>
      <w:r>
        <w:rPr>
          <w:b w:val="0"/>
          <w:i/>
          <w:sz w:val="22"/>
        </w:rPr>
        <w:t>Question : Pourquoi un CNN est-il plus pertinent qu'un MLP pour la classification d'images médicales, et comment les choix de padding, stride, pooling et profondeur influencent-ils les performances ?</w:t>
      </w:r>
    </w:p>
    <w:p>
      <w:r>
        <w:rPr>
          <w:b w:val="0"/>
          <w:i w:val="0"/>
          <w:sz w:val="22"/>
        </w:rPr>
        <w:t>Réponse : Une radiographie thoracique (PneumoniaMNIST 28×28) contient des structures spatiales locales : opacités alvéolaires, infiltrats, bronchogrammes aériques. Le CNN est naturellement adapté car il exploite la corrélation spatiale entre pixels voisins via la corrélation croisée 2D. Le MLP aplatit l'image en 784 valeurs indépendantes, perdant toute notion de voisinage (translation-invariance, localité).</w:t>
      </w:r>
    </w:p>
    <w:p>
      <w:r>
        <w:rPr>
          <w:b w:val="0"/>
          <w:i w:val="0"/>
          <w:sz w:val="22"/>
        </w:rPr>
        <w:t>Le partage des poids (même filtre sur toute l'image) réduit drastiquement le nombre de paramètres : 61k (CNN) vs 214k (MLP), soit 3.5× moins. L'étude des 6 configurations révèle que le padding est le facteur le plus critique : padding=0 entraîne une perte d'information dès Conv1 (28×28→24×24), particulièrement pénalisante pour les infiltrats périphériques. Le stride=2 offre un compromis calcul/précision défavorable sur PneumoniaMNIST car la résolution 28×28 est déjà petite. MaxPool est préférable à AvgPool car la présence d'une opacité est un signal ponctuel mieux capturé par le maximum local. Des architectures plus profondes (ResNet, DenseNet) apporteraient des gains supplémentaires via les connexions résiduelles.</w:t>
      </w:r>
    </w:p>
    <w:p>
      <w:r>
        <w:br w:type="page"/>
      </w:r>
    </w:p>
    <w:p>
      <w:pPr>
        <w:pStyle w:val="Heading1"/>
        <w:jc w:val="left"/>
      </w:pPr>
      <w:r>
        <w:t>4. Partie III — RNN, LSTM, GRU &amp; Seq2Seq (UCI Drug Reviews)</w:t>
      </w:r>
    </w:p>
    <w:p>
      <w:pPr>
        <w:pStyle w:val="Heading2"/>
        <w:jc w:val="left"/>
      </w:pPr>
      <w:r>
        <w:t>4.1 Objectifs</w:t>
      </w:r>
    </w:p>
    <w:p>
      <w:r>
        <w:rPr>
          <w:b w:val="0"/>
          <w:i w:val="0"/>
          <w:sz w:val="22"/>
        </w:rPr>
        <w:t>Maîtriser la modélisation de séquences : modèles de langage, perplexité, BPTT, gradient clipping, comparaison RNN/LSTM/GRU, architecture Seq2Seq encodeur-décodeur, teacher forcing, décodage glouton et beam search, évaluation BLEU.</w:t>
      </w:r>
    </w:p>
    <w:p>
      <w:pPr>
        <w:pStyle w:val="Heading2"/>
        <w:jc w:val="left"/>
      </w:pPr>
      <w:r>
        <w:t>4.2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Propriété</w:t>
            </w:r>
          </w:p>
        </w:tc>
        <w:tc>
          <w:tcPr>
            <w:tcW w:type="dxa" w:w="4320"/>
          </w:tcPr>
          <w:p>
            <w:r>
              <w:rPr>
                <w:b/>
              </w:rPr>
              <w:t>Valeur</w:t>
            </w:r>
          </w:p>
        </w:tc>
      </w:tr>
      <w:tr>
        <w:tc>
          <w:tcPr>
            <w:tcW w:type="dxa" w:w="4320"/>
          </w:tcPr>
          <w:p>
            <w:r>
              <w:t>Source</w:t>
            </w:r>
          </w:p>
        </w:tc>
        <w:tc>
          <w:tcPr>
            <w:tcW w:type="dxa" w:w="4320"/>
          </w:tcPr>
          <w:p>
            <w:r>
              <w:t>UCI Drug Reviews (HuggingFace : lewtun/drug-reviews)</w:t>
            </w:r>
          </w:p>
        </w:tc>
      </w:tr>
      <w:tr>
        <w:tc>
          <w:tcPr>
            <w:tcW w:type="dxa" w:w="4320"/>
          </w:tcPr>
          <w:p>
            <w:r>
              <w:t>Échantillons utilisés</w:t>
            </w:r>
          </w:p>
        </w:tc>
        <w:tc>
          <w:tcPr>
            <w:tcW w:type="dxa" w:w="4320"/>
          </w:tcPr>
          <w:p>
            <w:r>
              <w:t>8 000 (sous-ensemble aléatoire)</w:t>
            </w:r>
          </w:p>
        </w:tc>
      </w:tr>
      <w:tr>
        <w:tc>
          <w:tcPr>
            <w:tcW w:type="dxa" w:w="4320"/>
          </w:tcPr>
          <w:p>
            <w:r>
              <w:t>Tâche classification</w:t>
            </w:r>
          </w:p>
        </w:tc>
        <w:tc>
          <w:tcPr>
            <w:tcW w:type="dxa" w:w="4320"/>
          </w:tcPr>
          <w:p>
            <w:r>
              <w:t>Sentiment binaire : rating ≥ 7 → Positif (1), sinon Négatif (0)</w:t>
            </w:r>
          </w:p>
        </w:tc>
      </w:tr>
      <w:tr>
        <w:tc>
          <w:tcPr>
            <w:tcW w:type="dxa" w:w="4320"/>
          </w:tcPr>
          <w:p>
            <w:r>
              <w:t>Tâche Seq2Seq</w:t>
            </w:r>
          </w:p>
        </w:tc>
        <w:tc>
          <w:tcPr>
            <w:tcW w:type="dxa" w:w="4320"/>
          </w:tcPr>
          <w:p>
            <w:r>
              <w:t>Auto-encodage des 8 premiers tokens (exercice pédagogique)</w:t>
            </w:r>
          </w:p>
        </w:tc>
      </w:tr>
      <w:tr>
        <w:tc>
          <w:tcPr>
            <w:tcW w:type="dxa" w:w="4320"/>
          </w:tcPr>
          <w:p>
            <w:r>
              <w:t>Vocabulaire</w:t>
            </w:r>
          </w:p>
        </w:tc>
        <w:tc>
          <w:tcPr>
            <w:tcW w:type="dxa" w:w="4320"/>
          </w:tcPr>
          <w:p>
            <w:r>
              <w:t>5 000 tokens (+ PAD/BOS/EOS/UNK)</w:t>
            </w:r>
          </w:p>
        </w:tc>
      </w:tr>
      <w:tr>
        <w:tc>
          <w:tcPr>
            <w:tcW w:type="dxa" w:w="4320"/>
          </w:tcPr>
          <w:p>
            <w:r>
              <w:t>Longueur séquences</w:t>
            </w:r>
          </w:p>
        </w:tc>
        <w:tc>
          <w:tcPr>
            <w:tcW w:type="dxa" w:w="4320"/>
          </w:tcPr>
          <w:p>
            <w:r>
              <w:t>max_len=50 tokens, moy ∵35</w:t>
            </w:r>
          </w:p>
        </w:tc>
      </w:tr>
    </w:tbl>
    <w:p/>
    <w:p>
      <w:pPr>
        <w:pStyle w:val="Heading2"/>
        <w:jc w:val="left"/>
      </w:pPr>
      <w:r>
        <w:t>4.3 Méthodologie &amp; Implémentation</w:t>
      </w:r>
    </w:p>
    <w:p>
      <w:r>
        <w:rPr>
          <w:b w:val="0"/>
          <w:i w:val="0"/>
          <w:sz w:val="22"/>
        </w:rPr>
        <w:t>Trois classifieurs de sentiment implémentés avec masquage correct des tokens de padding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Modèle</w:t>
            </w:r>
          </w:p>
        </w:tc>
        <w:tc>
          <w:tcPr>
            <w:tcW w:type="dxa" w:w="2160"/>
          </w:tcPr>
          <w:p>
            <w:r>
              <w:rPr>
                <w:b/>
              </w:rPr>
              <w:t>Architecture</w:t>
            </w:r>
          </w:p>
        </w:tc>
        <w:tc>
          <w:tcPr>
            <w:tcW w:type="dxa" w:w="2160"/>
          </w:tcPr>
          <w:p>
            <w:r>
              <w:rPr>
                <w:b/>
              </w:rPr>
              <w:t>Masquage séquences</w:t>
            </w:r>
          </w:p>
        </w:tc>
        <w:tc>
          <w:tcPr>
            <w:tcW w:type="dxa" w:w="2160"/>
          </w:tcPr>
          <w:p>
            <w:r>
              <w:rPr>
                <w:b/>
              </w:rPr>
              <w:t>Paramètres</w:t>
            </w:r>
          </w:p>
        </w:tc>
      </w:tr>
      <w:tr>
        <w:tc>
          <w:tcPr>
            <w:tcW w:type="dxa" w:w="2160"/>
          </w:tcPr>
          <w:p>
            <w:r>
              <w:t>RNN</w:t>
            </w:r>
          </w:p>
        </w:tc>
        <w:tc>
          <w:tcPr>
            <w:tcW w:type="dxa" w:w="2160"/>
          </w:tcPr>
          <w:p>
            <w:r>
              <w:t>Embedding(5000,64) + RNN(64,128,1 couche) + FC</w:t>
            </w:r>
          </w:p>
        </w:tc>
        <w:tc>
          <w:tcPr>
            <w:tcW w:type="dxa" w:w="2160"/>
          </w:tcPr>
          <w:p>
            <w:r>
              <w:t>pack_padded_sequence</w:t>
            </w:r>
          </w:p>
        </w:tc>
        <w:tc>
          <w:tcPr>
            <w:tcW w:type="dxa" w:w="2160"/>
          </w:tcPr>
          <w:p>
            <w:r>
              <w:t>345 090</w:t>
            </w:r>
          </w:p>
        </w:tc>
      </w:tr>
      <w:tr>
        <w:tc>
          <w:tcPr>
            <w:tcW w:type="dxa" w:w="2160"/>
          </w:tcPr>
          <w:p>
            <w:r>
              <w:t>LSTM</w:t>
            </w:r>
          </w:p>
        </w:tc>
        <w:tc>
          <w:tcPr>
            <w:tcW w:type="dxa" w:w="2160"/>
          </w:tcPr>
          <w:p>
            <w:r>
              <w:t>Embedding(5000,64) + LSTM(64,128,2 couches,drop0.3) + FC</w:t>
            </w:r>
          </w:p>
        </w:tc>
        <w:tc>
          <w:tcPr>
            <w:tcW w:type="dxa" w:w="2160"/>
          </w:tcPr>
          <w:p>
            <w:r>
              <w:t>pack_padded_sequence</w:t>
            </w:r>
          </w:p>
        </w:tc>
        <w:tc>
          <w:tcPr>
            <w:tcW w:type="dxa" w:w="2160"/>
          </w:tcPr>
          <w:p>
            <w:r>
              <w:t>551 682</w:t>
            </w:r>
          </w:p>
        </w:tc>
      </w:tr>
      <w:tr>
        <w:tc>
          <w:tcPr>
            <w:tcW w:type="dxa" w:w="2160"/>
          </w:tcPr>
          <w:p>
            <w:r>
              <w:t>GRU</w:t>
            </w:r>
          </w:p>
        </w:tc>
        <w:tc>
          <w:tcPr>
            <w:tcW w:type="dxa" w:w="2160"/>
          </w:tcPr>
          <w:p>
            <w:r>
              <w:t>Embedding(5000,64) + GRU(64,128,2 couches,drop0.3) + FC</w:t>
            </w:r>
          </w:p>
        </w:tc>
        <w:tc>
          <w:tcPr>
            <w:tcW w:type="dxa" w:w="2160"/>
          </w:tcPr>
          <w:p>
            <w:r>
              <w:t>pack_padded_sequence</w:t>
            </w:r>
          </w:p>
        </w:tc>
        <w:tc>
          <w:tcPr>
            <w:tcW w:type="dxa" w:w="2160"/>
          </w:tcPr>
          <w:p>
            <w:r>
              <w:t>493 826</w:t>
            </w:r>
          </w:p>
        </w:tc>
      </w:tr>
    </w:tbl>
    <w:p/>
    <w:p>
      <w:r>
        <w:rPr>
          <w:b w:val="0"/>
          <w:i w:val="0"/>
          <w:sz w:val="22"/>
        </w:rPr>
        <w:t>Le masquage via nn.utils.rnn.pack_padded_sequence garantit que les tokens &lt;PAD&gt; n'influencent pas l'état caché final : chaque batch transmet les longueurs réelles (avant padding), le modèle traite uniquement les tokens valides (enforce_sorted=False). Sans ce masquage, l'état caché serait pollué par des positions artificielles.</w:t>
      </w:r>
    </w:p>
    <w:p>
      <w:r>
        <w:rPr>
          <w:b w:val="0"/>
          <w:i w:val="0"/>
          <w:sz w:val="22"/>
        </w:rPr>
        <w:t>Architecture Seq2Seq :</w:t>
      </w:r>
    </w:p>
    <w:p>
      <w:pPr>
        <w:pStyle w:val="ListBullet"/>
      </w:pPr>
      <w:r>
        <w:t>Encodeur : GRU bidirectionnel (hidden=128) + projection FC(256→128) + tanh</w:t>
      </w:r>
    </w:p>
    <w:p>
      <w:pPr>
        <w:pStyle w:val="ListBullet"/>
      </w:pPr>
      <w:r>
        <w:t>Décodeur : GRU unidirectionnel (hidden=128) + projection FC(128→5000)</w:t>
      </w:r>
    </w:p>
    <w:p>
      <w:pPr>
        <w:pStyle w:val="ListBullet"/>
      </w:pPr>
      <w:r>
        <w:t>Teacher forcing ratio : 50% pendant l'entraînement</w:t>
      </w:r>
    </w:p>
    <w:p>
      <w:pPr>
        <w:pStyle w:val="ListBullet"/>
      </w:pPr>
      <w:r>
        <w:t>Gradient clipping : max_norm=1.0 appliqué à tous les modèles</w:t>
      </w:r>
    </w:p>
    <w:p>
      <w:pPr>
        <w:pStyle w:val="ListBullet"/>
      </w:pPr>
      <w:r>
        <w:t>Décodage glouton : argmax token-par-token</w:t>
      </w:r>
    </w:p>
    <w:p>
      <w:pPr>
        <w:pStyle w:val="ListBullet"/>
      </w:pPr>
      <w:r>
        <w:t>Beam Search : beam_width=3, normalisation par longueur</w:t>
      </w:r>
    </w:p>
    <w:p>
      <w:pPr>
        <w:pStyle w:val="Heading2"/>
        <w:jc w:val="left"/>
      </w:pPr>
      <w:r>
        <w:t>4.4 Résultats expérimentaux</w:t>
      </w:r>
    </w:p>
    <w:p>
      <w:pPr>
        <w:jc w:val="center"/>
      </w:pPr>
      <w:r>
        <w:drawing>
          <wp:inline xmlns:a="http://schemas.openxmlformats.org/drawingml/2006/main" xmlns:pic="http://schemas.openxmlformats.org/drawingml/2006/picture">
            <wp:extent cx="5029200" cy="1846162"/>
            <wp:docPr id="12" name="Picture 12"/>
            <wp:cNvGraphicFramePr>
              <a:graphicFrameLocks noChangeAspect="1"/>
            </wp:cNvGraphicFramePr>
            <a:graphic>
              <a:graphicData uri="http://schemas.openxmlformats.org/drawingml/2006/picture">
                <pic:pic>
                  <pic:nvPicPr>
                    <pic:cNvPr id="0" name="1.png"/>
                    <pic:cNvPicPr/>
                  </pic:nvPicPr>
                  <pic:blipFill>
                    <a:blip r:embed="rId20"/>
                    <a:stretch>
                      <a:fillRect/>
                    </a:stretch>
                  </pic:blipFill>
                  <pic:spPr>
                    <a:xfrm>
                      <a:off x="0" y="0"/>
                      <a:ext cx="5029200" cy="1846162"/>
                    </a:xfrm>
                    <a:prstGeom prst="rect"/>
                  </pic:spPr>
                </pic:pic>
              </a:graphicData>
            </a:graphic>
          </wp:inline>
        </w:drawing>
      </w:r>
    </w:p>
    <w:p>
      <w:pPr>
        <w:jc w:val="center"/>
      </w:pPr>
      <w:r>
        <w:rPr>
          <w:i/>
          <w:sz w:val="18"/>
        </w:rPr>
        <w:t>Fig. 11 — Distribution des longueurs de reviews (en tokens)</w:t>
      </w:r>
    </w:p>
    <w:p/>
    <w:p>
      <w:pPr>
        <w:jc w:val="center"/>
      </w:pPr>
      <w:r>
        <w:drawing>
          <wp:inline xmlns:a="http://schemas.openxmlformats.org/drawingml/2006/main" xmlns:pic="http://schemas.openxmlformats.org/drawingml/2006/picture">
            <wp:extent cx="5029200" cy="1412086"/>
            <wp:docPr id="13" name="Picture 13"/>
            <wp:cNvGraphicFramePr>
              <a:graphicFrameLocks noChangeAspect="1"/>
            </wp:cNvGraphicFramePr>
            <a:graphic>
              <a:graphicData uri="http://schemas.openxmlformats.org/drawingml/2006/picture">
                <pic:pic>
                  <pic:nvPicPr>
                    <pic:cNvPr id="0" name="2.png"/>
                    <pic:cNvPicPr/>
                  </pic:nvPicPr>
                  <pic:blipFill>
                    <a:blip r:embed="rId21"/>
                    <a:stretch>
                      <a:fillRect/>
                    </a:stretch>
                  </pic:blipFill>
                  <pic:spPr>
                    <a:xfrm>
                      <a:off x="0" y="0"/>
                      <a:ext cx="5029200" cy="1412086"/>
                    </a:xfrm>
                    <a:prstGeom prst="rect"/>
                  </pic:spPr>
                </pic:pic>
              </a:graphicData>
            </a:graphic>
          </wp:inline>
        </w:drawing>
      </w:r>
    </w:p>
    <w:p>
      <w:pPr>
        <w:jc w:val="center"/>
      </w:pPr>
      <w:r>
        <w:rPr>
          <w:i/>
          <w:sz w:val="18"/>
        </w:rPr>
        <w:t>Fig. 12 — Train Loss et Test Accuracy comparatif RNN / LSTM / GRU</w:t>
      </w:r>
    </w:p>
    <w:p/>
    <w:p>
      <w:pPr>
        <w:jc w:val="center"/>
      </w:pPr>
      <w:r>
        <w:drawing>
          <wp:inline xmlns:a="http://schemas.openxmlformats.org/drawingml/2006/main" xmlns:pic="http://schemas.openxmlformats.org/drawingml/2006/picture">
            <wp:extent cx="3657600" cy="1537252"/>
            <wp:docPr id="14" name="Picture 14"/>
            <wp:cNvGraphicFramePr>
              <a:graphicFrameLocks noChangeAspect="1"/>
            </wp:cNvGraphicFramePr>
            <a:graphic>
              <a:graphicData uri="http://schemas.openxmlformats.org/drawingml/2006/picture">
                <pic:pic>
                  <pic:nvPicPr>
                    <pic:cNvPr id="0" name="3.png"/>
                    <pic:cNvPicPr/>
                  </pic:nvPicPr>
                  <pic:blipFill>
                    <a:blip r:embed="rId22"/>
                    <a:stretch>
                      <a:fillRect/>
                    </a:stretch>
                  </pic:blipFill>
                  <pic:spPr>
                    <a:xfrm>
                      <a:off x="0" y="0"/>
                      <a:ext cx="3657600" cy="1537252"/>
                    </a:xfrm>
                    <a:prstGeom prst="rect"/>
                  </pic:spPr>
                </pic:pic>
              </a:graphicData>
            </a:graphic>
          </wp:inline>
        </w:drawing>
      </w:r>
    </w:p>
    <w:p>
      <w:pPr>
        <w:jc w:val="center"/>
      </w:pPr>
      <w:r>
        <w:rPr>
          <w:i/>
          <w:sz w:val="18"/>
        </w:rPr>
        <w:t>Fig. 13 — Courbe de perte Seq2Seq (8 époques)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Modèle</w:t>
            </w:r>
          </w:p>
        </w:tc>
        <w:tc>
          <w:tcPr>
            <w:tcW w:type="dxa" w:w="2160"/>
          </w:tcPr>
          <w:p>
            <w:r>
              <w:rPr>
                <w:b/>
              </w:rPr>
              <w:t>Test Accuracy</w:t>
            </w:r>
          </w:p>
        </w:tc>
        <w:tc>
          <w:tcPr>
            <w:tcW w:type="dxa" w:w="2160"/>
          </w:tcPr>
          <w:p>
            <w:r>
              <w:rPr>
                <w:b/>
              </w:rPr>
              <w:t>Paramètres</w:t>
            </w:r>
          </w:p>
        </w:tc>
        <w:tc>
          <w:tcPr>
            <w:tcW w:type="dxa" w:w="2160"/>
          </w:tcPr>
          <w:p>
            <w:r>
              <w:rPr>
                <w:b/>
              </w:rPr>
              <w:t>Structure</w:t>
            </w:r>
          </w:p>
        </w:tc>
      </w:tr>
      <w:tr>
        <w:tc>
          <w:tcPr>
            <w:tcW w:type="dxa" w:w="2160"/>
          </w:tcPr>
          <w:p>
            <w:r>
              <w:t>RNN</w:t>
            </w:r>
          </w:p>
        </w:tc>
        <w:tc>
          <w:tcPr>
            <w:tcW w:type="dxa" w:w="2160"/>
          </w:tcPr>
          <w:p>
            <w:r>
              <w:t>63.58%</w:t>
            </w:r>
          </w:p>
        </w:tc>
        <w:tc>
          <w:tcPr>
            <w:tcW w:type="dxa" w:w="2160"/>
          </w:tcPr>
          <w:p>
            <w:r>
              <w:t>345 090</w:t>
            </w:r>
          </w:p>
        </w:tc>
        <w:tc>
          <w:tcPr>
            <w:tcW w:type="dxa" w:w="2160"/>
          </w:tcPr>
          <w:p>
            <w:r>
              <w:t>1 porte (tanh)</w:t>
            </w:r>
          </w:p>
        </w:tc>
      </w:tr>
      <w:tr>
        <w:tc>
          <w:tcPr>
            <w:tcW w:type="dxa" w:w="2160"/>
          </w:tcPr>
          <w:p>
            <w:r>
              <w:t>LSTM</w:t>
            </w:r>
          </w:p>
        </w:tc>
        <w:tc>
          <w:tcPr>
            <w:tcW w:type="dxa" w:w="2160"/>
          </w:tcPr>
          <w:p>
            <w:r>
              <w:t>67.17%</w:t>
            </w:r>
          </w:p>
        </w:tc>
        <w:tc>
          <w:tcPr>
            <w:tcW w:type="dxa" w:w="2160"/>
          </w:tcPr>
          <w:p>
            <w:r>
              <w:t>551 682</w:t>
            </w:r>
          </w:p>
        </w:tc>
        <w:tc>
          <w:tcPr>
            <w:tcW w:type="dxa" w:w="2160"/>
          </w:tcPr>
          <w:p>
            <w:r>
              <w:t>3 portes + état de cellule</w:t>
            </w:r>
          </w:p>
        </w:tc>
      </w:tr>
      <w:tr>
        <w:tc>
          <w:tcPr>
            <w:tcW w:type="dxa" w:w="2160"/>
          </w:tcPr>
          <w:p>
            <w:r>
              <w:t>GRU (meilleur)</w:t>
            </w:r>
          </w:p>
        </w:tc>
        <w:tc>
          <w:tcPr>
            <w:tcW w:type="dxa" w:w="2160"/>
          </w:tcPr>
          <w:p>
            <w:r>
              <w:t>68.33%</w:t>
            </w:r>
          </w:p>
        </w:tc>
        <w:tc>
          <w:tcPr>
            <w:tcW w:type="dxa" w:w="2160"/>
          </w:tcPr>
          <w:p>
            <w:r>
              <w:t>493 826</w:t>
            </w:r>
          </w:p>
        </w:tc>
        <w:tc>
          <w:tcPr>
            <w:tcW w:type="dxa" w:w="2160"/>
          </w:tcPr>
          <w:p>
            <w:r>
              <w:t>2 portes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Métrique Seq2Seq</w:t>
            </w:r>
          </w:p>
        </w:tc>
        <w:tc>
          <w:tcPr>
            <w:tcW w:type="dxa" w:w="4320"/>
          </w:tcPr>
          <w:p>
            <w:r>
              <w:rPr>
                <w:b/>
              </w:rPr>
              <w:t>Valeur</w:t>
            </w:r>
          </w:p>
        </w:tc>
      </w:tr>
      <w:tr>
        <w:tc>
          <w:tcPr>
            <w:tcW w:type="dxa" w:w="4320"/>
          </w:tcPr>
          <w:p>
            <w:r>
              <w:t>Perplexité initiale (ép. 1)</w:t>
            </w:r>
          </w:p>
        </w:tc>
        <w:tc>
          <w:tcPr>
            <w:tcW w:type="dxa" w:w="4320"/>
          </w:tcPr>
          <w:p>
            <w:r>
              <w:t>514.64</w:t>
            </w:r>
          </w:p>
        </w:tc>
      </w:tr>
      <w:tr>
        <w:tc>
          <w:tcPr>
            <w:tcW w:type="dxa" w:w="4320"/>
          </w:tcPr>
          <w:p>
            <w:r>
              <w:t>Perplexité finale (ép. 8)</w:t>
            </w:r>
          </w:p>
        </w:tc>
        <w:tc>
          <w:tcPr>
            <w:tcW w:type="dxa" w:w="4320"/>
          </w:tcPr>
          <w:p>
            <w:r>
              <w:t>48.63</w:t>
            </w:r>
          </w:p>
        </w:tc>
      </w:tr>
      <w:tr>
        <w:tc>
          <w:tcPr>
            <w:tcW w:type="dxa" w:w="4320"/>
          </w:tcPr>
          <w:p>
            <w:r>
              <w:t>Réduction perplexité</w:t>
            </w:r>
          </w:p>
        </w:tc>
        <w:tc>
          <w:tcPr>
            <w:tcW w:type="dxa" w:w="4320"/>
          </w:tcPr>
          <w:p>
            <w:r>
              <w:t>×10.6</w:t>
            </w:r>
          </w:p>
        </w:tc>
      </w:tr>
      <w:tr>
        <w:tc>
          <w:tcPr>
            <w:tcW w:type="dxa" w:w="4320"/>
          </w:tcPr>
          <w:p>
            <w:r>
              <w:t>BLEU Décodage glouton</w:t>
            </w:r>
          </w:p>
        </w:tc>
        <w:tc>
          <w:tcPr>
            <w:tcW w:type="dxa" w:w="4320"/>
          </w:tcPr>
          <w:p>
            <w:r>
              <w:t>0.1047</w:t>
            </w:r>
          </w:p>
        </w:tc>
      </w:tr>
      <w:tr>
        <w:tc>
          <w:tcPr>
            <w:tcW w:type="dxa" w:w="4320"/>
          </w:tcPr>
          <w:p>
            <w:r>
              <w:t>BLEU Beam Search</w:t>
            </w:r>
          </w:p>
        </w:tc>
        <w:tc>
          <w:tcPr>
            <w:tcW w:type="dxa" w:w="4320"/>
          </w:tcPr>
          <w:p>
            <w:r>
              <w:t>0.0929</w:t>
            </w:r>
          </w:p>
        </w:tc>
      </w:tr>
    </w:tbl>
    <w:p/>
    <w:p>
      <w:pPr>
        <w:pStyle w:val="Heading2"/>
        <w:jc w:val="left"/>
      </w:pPr>
      <w:r>
        <w:t>4.5 Interprétation &amp; Analyse critique</w:t>
      </w:r>
    </w:p>
    <w:p>
      <w:r>
        <w:rPr>
          <w:b w:val="0"/>
          <w:i w:val="0"/>
          <w:sz w:val="22"/>
        </w:rPr>
        <w:t>Le GRU est le meilleur classifieur avec 68.33% de test accuracy et 30% de paramètres en moins que le LSTM, confirmant le compromis efficace caractéristique du GRU. Le LSTM (+3.6% vs RNN) valide expérimentalement l'avantage de l'état de cellule ct pour la gestion du gradient sur des séquences de 50 tokens.</w:t>
      </w:r>
    </w:p>
    <w:p>
      <w:r>
        <w:rPr>
          <w:b w:val="0"/>
          <w:i w:val="0"/>
          <w:sz w:val="22"/>
        </w:rPr>
        <w:t>La perplexité Seq2Seq passe de 514.64 à 48.63 en 8 époques (division par 10), montrant une convergence claire du modèle malgré la complexité de la tâche. Le BLEU reste modeste (0.10) ce qui est attendu pour seulement 8 époques d'entraînement sur un sous-ensemble de 8 000 exemples — des architectures avec attention porteraient ce score à 0.3–0.5 sur un corpus parallèle complet.</w:t>
      </w:r>
    </w:p>
    <w:p>
      <w:r>
        <w:rPr>
          <w:b w:val="0"/>
          <w:i w:val="0"/>
          <w:sz w:val="22"/>
        </w:rPr>
        <w:t>Limites observées :</w:t>
      </w:r>
    </w:p>
    <w:p>
      <w:pPr>
        <w:pStyle w:val="ListBullet"/>
      </w:pPr>
      <w:r>
        <w:t>Le vecteur de contexte fixe (128 dims) crée un goulot d'information pour les longues séquences</w:t>
      </w:r>
    </w:p>
    <w:p>
      <w:pPr>
        <w:pStyle w:val="ListBullet"/>
      </w:pPr>
      <w:r>
        <w:t>Le RNN simple ne converge pas bien au-delà de 50 tokens (gradient évanescent confirmé)</w:t>
      </w:r>
    </w:p>
    <w:p>
      <w:pPr>
        <w:pStyle w:val="ListBullet"/>
      </w:pPr>
      <w:r>
        <w:t>Le beam search ne surpasse pas le décodage glouton ici car le modèle est encore sous-entraîné</w:t>
      </w:r>
    </w:p>
    <w:p>
      <w:pPr>
        <w:pStyle w:val="Heading2"/>
        <w:jc w:val="left"/>
      </w:pPr>
      <w:r>
        <w:t>4.6 Question de synthèse — Partie III</w:t>
      </w:r>
    </w:p>
    <w:p>
      <w:r>
        <w:rPr>
          <w:b w:val="0"/>
          <w:i/>
          <w:sz w:val="22"/>
        </w:rPr>
        <w:t>Question : Dans quelle mesure les architectures récurrentes permettent-elles de modéliser efficacement une séquence réelle, et comment justifier le passage d'un RNN simple vers un LSTM/GRU puis vers un schéma encodeur-décodeur ?</w:t>
      </w:r>
    </w:p>
    <w:p>
      <w:r>
        <w:rPr>
          <w:b w:val="0"/>
          <w:i w:val="0"/>
          <w:sz w:val="22"/>
        </w:rPr>
        <w:t>Réponse : Les reviews médicales illustrent la nécessité d'un contexte accumulé : un mot "not" suivi de "effective" change radicalement le sentiment, ce qui requiert une mémoire sur plusieurs tokens. Le RNN simple souffre du gradient évanescent : le produit des jacobiens tend vers 0 pour t-k grand, causant une perte du contexte lointain (expérimental : RNN 63.58% vs LSTM 67.17%). Le gradient clipping atténue l'explosion mais ne règle pas l'évanouissement.</w:t>
      </w:r>
    </w:p>
    <w:p>
      <w:r>
        <w:rPr>
          <w:b w:val="0"/>
          <w:i w:val="0"/>
          <w:sz w:val="22"/>
        </w:rPr>
        <w:t>Le LSTM résout ce problème via l'état de cellule ct qui offre un chemin d'autoroute pour le gradient (ft·ct−1 + it·c̃t). La porte d'oubli ft proche de 1 crée un gradient stable sur les longues dépendances. Le GRU simplifie avec 2 portes au lieu de 3 et atteint des performances comparables (30% moins de paramètres).</w:t>
      </w:r>
    </w:p>
    <w:p>
      <w:r>
        <w:rPr>
          <w:b w:val="0"/>
          <w:i w:val="0"/>
          <w:sz w:val="22"/>
        </w:rPr>
        <w:t>Le schéma Seq2Seq est nécessaire quand la sortie est elle-même une séquence. L'encodeur GRU bidirectionnel condense la séquence source en un vecteur de contexte, le décodeur le déroule token par token avec teacher forcing. La limite fondamentale de cette approche est le vecteur fixe qui compresse toute l'information source. La solution naturelle : le mécanisme d'attention (Transformer, 2017) qui aligne chaque token décodé avec les représentations encodées les plus pertinentes, éliminant le goulot d'information et permettant des séquences de longueur arbitraire.</w:t>
      </w:r>
    </w:p>
    <w:p>
      <w:r>
        <w:br w:type="page"/>
      </w:r>
    </w:p>
    <w:p>
      <w:pPr>
        <w:pStyle w:val="Heading1"/>
        <w:jc w:val="left"/>
      </w:pPr>
      <w:r>
        <w:t>5. Question transversale finale</w:t>
      </w:r>
    </w:p>
    <w:p>
      <w:r>
        <w:rPr>
          <w:b w:val="0"/>
          <w:i/>
          <w:sz w:val="22"/>
        </w:rPr>
        <w:t>Problématique : 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
      <w:pPr>
        <w:pStyle w:val="Heading2"/>
        <w:jc w:val="left"/>
      </w:pPr>
      <w:r>
        <w:t>5.1 La géométrie des données dicte l'architecture</w:t>
      </w:r>
    </w:p>
    <w:p>
      <w:r>
        <w:rPr>
          <w:b w:val="0"/>
          <w:i w:val="0"/>
          <w:sz w:val="22"/>
        </w:rPr>
        <w:t>Le point central est que chaque architecture est un prior inductif sur la structure des données. Le deep learning ne propose pas une architecture universelle mais une famille d'architectures dont chacune encode des hypothèses sur la structure statistique du problème. Ce choix n'est pas arbitraire : il découle directement de la géométrie des données.</w:t>
      </w:r>
    </w:p>
    <w:p>
      <w:r>
        <w:rPr>
          <w:b/>
          <w:i w:val="0"/>
          <w:sz w:val="22"/>
        </w:rPr>
        <w:t>MLP pour les données tabulaires :</w:t>
      </w:r>
    </w:p>
    <w:p>
      <w:r>
        <w:rPr>
          <w:b w:val="0"/>
          <w:i w:val="0"/>
          <w:sz w:val="22"/>
        </w:rPr>
        <w:t>Les données tabulaires (Breast Cancer Wisconsin) sont des vecteurs dans ℝ³⁰ sans structure spatiale ni temporelle. Chaque feature est une mesure indépendante extraite par des experts. Le MLP est adapté car il apprend une fonction f : ℝ³⁰ → {0,1} sans hypothèse géométrique. Le prior inductif du MLP est minimal : invariance par permutation des features, approximation universelle par les théorèmes de Cybenko/Hornik. L'ajout de Batch Normalization et Dropout stabilise l'optimisation sans modifier l'expressivité fondamentale.</w:t>
      </w:r>
    </w:p>
    <w:p>
      <w:r>
        <w:rPr>
          <w:b/>
          <w:i w:val="0"/>
          <w:sz w:val="22"/>
        </w:rPr>
        <w:t>CNN pour les images :</w:t>
      </w:r>
    </w:p>
    <w:p>
      <w:r>
        <w:rPr>
          <w:b w:val="0"/>
          <w:i w:val="0"/>
          <w:sz w:val="22"/>
        </w:rPr>
        <w:t>Les images (PneumoniaMNIST 28×28) vivent dans un espace 2D structuré : les pixels voisins sont fortement corrélés (bords, textures, objets). Le prior inductif du CNN est triple : (1) localité — un neurone ne traite qu'un champ récepteur local ; (2) partage des poids — le même filtre détecte le même pattern partout dans l'image (invariance par translation) ; (3) hiérarchie — des couches successives capturent bords → textures → formes → objets. Ce prior réduit dramatiquement le nombre de paramètres (61k vs 214k pour le MLP) tout en améliorant la généralisation (+5–8%).</w:t>
      </w:r>
    </w:p>
    <w:p>
      <w:r>
        <w:rPr>
          <w:b/>
          <w:i w:val="0"/>
          <w:sz w:val="22"/>
        </w:rPr>
        <w:t>RNN/LSTM/GRU pour les séquences :</w:t>
      </w:r>
    </w:p>
    <w:p>
      <w:r>
        <w:rPr>
          <w:b w:val="0"/>
          <w:i w:val="0"/>
          <w:sz w:val="22"/>
        </w:rPr>
        <w:t>Les reviews médicales sont des séquences de tokens avec des dépendances temporelles : le sens d'un token dépend du contexte passé. Le prior inductif du RNN est la dépendance de Markov : h_t = f(x_t, h_{t−1}). Ce partage de paramètres dans le temps (poids identiques à chaque pas) permet de traiter des séquences de longueur variable. Le LSTM ajoute un prior sur la mémoire sélectif : les portes apprennent quand mémoriser, oublier et lire depuis l'état de cellule.</w:t>
      </w:r>
    </w:p>
    <w:p>
      <w:pPr>
        <w:pStyle w:val="Heading2"/>
        <w:jc w:val="left"/>
      </w:pPr>
      <w:r>
        <w:t>5.2 Comparaison expérimentale synthétique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MLP</w:t>
            </w:r>
          </w:p>
        </w:tc>
        <w:tc>
          <w:tcPr>
            <w:tcW w:type="dxa" w:w="2160"/>
          </w:tcPr>
          <w:p>
            <w:r>
              <w:rPr>
                <w:b/>
              </w:rPr>
              <w:t>CNN</w:t>
            </w:r>
          </w:p>
        </w:tc>
        <w:tc>
          <w:tcPr>
            <w:tcW w:type="dxa" w:w="2160"/>
          </w:tcPr>
          <w:p>
            <w:r>
              <w:rPr>
                <w:b/>
              </w:rPr>
              <w:t>RNN/GRU</w:t>
            </w:r>
          </w:p>
        </w:tc>
      </w:tr>
      <w:tr>
        <w:tc>
          <w:tcPr>
            <w:tcW w:type="dxa" w:w="2160"/>
          </w:tcPr>
          <w:p>
            <w:r>
              <w:t>Données</w:t>
            </w:r>
          </w:p>
        </w:tc>
        <w:tc>
          <w:tcPr>
            <w:tcW w:type="dxa" w:w="2160"/>
          </w:tcPr>
          <w:p>
            <w:r>
              <w:t>Tabulaires (ℝⁿ)</w:t>
            </w:r>
          </w:p>
        </w:tc>
        <w:tc>
          <w:tcPr>
            <w:tcW w:type="dxa" w:w="2160"/>
          </w:tcPr>
          <w:p>
            <w:r>
              <w:t>Images (grille 2D)</w:t>
            </w:r>
          </w:p>
        </w:tc>
        <w:tc>
          <w:tcPr>
            <w:tcW w:type="dxa" w:w="2160"/>
          </w:tcPr>
          <w:p>
            <w:r>
              <w:t>Séquences (T tokens)</w:t>
            </w:r>
          </w:p>
        </w:tc>
      </w:tr>
      <w:tr>
        <w:tc>
          <w:tcPr>
            <w:tcW w:type="dxa" w:w="2160"/>
          </w:tcPr>
          <w:p>
            <w:r>
              <w:t>Prior inductif</w:t>
            </w:r>
          </w:p>
        </w:tc>
        <w:tc>
          <w:tcPr>
            <w:tcW w:type="dxa" w:w="2160"/>
          </w:tcPr>
          <w:p>
            <w:r>
              <w:t>Aucun</w:t>
            </w:r>
          </w:p>
        </w:tc>
        <w:tc>
          <w:tcPr>
            <w:tcW w:type="dxa" w:w="2160"/>
          </w:tcPr>
          <w:p>
            <w:r>
              <w:t>Localité + partage poids</w:t>
            </w:r>
          </w:p>
        </w:tc>
        <w:tc>
          <w:tcPr>
            <w:tcW w:type="dxa" w:w="2160"/>
          </w:tcPr>
          <w:p>
            <w:r>
              <w:t>Dépendance temporelle</w:t>
            </w:r>
          </w:p>
        </w:tc>
      </w:tr>
      <w:tr>
        <w:tc>
          <w:tcPr>
            <w:tcW w:type="dxa" w:w="2160"/>
          </w:tcPr>
          <w:p>
            <w:r>
              <w:t>Paramètres projet</w:t>
            </w:r>
          </w:p>
        </w:tc>
        <w:tc>
          <w:tcPr>
            <w:tcW w:type="dxa" w:w="2160"/>
          </w:tcPr>
          <w:p>
            <w:r>
              <w:t>~12k</w:t>
            </w:r>
          </w:p>
        </w:tc>
        <w:tc>
          <w:tcPr>
            <w:tcW w:type="dxa" w:w="2160"/>
          </w:tcPr>
          <w:p>
            <w:r>
              <w:t>61k</w:t>
            </w:r>
          </w:p>
        </w:tc>
        <w:tc>
          <w:tcPr>
            <w:tcW w:type="dxa" w:w="2160"/>
          </w:tcPr>
          <w:p>
            <w:r>
              <w:t>494k (GRU)</w:t>
            </w:r>
          </w:p>
        </w:tc>
      </w:tr>
      <w:tr>
        <w:tc>
          <w:tcPr>
            <w:tcW w:type="dxa" w:w="2160"/>
          </w:tcPr>
          <w:p>
            <w:r>
              <w:t>Métriques clés</w:t>
            </w:r>
          </w:p>
        </w:tc>
        <w:tc>
          <w:tcPr>
            <w:tcW w:type="dxa" w:w="2160"/>
          </w:tcPr>
          <w:p>
            <w:r>
              <w:t>Acc ~95%</w:t>
            </w:r>
          </w:p>
        </w:tc>
        <w:tc>
          <w:tcPr>
            <w:tcW w:type="dxa" w:w="2160"/>
          </w:tcPr>
          <w:p>
            <w:r>
              <w:t>Val Acc 96.95%</w:t>
            </w:r>
          </w:p>
        </w:tc>
        <w:tc>
          <w:tcPr>
            <w:tcW w:type="dxa" w:w="2160"/>
          </w:tcPr>
          <w:p>
            <w:r>
              <w:t>Test Acc 68.33%</w:t>
            </w:r>
          </w:p>
        </w:tc>
      </w:tr>
      <w:tr>
        <w:tc>
          <w:tcPr>
            <w:tcW w:type="dxa" w:w="2160"/>
          </w:tcPr>
          <w:p>
            <w:r>
              <w:t>Régularisation</w:t>
            </w:r>
          </w:p>
        </w:tc>
        <w:tc>
          <w:tcPr>
            <w:tcW w:type="dxa" w:w="2160"/>
          </w:tcPr>
          <w:p>
            <w:r>
              <w:t>BN + Dropout</w:t>
            </w:r>
          </w:p>
        </w:tc>
        <w:tc>
          <w:tcPr>
            <w:tcW w:type="dxa" w:w="2160"/>
          </w:tcPr>
          <w:p>
            <w:r>
              <w:t>Dropout</w:t>
            </w:r>
          </w:p>
        </w:tc>
        <w:tc>
          <w:tcPr>
            <w:tcW w:type="dxa" w:w="2160"/>
          </w:tcPr>
          <w:p>
            <w:r>
              <w:t>Dropout + Grad Clipping</w:t>
            </w:r>
          </w:p>
        </w:tc>
      </w:tr>
      <w:tr>
        <w:tc>
          <w:tcPr>
            <w:tcW w:type="dxa" w:w="2160"/>
          </w:tcPr>
          <w:p>
            <w:r>
              <w:t>Optimiseur</w:t>
            </w:r>
          </w:p>
        </w:tc>
        <w:tc>
          <w:tcPr>
            <w:tcW w:type="dxa" w:w="2160"/>
          </w:tcPr>
          <w:p>
            <w:r>
              <w:t>Adam lr=1e-3</w:t>
            </w:r>
          </w:p>
        </w:tc>
        <w:tc>
          <w:tcPr>
            <w:tcW w:type="dxa" w:w="2160"/>
          </w:tcPr>
          <w:p>
            <w:r>
              <w:t>Adam lr=1e-3</w:t>
            </w:r>
          </w:p>
        </w:tc>
        <w:tc>
          <w:tcPr>
            <w:tcW w:type="dxa" w:w="2160"/>
          </w:tcPr>
          <w:p>
            <w:r>
              <w:t>Adam lr=1e-3</w:t>
            </w:r>
          </w:p>
        </w:tc>
      </w:tr>
    </w:tbl>
    <w:p/>
    <w:p>
      <w:pPr>
        <w:pStyle w:val="Heading2"/>
        <w:jc w:val="left"/>
      </w:pPr>
      <w:r>
        <w:t>5.3 Pourquoi le même paradigme doit-il se décliner différemment ?</w:t>
      </w:r>
    </w:p>
    <w:p>
      <w:r>
        <w:rPr>
          <w:b w:val="0"/>
          <w:i w:val="0"/>
          <w:sz w:val="22"/>
        </w:rPr>
        <w:t>Les trois architectures partagent le même paradigme : minimisation d'une fonction de perte empirique par descente de gradient stochastique (SGD/Adam) avec rétropropagation. Cependant, l'adaptation architecturale est nécessaire pour trois raisons fondamentales :</w:t>
      </w:r>
    </w:p>
    <w:p>
      <w:r>
        <w:rPr>
          <w:b w:val="0"/>
          <w:i w:val="0"/>
          <w:sz w:val="22"/>
        </w:rPr>
        <w:t>(1) Efficacité paramétrique : Un MLP sur images (784 → 256 → 2) nécessite 200k+ paramètres sans exploiter la structure spatiale. Un CNN atteignant de meilleures performances n'en requiert que 61k. L'hypothèse de parcimonie (sparse connectivity, weight sharing) est violée par le MLP sur images.</w:t>
      </w:r>
    </w:p>
    <w:p>
      <w:r>
        <w:rPr>
          <w:b w:val="0"/>
          <w:i w:val="0"/>
          <w:sz w:val="22"/>
        </w:rPr>
        <w:t>(2) Biais d'induction vs variance : Plus l'architecture encode de connaissances a priori sur la structure des données, moins elle a besoin de données pour généraliser. Le CNN incorpore la connaissance que les patterns locaux sont importants et invariants par translation, réduisant drastiquement la variance d'estimation.</w:t>
      </w:r>
    </w:p>
    <w:p>
      <w:r>
        <w:rPr>
          <w:b w:val="0"/>
          <w:i w:val="0"/>
          <w:sz w:val="22"/>
        </w:rPr>
        <w:t>(3) Stabilité de l'optimisation : La BPTT pour les séquences souffre de gradient évanescent/explosif absent dans les MLP et CNN standards. Le LSTM résout ce problème par conception architecturale (état de cellule, portes) — une solution impossible sans adapter l'architecture.</w:t>
      </w:r>
    </w:p>
    <w:p>
      <w:pPr>
        <w:pStyle w:val="Heading2"/>
        <w:jc w:val="left"/>
      </w:pPr>
      <w:r>
        <w:t>5.4 Limites et perspectives</w:t>
      </w:r>
    </w:p>
    <w:p>
      <w:r>
        <w:rPr>
          <w:b w:val="0"/>
          <w:i w:val="0"/>
          <w:sz w:val="22"/>
        </w:rPr>
        <w:t>Les trois architectures étudiées représentent la première génération du deep learning (1990–2017). Les avancées récentes convergent vers une architecture unifiée :</w:t>
      </w:r>
    </w:p>
    <w:p>
      <w:pPr>
        <w:pStyle w:val="ListBullet"/>
      </w:pPr>
      <w:r>
        <w:t>Transformers (2017) : mécanisme d'attention qui généralise RNN et CNN à toutes les modalités</w:t>
      </w:r>
    </w:p>
    <w:p>
      <w:pPr>
        <w:pStyle w:val="ListBullet"/>
      </w:pPr>
      <w:r>
        <w:t>Vision Transformers (ViT, 2020) : CNN remplacé par attention globale sur patches d'image</w:t>
      </w:r>
    </w:p>
    <w:p>
      <w:pPr>
        <w:pStyle w:val="ListBullet"/>
      </w:pPr>
      <w:r>
        <w:t>BERT/GPT : modélisation bidirectionnelle/autorégressive de séquences par attention</w:t>
      </w:r>
    </w:p>
    <w:p>
      <w:pPr>
        <w:pStyle w:val="ListBullet"/>
      </w:pPr>
      <w:r>
        <w:t>Architectures multimodales : même backbone pour texte, image, audio (ex. CLIP, Flamingo)</w:t>
      </w:r>
    </w:p>
    <w:p>
      <w:r>
        <w:rPr>
          <w:b w:val="0"/>
          <w:i w:val="0"/>
          <w:sz w:val="22"/>
        </w:rPr>
        <w:t>La convergence vers les Transformers suggère que le prior inductif optimal est l'attention : permettre à chaque élément de la séquence/image de s'informer de tous les autres, avec un coût quadratique en mémoire. La question géométrique n'est pas éliminée mais encodée dans le positional encoding.</w:t>
      </w:r>
    </w:p>
    <w:p>
      <w:r>
        <w:br w:type="page"/>
      </w:r>
    </w:p>
    <w:p>
      <w:pPr>
        <w:pStyle w:val="Heading1"/>
        <w:jc w:val="left"/>
      </w:pPr>
      <w:r>
        <w:t>6. Conclusion générale</w:t>
      </w:r>
    </w:p>
    <w:p>
      <w:r>
        <w:rPr>
          <w:b w:val="0"/>
          <w:i w:val="0"/>
          <w:sz w:val="22"/>
        </w:rPr>
        <w:t>Ce projet a permis d'implémenter, entraîner et évaluer trois familles d'architectures de deep learning sur des données médicales réelles, validant expérimentalement les principes théoriques fondamentaux :</w:t>
      </w:r>
    </w:p>
    <w:p>
      <w:pPr>
        <w:pStyle w:val="ListBullet"/>
      </w:pPr>
      <w:r>
        <w:t>Le MLP est optimal pour les données tabulaires (prior minimal, features ingéniérisées)</w:t>
      </w:r>
    </w:p>
    <w:p>
      <w:pPr>
        <w:pStyle w:val="ListBullet"/>
      </w:pPr>
      <w:r>
        <w:t>Le CNN exploite la structure spatiale des images (prior géométrique fort, 96.95% val acc)</w:t>
      </w:r>
    </w:p>
    <w:p>
      <w:pPr>
        <w:pStyle w:val="ListBullet"/>
      </w:pPr>
      <w:r>
        <w:t>Le GRU/LSTM capturent les dépendances temporelles textuelles (68.33% test acc, PPL 48.63)</w:t>
      </w:r>
    </w:p>
    <w:p>
      <w:pPr>
        <w:pStyle w:val="ListBullet"/>
      </w:pPr>
      <w:r>
        <w:t>Le Seq2Seq généralise le paradigme classification vers la génération de séquences</w:t>
      </w:r>
    </w:p>
    <w:p>
      <w:r>
        <w:rPr>
          <w:b w:val="0"/>
          <w:i w:val="0"/>
          <w:sz w:val="22"/>
        </w:rPr>
        <w:t>La cohérence entre les résultats expérimentaux et les prédictions théoriques valide la démarche scientifique adoptée. Les trois notebooks sont entièrement reproductibles sur Google Colab avec GPU T4, avec des résultats stables grâce aux graines aléatoires fixées.</w:t>
      </w:r>
    </w:p>
    <w:p>
      <w:r>
        <w:rPr>
          <w:b w:val="0"/>
          <w:i w:val="0"/>
          <w:sz w:val="22"/>
        </w:rPr>
        <w:t>La perspective naturelle est l'intégration du mécanisme d'attention (Transformer) pour unifier les trois paradigmes étudiés en une architecture universelle.</w:t>
      </w:r>
    </w:p>
    <w:p>
      <w:r>
        <w:br w:type="page"/>
      </w:r>
    </w:p>
    <w:p>
      <w:pPr>
        <w:pStyle w:val="Heading1"/>
        <w:jc w:val="left"/>
      </w:pPr>
      <w:r>
        <w:t>7. Annexe expérimentale — Tableau de bord final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Partie</w:t>
            </w:r>
          </w:p>
        </w:tc>
        <w:tc>
          <w:tcPr>
            <w:tcW w:type="dxa" w:w="1440"/>
          </w:tcPr>
          <w:p>
            <w:r>
              <w:rPr>
                <w:b/>
              </w:rPr>
              <w:t>Modèle</w:t>
            </w:r>
          </w:p>
        </w:tc>
        <w:tc>
          <w:tcPr>
            <w:tcW w:type="dxa" w:w="1440"/>
          </w:tcPr>
          <w:p>
            <w:r>
              <w:rPr>
                <w:b/>
              </w:rPr>
              <w:t>Dataset</w:t>
            </w:r>
          </w:p>
        </w:tc>
        <w:tc>
          <w:tcPr>
            <w:tcW w:type="dxa" w:w="1440"/>
          </w:tcPr>
          <w:p>
            <w:r>
              <w:rPr>
                <w:b/>
              </w:rPr>
              <w:t>Métrique principale</w:t>
            </w:r>
          </w:p>
        </w:tc>
        <w:tc>
          <w:tcPr>
            <w:tcW w:type="dxa" w:w="1440"/>
          </w:tcPr>
          <w:p>
            <w:r>
              <w:rPr>
                <w:b/>
              </w:rPr>
              <w:t>Valeur</w:t>
            </w:r>
          </w:p>
        </w:tc>
        <w:tc>
          <w:tcPr>
            <w:tcW w:type="dxa" w:w="1440"/>
          </w:tcPr>
          <w:p>
            <w:r>
              <w:rPr>
                <w:b/>
              </w:rPr>
              <w:t>Temps GPU</w:t>
            </w:r>
          </w:p>
        </w:tc>
      </w:tr>
      <w:tr>
        <w:tc>
          <w:tcPr>
            <w:tcW w:type="dxa" w:w="1440"/>
          </w:tcPr>
          <w:p>
            <w:r>
              <w:t>I</w:t>
            </w:r>
          </w:p>
        </w:tc>
        <w:tc>
          <w:tcPr>
            <w:tcW w:type="dxa" w:w="1440"/>
          </w:tcPr>
          <w:p>
            <w:r>
              <w:t>MLP (Sequential + Custom)</w:t>
            </w:r>
          </w:p>
        </w:tc>
        <w:tc>
          <w:tcPr>
            <w:tcW w:type="dxa" w:w="1440"/>
          </w:tcPr>
          <w:p>
            <w:r>
              <w:t>Breast Cancer Wisconsin (569)</w:t>
            </w:r>
          </w:p>
        </w:tc>
        <w:tc>
          <w:tcPr>
            <w:tcW w:type="dxa" w:w="1440"/>
          </w:tcPr>
          <w:p>
            <w:r>
              <w:t>Test Accuracy</w:t>
            </w:r>
          </w:p>
        </w:tc>
        <w:tc>
          <w:tcPr>
            <w:tcW w:type="dxa" w:w="1440"/>
          </w:tcPr>
          <w:p>
            <w:r>
              <w:t>~95%</w:t>
            </w:r>
          </w:p>
        </w:tc>
        <w:tc>
          <w:tcPr>
            <w:tcW w:type="dxa" w:w="1440"/>
          </w:tcPr>
          <w:p>
            <w:r>
              <w:t>&lt; 1 min</w:t>
            </w:r>
          </w:p>
        </w:tc>
      </w:tr>
      <w:tr>
        <w:tc>
          <w:tcPr>
            <w:tcW w:type="dxa" w:w="1440"/>
          </w:tcPr>
          <w:p>
            <w:r>
              <w:t>I</w:t>
            </w:r>
          </w:p>
        </w:tc>
        <w:tc>
          <w:tcPr>
            <w:tcW w:type="dxa" w:w="1440"/>
          </w:tcPr>
          <w:p>
            <w:r>
              <w:t>Initialisation Xavier</w:t>
            </w:r>
          </w:p>
        </w:tc>
        <w:tc>
          <w:tcPr>
            <w:tcW w:type="dxa" w:w="1440"/>
          </w:tcPr>
          <w:p>
            <w:r>
              <w:t>Breast Cancer Wisconsin</w:t>
            </w:r>
          </w:p>
        </w:tc>
        <w:tc>
          <w:tcPr>
            <w:tcW w:type="dxa" w:w="1440"/>
          </w:tcPr>
          <w:p>
            <w:r>
              <w:t>Convergence</w:t>
            </w:r>
          </w:p>
        </w:tc>
        <w:tc>
          <w:tcPr>
            <w:tcW w:type="dxa" w:w="1440"/>
          </w:tcPr>
          <w:p>
            <w:r>
              <w:t>Supérieure</w:t>
            </w:r>
          </w:p>
        </w:tc>
        <w:tc>
          <w:tcPr>
            <w:tcW w:type="dxa" w:w="1440"/>
          </w:tcPr>
          <w:p>
            <w:r>
              <w:t>&lt; 1 min</w:t>
            </w:r>
          </w:p>
        </w:tc>
      </w:tr>
      <w:tr>
        <w:tc>
          <w:tcPr>
            <w:tcW w:type="dxa" w:w="1440"/>
          </w:tcPr>
          <w:p>
            <w:r>
              <w:t>II</w:t>
            </w:r>
          </w:p>
        </w:tc>
        <w:tc>
          <w:tcPr>
            <w:tcW w:type="dxa" w:w="1440"/>
          </w:tcPr>
          <w:p>
            <w:r>
              <w:t>LeNet CNN</w:t>
            </w:r>
          </w:p>
        </w:tc>
        <w:tc>
          <w:tcPr>
            <w:tcW w:type="dxa" w:w="1440"/>
          </w:tcPr>
          <w:p>
            <w:r>
              <w:t>PneumoniaMNIST (5 856)</w:t>
            </w:r>
          </w:p>
        </w:tc>
        <w:tc>
          <w:tcPr>
            <w:tcW w:type="dxa" w:w="1440"/>
          </w:tcPr>
          <w:p>
            <w:r>
              <w:t>Val Accuracy</w:t>
            </w:r>
          </w:p>
        </w:tc>
        <w:tc>
          <w:tcPr>
            <w:tcW w:type="dxa" w:w="1440"/>
          </w:tcPr>
          <w:p>
            <w:r>
              <w:t>96.95%</w:t>
            </w:r>
          </w:p>
        </w:tc>
        <w:tc>
          <w:tcPr>
            <w:tcW w:type="dxa" w:w="1440"/>
          </w:tcPr>
          <w:p>
            <w:r>
              <w:t>~26s/ép.</w:t>
            </w:r>
          </w:p>
        </w:tc>
      </w:tr>
      <w:tr>
        <w:tc>
          <w:tcPr>
            <w:tcW w:type="dxa" w:w="1440"/>
          </w:tcPr>
          <w:p>
            <w:r>
              <w:t>II</w:t>
            </w:r>
          </w:p>
        </w:tc>
        <w:tc>
          <w:tcPr>
            <w:tcW w:type="dxa" w:w="1440"/>
          </w:tcPr>
          <w:p>
            <w:r>
              <w:t>FlexCNN (12/32 filtres)</w:t>
            </w:r>
          </w:p>
        </w:tc>
        <w:tc>
          <w:tcPr>
            <w:tcW w:type="dxa" w:w="1440"/>
          </w:tcPr>
          <w:p>
            <w:r>
              <w:t>PneumoniaMNIST</w:t>
            </w:r>
          </w:p>
        </w:tc>
        <w:tc>
          <w:tcPr>
            <w:tcW w:type="dxa" w:w="1440"/>
          </w:tcPr>
          <w:p>
            <w:r>
              <w:t>Val Accuracy</w:t>
            </w:r>
          </w:p>
        </w:tc>
        <w:tc>
          <w:tcPr>
            <w:tcW w:type="dxa" w:w="1440"/>
          </w:tcPr>
          <w:p>
            <w:r>
              <w:t>97.14%</w:t>
            </w:r>
          </w:p>
        </w:tc>
        <w:tc>
          <w:tcPr>
            <w:tcW w:type="dxa" w:w="1440"/>
          </w:tcPr>
          <w:p>
            <w:r>
              <w:t>~30s</w:t>
            </w:r>
          </w:p>
        </w:tc>
      </w:tr>
      <w:tr>
        <w:tc>
          <w:tcPr>
            <w:tcW w:type="dxa" w:w="1440"/>
          </w:tcPr>
          <w:p>
            <w:r>
              <w:t>III</w:t>
            </w:r>
          </w:p>
        </w:tc>
        <w:tc>
          <w:tcPr>
            <w:tcW w:type="dxa" w:w="1440"/>
          </w:tcPr>
          <w:p>
            <w:r>
              <w:t>RNN (1 couche)</w:t>
            </w:r>
          </w:p>
        </w:tc>
        <w:tc>
          <w:tcPr>
            <w:tcW w:type="dxa" w:w="1440"/>
          </w:tcPr>
          <w:p>
            <w:r>
              <w:t>Drug Reviews (8 000)</w:t>
            </w:r>
          </w:p>
        </w:tc>
        <w:tc>
          <w:tcPr>
            <w:tcW w:type="dxa" w:w="1440"/>
          </w:tcPr>
          <w:p>
            <w:r>
              <w:t>Test Accuracy</w:t>
            </w:r>
          </w:p>
        </w:tc>
        <w:tc>
          <w:tcPr>
            <w:tcW w:type="dxa" w:w="1440"/>
          </w:tcPr>
          <w:p>
            <w:r>
              <w:t>63.58%</w:t>
            </w:r>
          </w:p>
        </w:tc>
        <w:tc>
          <w:tcPr>
            <w:tcW w:type="dxa" w:w="1440"/>
          </w:tcPr>
          <w:p>
            <w:r>
              <w:t>~10s</w:t>
            </w:r>
          </w:p>
        </w:tc>
      </w:tr>
      <w:tr>
        <w:tc>
          <w:tcPr>
            <w:tcW w:type="dxa" w:w="1440"/>
          </w:tcPr>
          <w:p>
            <w:r>
              <w:t>III</w:t>
            </w:r>
          </w:p>
        </w:tc>
        <w:tc>
          <w:tcPr>
            <w:tcW w:type="dxa" w:w="1440"/>
          </w:tcPr>
          <w:p>
            <w:r>
              <w:t>LSTM (2 couches)</w:t>
            </w:r>
          </w:p>
        </w:tc>
        <w:tc>
          <w:tcPr>
            <w:tcW w:type="dxa" w:w="1440"/>
          </w:tcPr>
          <w:p>
            <w:r>
              <w:t>Drug Reviews (8 000)</w:t>
            </w:r>
          </w:p>
        </w:tc>
        <w:tc>
          <w:tcPr>
            <w:tcW w:type="dxa" w:w="1440"/>
          </w:tcPr>
          <w:p>
            <w:r>
              <w:t>Test Accuracy</w:t>
            </w:r>
          </w:p>
        </w:tc>
        <w:tc>
          <w:tcPr>
            <w:tcW w:type="dxa" w:w="1440"/>
          </w:tcPr>
          <w:p>
            <w:r>
              <w:t>67.17%</w:t>
            </w:r>
          </w:p>
        </w:tc>
        <w:tc>
          <w:tcPr>
            <w:tcW w:type="dxa" w:w="1440"/>
          </w:tcPr>
          <w:p>
            <w:r>
              <w:t>~10s</w:t>
            </w:r>
          </w:p>
        </w:tc>
      </w:tr>
      <w:tr>
        <w:tc>
          <w:tcPr>
            <w:tcW w:type="dxa" w:w="1440"/>
          </w:tcPr>
          <w:p>
            <w:r>
              <w:t>III</w:t>
            </w:r>
          </w:p>
        </w:tc>
        <w:tc>
          <w:tcPr>
            <w:tcW w:type="dxa" w:w="1440"/>
          </w:tcPr>
          <w:p>
            <w:r>
              <w:t>GRU (2 couches)</w:t>
            </w:r>
          </w:p>
        </w:tc>
        <w:tc>
          <w:tcPr>
            <w:tcW w:type="dxa" w:w="1440"/>
          </w:tcPr>
          <w:p>
            <w:r>
              <w:t>Drug Reviews (8 000)</w:t>
            </w:r>
          </w:p>
        </w:tc>
        <w:tc>
          <w:tcPr>
            <w:tcW w:type="dxa" w:w="1440"/>
          </w:tcPr>
          <w:p>
            <w:r>
              <w:t>Test Accuracy</w:t>
            </w:r>
          </w:p>
        </w:tc>
        <w:tc>
          <w:tcPr>
            <w:tcW w:type="dxa" w:w="1440"/>
          </w:tcPr>
          <w:p>
            <w:r>
              <w:t>68.33%</w:t>
            </w:r>
          </w:p>
        </w:tc>
        <w:tc>
          <w:tcPr>
            <w:tcW w:type="dxa" w:w="1440"/>
          </w:tcPr>
          <w:p>
            <w:r>
              <w:t>~10s</w:t>
            </w:r>
          </w:p>
        </w:tc>
      </w:tr>
      <w:tr>
        <w:tc>
          <w:tcPr>
            <w:tcW w:type="dxa" w:w="1440"/>
          </w:tcPr>
          <w:p>
            <w:r>
              <w:t>III</w:t>
            </w:r>
          </w:p>
        </w:tc>
        <w:tc>
          <w:tcPr>
            <w:tcW w:type="dxa" w:w="1440"/>
          </w:tcPr>
          <w:p>
            <w:r>
              <w:t>Seq2Seq GRU bidir.</w:t>
            </w:r>
          </w:p>
        </w:tc>
        <w:tc>
          <w:tcPr>
            <w:tcW w:type="dxa" w:w="1440"/>
          </w:tcPr>
          <w:p>
            <w:r>
              <w:t>Drug Reviews (8 000)</w:t>
            </w:r>
          </w:p>
        </w:tc>
        <w:tc>
          <w:tcPr>
            <w:tcW w:type="dxa" w:w="1440"/>
          </w:tcPr>
          <w:p>
            <w:r>
              <w:t>Perplexité finale</w:t>
            </w:r>
          </w:p>
        </w:tc>
        <w:tc>
          <w:tcPr>
            <w:tcW w:type="dxa" w:w="1440"/>
          </w:tcPr>
          <w:p>
            <w:r>
              <w:t>48.63</w:t>
            </w:r>
          </w:p>
        </w:tc>
        <w:tc>
          <w:tcPr>
            <w:tcW w:type="dxa" w:w="1440"/>
          </w:tcPr>
          <w:p>
            <w:r>
              <w:t>~16s</w:t>
            </w:r>
          </w:p>
        </w:tc>
      </w:tr>
      <w:tr>
        <w:tc>
          <w:tcPr>
            <w:tcW w:type="dxa" w:w="1440"/>
          </w:tcPr>
          <w:p>
            <w:r>
              <w:t>III</w:t>
            </w:r>
          </w:p>
        </w:tc>
        <w:tc>
          <w:tcPr>
            <w:tcW w:type="dxa" w:w="1440"/>
          </w:tcPr>
          <w:p>
            <w:r>
              <w:t>Décodage glouton</w:t>
            </w:r>
          </w:p>
        </w:tc>
        <w:tc>
          <w:tcPr>
            <w:tcW w:type="dxa" w:w="1440"/>
          </w:tcPr>
          <w:p>
            <w:r>
              <w:t>Drug Reviews (200)</w:t>
            </w:r>
          </w:p>
        </w:tc>
        <w:tc>
          <w:tcPr>
            <w:tcW w:type="dxa" w:w="1440"/>
          </w:tcPr>
          <w:p>
            <w:r>
              <w:t>BLEU</w:t>
            </w:r>
          </w:p>
        </w:tc>
        <w:tc>
          <w:tcPr>
            <w:tcW w:type="dxa" w:w="1440"/>
          </w:tcPr>
          <w:p>
            <w:r>
              <w:t>0.1047</w:t>
            </w:r>
          </w:p>
        </w:tc>
        <w:tc>
          <w:tcPr>
            <w:tcW w:type="dxa" w:w="1440"/>
          </w:tcPr>
          <w:p>
            <w:r>
              <w:t>&lt; 1s</w:t>
            </w:r>
          </w:p>
        </w:tc>
      </w:tr>
      <w:tr>
        <w:tc>
          <w:tcPr>
            <w:tcW w:type="dxa" w:w="1440"/>
          </w:tcPr>
          <w:p>
            <w:r>
              <w:t>III</w:t>
            </w:r>
          </w:p>
        </w:tc>
        <w:tc>
          <w:tcPr>
            <w:tcW w:type="dxa" w:w="1440"/>
          </w:tcPr>
          <w:p>
            <w:r>
              <w:t>Beam Search (b=3)</w:t>
            </w:r>
          </w:p>
        </w:tc>
        <w:tc>
          <w:tcPr>
            <w:tcW w:type="dxa" w:w="1440"/>
          </w:tcPr>
          <w:p>
            <w:r>
              <w:t>Drug Reviews (200)</w:t>
            </w:r>
          </w:p>
        </w:tc>
        <w:tc>
          <w:tcPr>
            <w:tcW w:type="dxa" w:w="1440"/>
          </w:tcPr>
          <w:p>
            <w:r>
              <w:t>BLEU</w:t>
            </w:r>
          </w:p>
        </w:tc>
        <w:tc>
          <w:tcPr>
            <w:tcW w:type="dxa" w:w="1440"/>
          </w:tcPr>
          <w:p>
            <w:r>
              <w:t>0.0929</w:t>
            </w:r>
          </w:p>
        </w:tc>
        <w:tc>
          <w:tcPr>
            <w:tcW w:type="dxa" w:w="1440"/>
          </w:tcPr>
          <w:p>
            <w:r>
              <w:t>~3s</w:t>
            </w:r>
          </w:p>
        </w:tc>
      </w:tr>
    </w:tbl>
    <w:p/>
    <w:p>
      <w:r>
        <w:rPr>
          <w:b w:val="0"/>
          <w:i w:val="0"/>
          <w:sz w:val="22"/>
        </w:rPr>
        <w:t>Environnement de développement :</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Version / Détail</w:t>
            </w:r>
          </w:p>
        </w:tc>
      </w:tr>
      <w:tr>
        <w:tc>
          <w:tcPr>
            <w:tcW w:type="dxa" w:w="4320"/>
          </w:tcPr>
          <w:p>
            <w:r>
              <w:t>Python</w:t>
            </w:r>
          </w:p>
        </w:tc>
        <w:tc>
          <w:tcPr>
            <w:tcW w:type="dxa" w:w="4320"/>
          </w:tcPr>
          <w:p>
            <w:r>
              <w:t>3.10+</w:t>
            </w:r>
          </w:p>
        </w:tc>
      </w:tr>
      <w:tr>
        <w:tc>
          <w:tcPr>
            <w:tcW w:type="dxa" w:w="4320"/>
          </w:tcPr>
          <w:p>
            <w:r>
              <w:t>PyTorch</w:t>
            </w:r>
          </w:p>
        </w:tc>
        <w:tc>
          <w:tcPr>
            <w:tcW w:type="dxa" w:w="4320"/>
          </w:tcPr>
          <w:p>
            <w:r>
              <w:t>2.10.0+cu128</w:t>
            </w:r>
          </w:p>
        </w:tc>
      </w:tr>
      <w:tr>
        <w:tc>
          <w:tcPr>
            <w:tcW w:type="dxa" w:w="4320"/>
          </w:tcPr>
          <w:p>
            <w:r>
              <w:t>GPU</w:t>
            </w:r>
          </w:p>
        </w:tc>
        <w:tc>
          <w:tcPr>
            <w:tcW w:type="dxa" w:w="4320"/>
          </w:tcPr>
          <w:p>
            <w:r>
              <w:t>NVIDIA T4 (Google Colab)</w:t>
            </w:r>
          </w:p>
        </w:tc>
      </w:tr>
      <w:tr>
        <w:tc>
          <w:tcPr>
            <w:tcW w:type="dxa" w:w="4320"/>
          </w:tcPr>
          <w:p>
            <w:r>
              <w:t>CUDA</w:t>
            </w:r>
          </w:p>
        </w:tc>
        <w:tc>
          <w:tcPr>
            <w:tcW w:type="dxa" w:w="4320"/>
          </w:tcPr>
          <w:p>
            <w:r>
              <w:t>12.8</w:t>
            </w:r>
          </w:p>
        </w:tc>
      </w:tr>
      <w:tr>
        <w:tc>
          <w:tcPr>
            <w:tcW w:type="dxa" w:w="4320"/>
          </w:tcPr>
          <w:p>
            <w:r>
              <w:t>medmnist</w:t>
            </w:r>
          </w:p>
        </w:tc>
        <w:tc>
          <w:tcPr>
            <w:tcW w:type="dxa" w:w="4320"/>
          </w:tcPr>
          <w:p>
            <w:r>
              <w:t>3.0.2</w:t>
            </w:r>
          </w:p>
        </w:tc>
      </w:tr>
      <w:tr>
        <w:tc>
          <w:tcPr>
            <w:tcW w:type="dxa" w:w="4320"/>
          </w:tcPr>
          <w:p>
            <w:r>
              <w:t>datasets (HuggingFace)</w:t>
            </w:r>
          </w:p>
        </w:tc>
        <w:tc>
          <w:tcPr>
            <w:tcW w:type="dxa" w:w="4320"/>
          </w:tcPr>
          <w:p>
            <w:r>
              <w:t>Dernière version stable</w:t>
            </w:r>
          </w:p>
        </w:tc>
      </w:tr>
      <w:tr>
        <w:tc>
          <w:tcPr>
            <w:tcW w:type="dxa" w:w="4320"/>
          </w:tcPr>
          <w:p>
            <w:r>
              <w:t>sklearn</w:t>
            </w:r>
          </w:p>
        </w:tc>
        <w:tc>
          <w:tcPr>
            <w:tcW w:type="dxa" w:w="4320"/>
          </w:tcPr>
          <w:p>
            <w:r>
              <w:t>Dernière version stable</w:t>
            </w:r>
          </w:p>
        </w:tc>
      </w:tr>
      <w:tr>
        <w:tc>
          <w:tcPr>
            <w:tcW w:type="dxa" w:w="4320"/>
          </w:tcPr>
          <w:p>
            <w:r>
              <w:t>nltk</w:t>
            </w:r>
          </w:p>
        </w:tc>
        <w:tc>
          <w:tcPr>
            <w:tcW w:type="dxa" w:w="4320"/>
          </w:tcPr>
          <w:p>
            <w:r>
              <w:t>Dernière version stable</w:t>
            </w:r>
          </w:p>
        </w:tc>
      </w:tr>
    </w:tbl>
    <w:p/>
    <w:p>
      <w:r>
        <w:br w:type="page"/>
      </w:r>
    </w:p>
    <w:p>
      <w:pPr>
        <w:pStyle w:val="Heading1"/>
        <w:jc w:val="left"/>
      </w:pPr>
      <w:r>
        <w:t>Bibliographie</w:t>
      </w:r>
    </w:p>
    <w:p>
      <w:pPr>
        <w:pStyle w:val="ListNumber"/>
      </w:pPr>
      <w:r>
        <w:t>[1] A. Paszke et al., "PyTorch: An Imperative Style, High-Performance Deep Learning Library," NeurIPS 2019.</w:t>
      </w:r>
    </w:p>
    <w:p>
      <w:pPr>
        <w:pStyle w:val="ListNumber"/>
      </w:pPr>
      <w:r>
        <w:t>[2] Y. LeCun, L. Bottou, Y. Bengio, P. Haffner, "Gradient-Based Learning Applied to Document Recognition," Proceedings of the IEEE, 1998.</w:t>
      </w:r>
    </w:p>
    <w:p>
      <w:pPr>
        <w:pStyle w:val="ListNumber"/>
      </w:pPr>
      <w:r>
        <w:t>[3] S. Hochreiter, J. Schmidhuber, "Long Short-Term Memory," Neural Computation, 1997.</w:t>
      </w:r>
    </w:p>
    <w:p>
      <w:pPr>
        <w:pStyle w:val="ListNumber"/>
      </w:pPr>
      <w:r>
        <w:t>[4] K. Cho et al., "Learning Phrase Representations using RNN Encoder-Decoder for Statistical Machine Translation," EMNLP 2014.</w:t>
      </w:r>
    </w:p>
    <w:p>
      <w:pPr>
        <w:pStyle w:val="ListNumber"/>
      </w:pPr>
      <w:r>
        <w:t>[5] I. Goodfellow, Y. Bengio, A. Courville, "Deep Learning," MIT Press, 2016.</w:t>
      </w:r>
    </w:p>
    <w:p>
      <w:pPr>
        <w:pStyle w:val="ListNumber"/>
      </w:pPr>
      <w:r>
        <w:t>[6] W.H. Wolberg, W.N. Street, O.L. Mangasarian, "Breast Cancer Wisconsin (Diagnostic) Dataset," UCI Machine Learning Repository, 1995.</w:t>
      </w:r>
    </w:p>
    <w:p>
      <w:pPr>
        <w:pStyle w:val="ListNumber"/>
      </w:pPr>
      <w:r>
        <w:t>[7] J. Yang et al., "MedMNIST v2: A Large-Scale Lightweight Benchmark for 2D and 3D Biomedical Image Classification," Scientific Data, 2023.</w:t>
      </w:r>
    </w:p>
    <w:p>
      <w:pPr>
        <w:pStyle w:val="ListNumber"/>
      </w:pPr>
      <w:r>
        <w:t>[8] F. Grasser et al., "Aspect-Based Sentiment Analysis of Drug Reviews," UCIrvine Machine Learning Repository, 2018.</w:t>
      </w:r>
    </w:p>
    <w:p>
      <w:pPr>
        <w:pStyle w:val="ListNumber"/>
      </w:pPr>
      <w:r>
        <w:t>[9] K. Papineni et al., "BLEU: A Method for Automatic Evaluation of Machine Translation," ACL 2002.</w:t>
      </w:r>
    </w:p>
    <w:p>
      <w:pPr>
        <w:pStyle w:val="ListNumber"/>
      </w:pPr>
      <w:r>
        <w:t>[10] X. Glorot, Y. Bengio, "Understanding the difficulty of training deep feedforward neural networks," AISTATS 2010.</w:t>
      </w:r>
    </w:p>
    <w:p>
      <w:pPr>
        <w:pStyle w:val="ListNumber"/>
      </w:pPr>
      <w:r>
        <w:t>[11] S. Ioffe, C. Szegedy, "Batch Normalization: Accelerating Deep Network Training," ICML 2015.</w:t>
      </w:r>
    </w:p>
    <w:p>
      <w:pPr>
        <w:pStyle w:val="ListNumber"/>
      </w:pPr>
      <w:r>
        <w:t>[12] N. Srivastava et al., "Dropout: A Simple Way to Prevent Neural Networks from Overfitting," JMLR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