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Arial" w:cs="Arial" w:eastAsia="Arial" w:hAnsi="Arial"/>
          <w:b/>
          <w:bCs/>
          <w:color w:val="158F7E"/>
          <w:sz w:val="32"/>
          <w:szCs w:val="32"/>
        </w:rPr>
        <w:t xml:space="preserve">NOTES DE PRÉSENTATION</w:t>
      </w:r>
    </w:p>
    <w:p>
      <w:pPr>
        <w:spacing w:after="80" w:before="80"/>
        <w:jc w:val="center"/>
      </w:pPr>
      <w:r>
        <w:rPr>
          <w:rFonts w:ascii="Arial" w:cs="Arial" w:eastAsia="Arial" w:hAnsi="Arial"/>
          <w:b/>
          <w:bCs/>
          <w:color w:val="1C3838"/>
          <w:sz w:val="26"/>
          <w:szCs w:val="26"/>
        </w:rPr>
        <w:t xml:space="preserve">Projet 3 — DataImmo</w:t>
      </w:r>
    </w:p>
    <w:p>
      <w:pPr>
        <w:spacing w:after="80" w:before="80"/>
        <w:jc w:val="center"/>
      </w:pPr>
      <w:r>
        <w:rPr>
          <w:rFonts w:ascii="Arial" w:cs="Arial" w:eastAsia="Arial" w:hAnsi="Arial"/>
          <w:b w:val="false"/>
          <w:bCs w:val="false"/>
          <w:color w:val="546E6E"/>
          <w:sz w:val="22"/>
          <w:szCs w:val="22"/>
        </w:rPr>
        <w:t xml:space="preserve">Laplace Immo · Analyse du marché immobilier français</w:t>
      </w:r>
    </w:p>
    <w:p>
      <w:pPr>
        <w:spacing w:after="400" w:before="80"/>
        <w:jc w:val="center"/>
      </w:pPr>
      <w:r>
        <w:rPr>
          <w:rFonts w:ascii="Arial" w:cs="Arial" w:eastAsia="Arial" w:hAnsi="Arial"/>
          <w:b w:val="false"/>
          <w:bCs w:val="false"/>
          <w:color w:val="546E6E"/>
          <w:sz w:val="20"/>
          <w:szCs w:val="20"/>
        </w:rPr>
        <w:t xml:space="preserve">Heba Abu-rabia  ·  Mars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E0DE" w:sz="1"/>
              <w:left w:val="single" w:color="C8E0DE" w:sz="1"/>
              <w:bottom w:val="single" w:color="C8E0DE" w:sz="1"/>
              <w:right w:val="single" w:color="C8E0DE" w:sz="1"/>
            </w:tcBorders>
            <w:shd w:fill="F0FAFA" w:val="clear"/>
            <w:tcMar>
              <w:top w:type="dxa" w:w="160"/>
              <w:left w:type="dxa" w:w="240"/>
              <w:bottom w:type="dxa" w:w="160"/>
              <w:right w:type="dxa" w:w="240"/>
            </w:tcMar>
          </w:tcPr>
          <w:p>
            <w:pPr>
              <w:spacing w:after="80" w:before="80"/>
              <w:jc w:val="left"/>
            </w:pPr>
            <w:r>
              <w:rPr>
                <w:rFonts w:ascii="Arial" w:cs="Arial" w:eastAsia="Arial" w:hAnsi="Arial"/>
                <w:b/>
                <w:bCs/>
                <w:color w:val="158F7E"/>
                <w:sz w:val="22"/>
                <w:szCs w:val="22"/>
              </w:rPr>
              <w:t xml:space="preserve">À propos de ce document</w:t>
            </w:r>
          </w:p>
          <w:p>
            <w:pPr>
              <w:spacing w:after="80" w:before="80"/>
              <w:jc w:val="left"/>
            </w:pPr>
            <w:r>
              <w:rPr>
                <w:rFonts w:ascii="Arial" w:cs="Arial" w:eastAsia="Arial" w:hAnsi="Arial"/>
                <w:b w:val="false"/>
                <w:bCs w:val="false"/>
                <w:color w:val="1C3838"/>
                <w:sz w:val="22"/>
                <w:szCs w:val="22"/>
              </w:rPr>
              <w:t xml:space="preserve">Ce document contient les notes de présentation à utiliser lors de la soutenance du Projet 3. Chaque section correspond à une diapositive du support PowerPoint. Les formulations proposées sont indicatives : adaptez-les à votre style naturel et à votre rythme de présentation.</w:t>
            </w:r>
          </w:p>
          <w:p>
            <w:pPr>
              <w:spacing w:after="60" w:before="60"/>
              <w:jc w:val="left"/>
            </w:pPr>
            <w:r>
              <w:rPr>
                <w:rFonts w:ascii="Arial" w:cs="Arial" w:eastAsia="Arial" w:hAnsi="Arial"/>
                <w:b w:val="false"/>
                <w:bCs w:val="false"/>
                <w:color w:val="1C3838"/>
                <w:sz w:val="22"/>
                <w:szCs w:val="22"/>
              </w:rPr>
              <w:t xml:space="preserve"/>
            </w:r>
          </w:p>
          <w:p>
            <w:pPr>
              <w:spacing w:after="80" w:before="80"/>
              <w:jc w:val="left"/>
            </w:pPr>
            <w:r>
              <w:rPr>
                <w:rFonts w:ascii="Arial" w:cs="Arial" w:eastAsia="Arial" w:hAnsi="Arial"/>
                <w:b w:val="false"/>
                <w:bCs w:val="false"/>
                <w:color w:val="546E6E"/>
                <w:sz w:val="22"/>
                <w:szCs w:val="22"/>
              </w:rPr>
              <w:t xml:space="preserve">Durée estimée : 15 à 20 minutes  ·  17 diapositives</w:t>
            </w:r>
          </w:p>
        </w:tc>
      </w:tr>
    </w:tbl>
    <w:p>
      <w:r>
        <w:br w:type="page"/>
      </w:r>
    </w:p>
    <w:p>
      <w:pPr>
        <w:pBdr>
          <w:bottom w:val="single" w:color="158F7E" w:sz="8"/>
        </w:pBdr>
        <w:spacing w:after="120" w:before="320"/>
      </w:pPr>
      <w:r>
        <w:rPr>
          <w:rFonts w:ascii="Arial" w:cs="Arial" w:eastAsia="Arial" w:hAnsi="Arial"/>
          <w:b/>
          <w:bCs/>
          <w:color w:val="FFFFFF"/>
          <w:sz w:val="20"/>
          <w:szCs w:val="20"/>
          <w:shd w:fill="158F7E" w:val="clear"/>
        </w:rPr>
        <w:t xml:space="preserve">Diapositive 1  </w:t>
      </w:r>
      <w:r>
        <w:rPr>
          <w:rFonts w:ascii="Arial" w:cs="Arial" w:eastAsia="Arial" w:hAnsi="Arial"/>
          <w:b/>
          <w:bCs/>
          <w:color w:val="158F7E"/>
          <w:sz w:val="22"/>
          <w:szCs w:val="22"/>
        </w:rPr>
        <w:t xml:space="preserve">  Titre — DataImmo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C8E0DE" w:sz="1"/>
              <w:left w:val="single" w:color="C8E0DE" w:sz="1"/>
              <w:bottom w:val="single" w:color="C8E0DE" w:sz="1"/>
              <w:right w:val="single" w:color="C8E0DE" w:sz="1"/>
            </w:tcBorders>
            <w:shd w:fill="158F7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Objectif</w:t>
            </w:r>
          </w:p>
        </w:tc>
        <w:tc>
          <w:tcPr>
            <w:tcW w:type="dxa" w:w="7826"/>
            <w:tcBorders>
              <w:top w:val="single" w:color="C8E0DE" w:sz="1"/>
              <w:left w:val="single" w:color="C8E0DE" w:sz="1"/>
              <w:bottom w:val="single" w:color="C8E0DE" w:sz="1"/>
              <w:right w:val="single" w:color="C8E0DE" w:sz="1"/>
            </w:tcBorders>
            <w:shd w:fill="F0FAFA" w:val="clear"/>
            <w:tcMar>
              <w:top w:type="dxa" w:w="80"/>
              <w:left w:type="dxa" w:w="160"/>
              <w:bottom w:type="dxa" w:w="80"/>
              <w:right w:type="dxa" w:w="120"/>
            </w:tcMar>
          </w:tcPr>
          <w:p>
            <w:r>
              <w:rPr>
                <w:rFonts w:ascii="Arial" w:cs="Arial" w:eastAsia="Arial" w:hAnsi="Arial"/>
                <w:color w:val="1C3838"/>
                <w:sz w:val="21"/>
                <w:szCs w:val="21"/>
              </w:rPr>
              <w:t xml:space="preserve">Ouvrir la présentation, vous présenter et introduire le contexte.</w:t>
            </w:r>
          </w:p>
        </w:tc>
      </w:tr>
    </w:tbl>
    <w:p>
      <w:pPr>
        <w:spacing w:after="60" w:before="60"/>
        <w:jc w:val="left"/>
      </w:pPr>
      <w:r>
        <w:rPr>
          <w:rFonts w:ascii="Arial" w:cs="Arial" w:eastAsia="Arial" w:hAnsi="Arial"/>
          <w:b w:val="false"/>
          <w:bCs w:val="false"/>
          <w:color w:val="1C3838"/>
          <w:sz w:val="22"/>
          <w:szCs w:val="22"/>
        </w:rPr>
        <w:t xml:space="preserve"/>
      </w:r>
    </w:p>
    <w:p>
      <w:pPr>
        <w:spacing w:after="80" w:before="120"/>
        <w:jc w:val="left"/>
      </w:pPr>
      <w:r>
        <w:rPr>
          <w:rFonts w:ascii="Arial" w:cs="Arial" w:eastAsia="Arial" w:hAnsi="Arial"/>
          <w:b/>
          <w:bCs/>
          <w:color w:val="158F7E"/>
          <w:sz w:val="22"/>
          <w:szCs w:val="22"/>
        </w:rPr>
        <w:t xml:space="preserve">Ce que vous dites :</w:t>
      </w:r>
    </w:p>
    <w:p>
      <w:pPr>
        <w:pStyle w:val="ListParagraph"/>
        <w:numPr>
          <w:ilvl w:val="0"/>
          <w:numId w:val="2"/>
        </w:numPr>
        <w:spacing w:after="40" w:before="40"/>
      </w:pPr>
      <w:r>
        <w:rPr>
          <w:rFonts w:ascii="Arial" w:cs="Arial" w:eastAsia="Arial" w:hAnsi="Arial"/>
          <w:color w:val="1C3838"/>
          <w:sz w:val="21"/>
          <w:szCs w:val="21"/>
        </w:rPr>
        <w:t xml:space="preserve">Bonjour, je m'appelle Heba Abu-rabia. Aujourd'hui je vais vous présenter le Projet 3 : DataImmo.</w:t>
      </w:r>
    </w:p>
    <w:p>
      <w:pPr>
        <w:pStyle w:val="ListParagraph"/>
        <w:numPr>
          <w:ilvl w:val="0"/>
          <w:numId w:val="2"/>
        </w:numPr>
        <w:spacing w:after="40" w:before="40"/>
      </w:pPr>
      <w:r>
        <w:rPr>
          <w:rFonts w:ascii="Arial" w:cs="Arial" w:eastAsia="Arial" w:hAnsi="Arial"/>
          <w:color w:val="1C3838"/>
          <w:sz w:val="21"/>
          <w:szCs w:val="21"/>
        </w:rPr>
        <w:t xml:space="preserve">L'objectif de ce projet était de concevoir, construire et exploiter une base de données relationnelle pour Laplace Immo, un réseau national d'agences immobilières.</w:t>
      </w:r>
    </w:p>
    <w:p>
      <w:pPr>
        <w:pStyle w:val="ListParagraph"/>
        <w:numPr>
          <w:ilvl w:val="0"/>
          <w:numId w:val="2"/>
        </w:numPr>
        <w:spacing w:after="40" w:before="40"/>
      </w:pPr>
      <w:r>
        <w:rPr>
          <w:rFonts w:ascii="Arial" w:cs="Arial" w:eastAsia="Arial" w:hAnsi="Arial"/>
          <w:color w:val="1C3838"/>
          <w:sz w:val="21"/>
          <w:szCs w:val="21"/>
        </w:rPr>
        <w:t xml:space="preserve">La démarche couvre trois grandes parties : modélisation des données, création de la base, et extraction analytique en SQL.</w:t>
      </w:r>
    </w:p>
    <w:p>
      <w:pPr>
        <w:spacing w:after="60" w:before="60"/>
        <w:jc w:val="left"/>
      </w:pPr>
      <w:r>
        <w:rPr>
          <w:rFonts w:ascii="Arial" w:cs="Arial" w:eastAsia="Arial" w:hAnsi="Arial"/>
          <w:b w:val="false"/>
          <w:bCs w:val="false"/>
          <w:color w:val="1C3838"/>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C8E0DE" w:sz="1"/>
              <w:left w:val="single" w:color="C8E0DE" w:sz="1"/>
              <w:bottom w:val="single" w:color="C8E0DE" w:sz="1"/>
              <w:right w:val="single" w:color="C8E0DE" w:sz="1"/>
            </w:tcBorders>
            <w:shd w:fill="158F7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Timing</w:t>
            </w:r>
          </w:p>
        </w:tc>
        <w:tc>
          <w:tcPr>
            <w:tcW w:type="dxa" w:w="7826"/>
            <w:tcBorders>
              <w:top w:val="single" w:color="C8E0DE" w:sz="1"/>
              <w:left w:val="single" w:color="C8E0DE" w:sz="1"/>
              <w:bottom w:val="single" w:color="C8E0DE" w:sz="1"/>
              <w:right w:val="single" w:color="C8E0DE" w:sz="1"/>
            </w:tcBorders>
            <w:shd w:fill="F0FAFA" w:val="clear"/>
            <w:tcMar>
              <w:top w:type="dxa" w:w="80"/>
              <w:left w:type="dxa" w:w="160"/>
              <w:bottom w:type="dxa" w:w="80"/>
              <w:right w:type="dxa" w:w="120"/>
            </w:tcMar>
          </w:tcPr>
          <w:p>
            <w:r>
              <w:rPr>
                <w:rFonts w:ascii="Arial" w:cs="Arial" w:eastAsia="Arial" w:hAnsi="Arial"/>
                <w:color w:val="1C3838"/>
                <w:sz w:val="21"/>
                <w:szCs w:val="21"/>
              </w:rPr>
              <w:t xml:space="preserve">~30 secondes. Ne détaillez pas encore — laissez la diapo suivante introduire le contexte.</w:t>
            </w:r>
          </w:p>
        </w:tc>
      </w:tr>
    </w:tbl>
    <w:p>
      <w:pPr>
        <w:pBdr>
          <w:bottom w:val="single" w:color="158F7E" w:sz="8"/>
        </w:pBdr>
        <w:spacing w:after="120" w:before="320"/>
      </w:pPr>
      <w:r>
        <w:rPr>
          <w:rFonts w:ascii="Arial" w:cs="Arial" w:eastAsia="Arial" w:hAnsi="Arial"/>
          <w:b/>
          <w:bCs/>
          <w:color w:val="FFFFFF"/>
          <w:sz w:val="20"/>
          <w:szCs w:val="20"/>
          <w:shd w:fill="158F7E" w:val="clear"/>
        </w:rPr>
        <w:t xml:space="preserve">Diapositive 2  </w:t>
      </w:r>
      <w:r>
        <w:rPr>
          <w:rFonts w:ascii="Arial" w:cs="Arial" w:eastAsia="Arial" w:hAnsi="Arial"/>
          <w:b/>
          <w:bCs/>
          <w:color w:val="158F7E"/>
          <w:sz w:val="22"/>
          <w:szCs w:val="22"/>
        </w:rPr>
        <w:t xml:space="preserve">  Contexte du projet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C8E0DE" w:sz="1"/>
              <w:left w:val="single" w:color="C8E0DE" w:sz="1"/>
              <w:bottom w:val="single" w:color="C8E0DE" w:sz="1"/>
              <w:right w:val="single" w:color="C8E0DE" w:sz="1"/>
            </w:tcBorders>
            <w:shd w:fill="158F7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Objectif</w:t>
            </w:r>
          </w:p>
        </w:tc>
        <w:tc>
          <w:tcPr>
            <w:tcW w:type="dxa" w:w="7826"/>
            <w:tcBorders>
              <w:top w:val="single" w:color="C8E0DE" w:sz="1"/>
              <w:left w:val="single" w:color="C8E0DE" w:sz="1"/>
              <w:bottom w:val="single" w:color="C8E0DE" w:sz="1"/>
              <w:right w:val="single" w:color="C8E0DE" w:sz="1"/>
            </w:tcBorders>
            <w:shd w:fill="F0FAFA" w:val="clear"/>
            <w:tcMar>
              <w:top w:type="dxa" w:w="80"/>
              <w:left w:type="dxa" w:w="160"/>
              <w:bottom w:type="dxa" w:w="80"/>
              <w:right w:type="dxa" w:w="120"/>
            </w:tcMar>
          </w:tcPr>
          <w:p>
            <w:r>
              <w:rPr>
                <w:rFonts w:ascii="Arial" w:cs="Arial" w:eastAsia="Arial" w:hAnsi="Arial"/>
                <w:color w:val="1C3838"/>
                <w:sz w:val="21"/>
                <w:szCs w:val="21"/>
              </w:rPr>
              <w:t xml:space="preserve">Expliquer pourquoi ce projet existe et ce que l'entreprise attend.</w:t>
            </w:r>
          </w:p>
        </w:tc>
      </w:tr>
    </w:tbl>
    <w:p>
      <w:pPr>
        <w:spacing w:after="60" w:before="60"/>
        <w:jc w:val="left"/>
      </w:pPr>
      <w:r>
        <w:rPr>
          <w:rFonts w:ascii="Arial" w:cs="Arial" w:eastAsia="Arial" w:hAnsi="Arial"/>
          <w:b w:val="false"/>
          <w:bCs w:val="false"/>
          <w:color w:val="1C3838"/>
          <w:sz w:val="22"/>
          <w:szCs w:val="22"/>
        </w:rPr>
        <w:t xml:space="preserve"/>
      </w:r>
    </w:p>
    <w:p>
      <w:pPr>
        <w:spacing w:after="80" w:before="120"/>
        <w:jc w:val="left"/>
      </w:pPr>
      <w:r>
        <w:rPr>
          <w:rFonts w:ascii="Arial" w:cs="Arial" w:eastAsia="Arial" w:hAnsi="Arial"/>
          <w:b/>
          <w:bCs/>
          <w:color w:val="158F7E"/>
          <w:sz w:val="22"/>
          <w:szCs w:val="22"/>
        </w:rPr>
        <w:t xml:space="preserve">Ce que vous dites :</w:t>
      </w:r>
    </w:p>
    <w:p>
      <w:pPr>
        <w:pStyle w:val="ListParagraph"/>
        <w:numPr>
          <w:ilvl w:val="0"/>
          <w:numId w:val="2"/>
        </w:numPr>
        <w:spacing w:after="40" w:before="40"/>
      </w:pPr>
      <w:r>
        <w:rPr>
          <w:rFonts w:ascii="Arial" w:cs="Arial" w:eastAsia="Arial" w:hAnsi="Arial"/>
          <w:color w:val="1C3838"/>
          <w:sz w:val="21"/>
          <w:szCs w:val="21"/>
        </w:rPr>
        <w:t xml:space="preserve">Laplace Immo est un réseau national d'agences immobilières qui souhaite exploiter les données pour mieux accompagner ses clients et se démarquer de la concurrence.</w:t>
      </w:r>
    </w:p>
    <w:p>
      <w:pPr>
        <w:pStyle w:val="ListParagraph"/>
        <w:numPr>
          <w:ilvl w:val="0"/>
          <w:numId w:val="2"/>
        </w:numPr>
        <w:spacing w:after="40" w:before="40"/>
      </w:pPr>
      <w:r>
        <w:rPr>
          <w:rFonts w:ascii="Arial" w:cs="Arial" w:eastAsia="Arial" w:hAnsi="Arial"/>
          <w:color w:val="1C3838"/>
          <w:sz w:val="21"/>
          <w:szCs w:val="21"/>
        </w:rPr>
        <w:t xml:space="preserve">L'entreprise m'a confié un Proof of Concept — un POC — c'est-à-dire une version réduite et fonctionnelle du projet, pour en valider la faisabilité avant un déploiement complet.</w:t>
      </w:r>
    </w:p>
    <w:p>
      <w:pPr>
        <w:pStyle w:val="ListParagraph"/>
        <w:numPr>
          <w:ilvl w:val="0"/>
          <w:numId w:val="2"/>
        </w:numPr>
        <w:spacing w:after="40" w:before="40"/>
      </w:pPr>
      <w:r>
        <w:rPr>
          <w:rFonts w:ascii="Arial" w:cs="Arial" w:eastAsia="Arial" w:hAnsi="Arial"/>
          <w:color w:val="1C3838"/>
          <w:sz w:val="21"/>
          <w:szCs w:val="21"/>
        </w:rPr>
        <w:t xml:space="preserve">Concrètement, mon rôle était de : comprendre les données disponibles, construire un dictionnaire des données, modéliser un schéma relationnel, créer la base dans SQLite, y charger les données, et enfin répondre aux besoins analytiques via des requêtes SQL.</w:t>
      </w:r>
    </w:p>
    <w:p>
      <w:pPr>
        <w:pStyle w:val="ListParagraph"/>
        <w:numPr>
          <w:ilvl w:val="0"/>
          <w:numId w:val="2"/>
        </w:numPr>
        <w:spacing w:after="40" w:before="40"/>
      </w:pPr>
      <w:r>
        <w:rPr>
          <w:rFonts w:ascii="Arial" w:cs="Arial" w:eastAsia="Arial" w:hAnsi="Arial"/>
          <w:color w:val="1C3838"/>
          <w:sz w:val="21"/>
          <w:szCs w:val="21"/>
        </w:rPr>
        <w:t xml:space="preserve">La source de données est le fichier DVF — Demandes de Valeurs Foncières — publié par l'État, qui recense les transactions immobilières en France. Pour ce POC, nous travaillons sur les données de l'année 2020.</w:t>
      </w:r>
    </w:p>
    <w:p>
      <w:pPr>
        <w:spacing w:after="60" w:before="60"/>
        <w:jc w:val="left"/>
      </w:pPr>
      <w:r>
        <w:rPr>
          <w:rFonts w:ascii="Arial" w:cs="Arial" w:eastAsia="Arial" w:hAnsi="Arial"/>
          <w:b w:val="false"/>
          <w:bCs w:val="false"/>
          <w:color w:val="1C3838"/>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C8E0DE" w:sz="1"/>
              <w:left w:val="single" w:color="C8E0DE" w:sz="1"/>
              <w:bottom w:val="single" w:color="C8E0DE" w:sz="1"/>
              <w:right w:val="single" w:color="C8E0DE" w:sz="1"/>
            </w:tcBorders>
            <w:shd w:fill="158F7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Timing</w:t>
            </w:r>
          </w:p>
        </w:tc>
        <w:tc>
          <w:tcPr>
            <w:tcW w:type="dxa" w:w="7826"/>
            <w:tcBorders>
              <w:top w:val="single" w:color="C8E0DE" w:sz="1"/>
              <w:left w:val="single" w:color="C8E0DE" w:sz="1"/>
              <w:bottom w:val="single" w:color="C8E0DE" w:sz="1"/>
              <w:right w:val="single" w:color="C8E0DE" w:sz="1"/>
            </w:tcBorders>
            <w:shd w:fill="F0FAFA" w:val="clear"/>
            <w:tcMar>
              <w:top w:type="dxa" w:w="80"/>
              <w:left w:type="dxa" w:w="160"/>
              <w:bottom w:type="dxa" w:w="80"/>
              <w:right w:type="dxa" w:w="120"/>
            </w:tcMar>
          </w:tcPr>
          <w:p>
            <w:r>
              <w:rPr>
                <w:rFonts w:ascii="Arial" w:cs="Arial" w:eastAsia="Arial" w:hAnsi="Arial"/>
                <w:color w:val="1C3838"/>
                <w:sz w:val="21"/>
                <w:szCs w:val="21"/>
              </w:rPr>
              <w:t xml:space="preserve">~1 minute. Insistez sur la notion de POC si votre évaluateur vous la pose.</w:t>
            </w:r>
          </w:p>
        </w:tc>
      </w:tr>
    </w:tbl>
    <w:p>
      <w:pPr>
        <w:pBdr>
          <w:bottom w:val="single" w:color="158F7E" w:sz="8"/>
        </w:pBdr>
        <w:spacing w:after="120" w:before="320"/>
      </w:pPr>
      <w:r>
        <w:rPr>
          <w:rFonts w:ascii="Arial" w:cs="Arial" w:eastAsia="Arial" w:hAnsi="Arial"/>
          <w:b/>
          <w:bCs/>
          <w:color w:val="FFFFFF"/>
          <w:sz w:val="20"/>
          <w:szCs w:val="20"/>
          <w:shd w:fill="158F7E" w:val="clear"/>
        </w:rPr>
        <w:t xml:space="preserve">Diapositive 3  </w:t>
      </w:r>
      <w:r>
        <w:rPr>
          <w:rFonts w:ascii="Arial" w:cs="Arial" w:eastAsia="Arial" w:hAnsi="Arial"/>
          <w:b/>
          <w:bCs/>
          <w:color w:val="158F7E"/>
          <w:sz w:val="22"/>
          <w:szCs w:val="22"/>
        </w:rPr>
        <w:t xml:space="preserve">  Transformation des données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C8E0DE" w:sz="1"/>
              <w:left w:val="single" w:color="C8E0DE" w:sz="1"/>
              <w:bottom w:val="single" w:color="C8E0DE" w:sz="1"/>
              <w:right w:val="single" w:color="C8E0DE" w:sz="1"/>
            </w:tcBorders>
            <w:shd w:fill="158F7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Objectif</w:t>
            </w:r>
          </w:p>
        </w:tc>
        <w:tc>
          <w:tcPr>
            <w:tcW w:type="dxa" w:w="7826"/>
            <w:tcBorders>
              <w:top w:val="single" w:color="C8E0DE" w:sz="1"/>
              <w:left w:val="single" w:color="C8E0DE" w:sz="1"/>
              <w:bottom w:val="single" w:color="C8E0DE" w:sz="1"/>
              <w:right w:val="single" w:color="C8E0DE" w:sz="1"/>
            </w:tcBorders>
            <w:shd w:fill="F0FAFA" w:val="clear"/>
            <w:tcMar>
              <w:top w:type="dxa" w:w="80"/>
              <w:left w:type="dxa" w:w="160"/>
              <w:bottom w:type="dxa" w:w="80"/>
              <w:right w:type="dxa" w:w="120"/>
            </w:tcMar>
          </w:tcPr>
          <w:p>
            <w:r>
              <w:rPr>
                <w:rFonts w:ascii="Arial" w:cs="Arial" w:eastAsia="Arial" w:hAnsi="Arial"/>
                <w:color w:val="1C3838"/>
                <w:sz w:val="21"/>
                <w:szCs w:val="21"/>
              </w:rPr>
              <w:t xml:space="preserve">Justifier les choix de colonnes conservées et supprimées, notamment pour le RGPD.</w:t>
            </w:r>
          </w:p>
        </w:tc>
      </w:tr>
    </w:tbl>
    <w:p>
      <w:pPr>
        <w:spacing w:after="60" w:before="60"/>
        <w:jc w:val="left"/>
      </w:pPr>
      <w:r>
        <w:rPr>
          <w:rFonts w:ascii="Arial" w:cs="Arial" w:eastAsia="Arial" w:hAnsi="Arial"/>
          <w:b w:val="false"/>
          <w:bCs w:val="false"/>
          <w:color w:val="1C3838"/>
          <w:sz w:val="22"/>
          <w:szCs w:val="22"/>
        </w:rPr>
        <w:t xml:space="preserve"/>
      </w:r>
    </w:p>
    <w:p>
      <w:pPr>
        <w:spacing w:after="80" w:before="120"/>
        <w:jc w:val="left"/>
      </w:pPr>
      <w:r>
        <w:rPr>
          <w:rFonts w:ascii="Arial" w:cs="Arial" w:eastAsia="Arial" w:hAnsi="Arial"/>
          <w:b/>
          <w:bCs/>
          <w:color w:val="158F7E"/>
          <w:sz w:val="22"/>
          <w:szCs w:val="22"/>
        </w:rPr>
        <w:t xml:space="preserve">Ce que vous dites :</w:t>
      </w:r>
    </w:p>
    <w:p>
      <w:pPr>
        <w:pStyle w:val="ListParagraph"/>
        <w:numPr>
          <w:ilvl w:val="0"/>
          <w:numId w:val="2"/>
        </w:numPr>
        <w:spacing w:after="40" w:before="40"/>
      </w:pPr>
      <w:r>
        <w:rPr>
          <w:rFonts w:ascii="Arial" w:cs="Arial" w:eastAsia="Arial" w:hAnsi="Arial"/>
          <w:color w:val="1C3838"/>
          <w:sz w:val="21"/>
          <w:szCs w:val="21"/>
        </w:rPr>
        <w:t xml:space="preserve">Avant de créer la base de données, j'ai analysé le fichier DVF pour identifier les colonnes utiles.</w:t>
      </w:r>
    </w:p>
    <w:p>
      <w:pPr>
        <w:pStyle w:val="ListParagraph"/>
        <w:numPr>
          <w:ilvl w:val="0"/>
          <w:numId w:val="2"/>
        </w:numPr>
        <w:spacing w:after="40" w:before="40"/>
      </w:pPr>
      <w:r>
        <w:rPr>
          <w:rFonts w:ascii="Arial" w:cs="Arial" w:eastAsia="Arial" w:hAnsi="Arial"/>
          <w:color w:val="1C3838"/>
          <w:sz w:val="21"/>
          <w:szCs w:val="21"/>
        </w:rPr>
        <w:t xml:space="preserve">J'ai conservé les données essentielles à l'analyse : les caractéristiques du bien (surface, type, nombre de pièces), la localisation (commune, département, région) et les données de transaction (date, valeur foncière).</w:t>
      </w:r>
    </w:p>
    <w:p>
      <w:pPr>
        <w:pStyle w:val="ListParagraph"/>
        <w:numPr>
          <w:ilvl w:val="0"/>
          <w:numId w:val="2"/>
        </w:numPr>
        <w:spacing w:after="40" w:before="40"/>
      </w:pPr>
      <w:r>
        <w:rPr>
          <w:rFonts w:ascii="Arial" w:cs="Arial" w:eastAsia="Arial" w:hAnsi="Arial"/>
          <w:color w:val="1C3838"/>
          <w:sz w:val="21"/>
          <w:szCs w:val="21"/>
        </w:rPr>
        <w:t xml:space="preserve">J'ai supprimé les colonnes d'adresse détaillée — numéro de voie, nom de la voie — pour deux raisons : elles constituent des données personnelles au sens du RGPD, et elles ne sont pas nécessaires pour répondre aux besoins analytiques de l'entreprise.</w:t>
      </w:r>
    </w:p>
    <w:p>
      <w:pPr>
        <w:pStyle w:val="ListParagraph"/>
        <w:numPr>
          <w:ilvl w:val="0"/>
          <w:numId w:val="2"/>
        </w:numPr>
        <w:spacing w:after="40" w:before="40"/>
      </w:pPr>
      <w:r>
        <w:rPr>
          <w:rFonts w:ascii="Arial" w:cs="Arial" w:eastAsia="Arial" w:hAnsi="Arial"/>
          <w:color w:val="1C3838"/>
          <w:sz w:val="21"/>
          <w:szCs w:val="21"/>
        </w:rPr>
        <w:t xml:space="preserve">J'ai également supprimé les colonnes redondantes : Code_commune est déjà inclus dans la clé concaténée id_codedep_codecommune, et Code_postal est redondant avec Code_departement dans le cadre de ce POC.</w:t>
      </w:r>
    </w:p>
    <w:p>
      <w:pPr>
        <w:pStyle w:val="ListParagraph"/>
        <w:numPr>
          <w:ilvl w:val="0"/>
          <w:numId w:val="2"/>
        </w:numPr>
        <w:spacing w:after="40" w:before="40"/>
      </w:pPr>
      <w:r>
        <w:rPr>
          <w:rFonts w:ascii="Arial" w:cs="Arial" w:eastAsia="Arial" w:hAnsi="Arial"/>
          <w:color w:val="1C3838"/>
          <w:sz w:val="21"/>
          <w:szCs w:val="21"/>
        </w:rPr>
        <w:t xml:space="preserve">Le champ BTQ — bis, ter, quater — a été exclu car il est renseigné dans moins de 1% des lignes.</w:t>
      </w:r>
    </w:p>
    <w:p>
      <w:pPr>
        <w:spacing w:after="60" w:before="60"/>
        <w:jc w:val="left"/>
      </w:pPr>
      <w:r>
        <w:rPr>
          <w:rFonts w:ascii="Arial" w:cs="Arial" w:eastAsia="Arial" w:hAnsi="Arial"/>
          <w:b w:val="false"/>
          <w:bCs w:val="false"/>
          <w:color w:val="1C3838"/>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C8E0DE" w:sz="1"/>
              <w:left w:val="single" w:color="C8E0DE" w:sz="1"/>
              <w:bottom w:val="single" w:color="C8E0DE" w:sz="1"/>
              <w:right w:val="single" w:color="C8E0DE" w:sz="1"/>
            </w:tcBorders>
            <w:shd w:fill="158F7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Point clé</w:t>
            </w:r>
          </w:p>
        </w:tc>
        <w:tc>
          <w:tcPr>
            <w:tcW w:type="dxa" w:w="7826"/>
            <w:tcBorders>
              <w:top w:val="single" w:color="C8E0DE" w:sz="1"/>
              <w:left w:val="single" w:color="C8E0DE" w:sz="1"/>
              <w:bottom w:val="single" w:color="C8E0DE" w:sz="1"/>
              <w:right w:val="single" w:color="C8E0DE" w:sz="1"/>
            </w:tcBorders>
            <w:shd w:fill="F0FAFA" w:val="clear"/>
            <w:tcMar>
              <w:top w:type="dxa" w:w="80"/>
              <w:left w:type="dxa" w:w="160"/>
              <w:bottom w:type="dxa" w:w="80"/>
              <w:right w:type="dxa" w:w="120"/>
            </w:tcMar>
          </w:tcPr>
          <w:p>
            <w:r>
              <w:rPr>
                <w:rFonts w:ascii="Arial" w:cs="Arial" w:eastAsia="Arial" w:hAnsi="Arial"/>
                <w:color w:val="1C3838"/>
                <w:sz w:val="21"/>
                <w:szCs w:val="21"/>
              </w:rPr>
              <w:t xml:space="preserve">Vous devez pouvoir justifier chaque suppression. Préparez-vous à la question : « Pourquoi avez-vous supprimé X ? »</w:t>
            </w:r>
          </w:p>
        </w:tc>
      </w:tr>
    </w:tbl>
    <w:p>
      <w:pPr>
        <w:pBdr>
          <w:bottom w:val="single" w:color="158F7E" w:sz="8"/>
        </w:pBdr>
        <w:spacing w:after="120" w:before="320"/>
      </w:pPr>
      <w:r>
        <w:rPr>
          <w:rFonts w:ascii="Arial" w:cs="Arial" w:eastAsia="Arial" w:hAnsi="Arial"/>
          <w:b/>
          <w:bCs/>
          <w:color w:val="FFFFFF"/>
          <w:sz w:val="20"/>
          <w:szCs w:val="20"/>
          <w:shd w:fill="158F7E" w:val="clear"/>
        </w:rPr>
        <w:t xml:space="preserve">Diapositive 4  </w:t>
      </w:r>
      <w:r>
        <w:rPr>
          <w:rFonts w:ascii="Arial" w:cs="Arial" w:eastAsia="Arial" w:hAnsi="Arial"/>
          <w:b/>
          <w:bCs/>
          <w:color w:val="158F7E"/>
          <w:sz w:val="22"/>
          <w:szCs w:val="22"/>
        </w:rPr>
        <w:t xml:space="preserve">  Extrait du dictionnaire des données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C8E0DE" w:sz="1"/>
              <w:left w:val="single" w:color="C8E0DE" w:sz="1"/>
              <w:bottom w:val="single" w:color="C8E0DE" w:sz="1"/>
              <w:right w:val="single" w:color="C8E0DE" w:sz="1"/>
            </w:tcBorders>
            <w:shd w:fill="158F7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Objectif</w:t>
            </w:r>
          </w:p>
        </w:tc>
        <w:tc>
          <w:tcPr>
            <w:tcW w:type="dxa" w:w="7826"/>
            <w:tcBorders>
              <w:top w:val="single" w:color="C8E0DE" w:sz="1"/>
              <w:left w:val="single" w:color="C8E0DE" w:sz="1"/>
              <w:bottom w:val="single" w:color="C8E0DE" w:sz="1"/>
              <w:right w:val="single" w:color="C8E0DE" w:sz="1"/>
            </w:tcBorders>
            <w:shd w:fill="F0FAFA" w:val="clear"/>
            <w:tcMar>
              <w:top w:type="dxa" w:w="80"/>
              <w:left w:type="dxa" w:w="160"/>
              <w:bottom w:type="dxa" w:w="80"/>
              <w:right w:type="dxa" w:w="120"/>
            </w:tcMar>
          </w:tcPr>
          <w:p>
            <w:r>
              <w:rPr>
                <w:rFonts w:ascii="Arial" w:cs="Arial" w:eastAsia="Arial" w:hAnsi="Arial"/>
                <w:color w:val="1C3838"/>
                <w:sz w:val="21"/>
                <w:szCs w:val="21"/>
              </w:rPr>
              <w:t xml:space="preserve">Montrer que le dictionnaire est complet, structuré et conforme aux exigences.</w:t>
            </w:r>
          </w:p>
        </w:tc>
      </w:tr>
    </w:tbl>
    <w:p>
      <w:pPr>
        <w:spacing w:after="60" w:before="60"/>
        <w:jc w:val="left"/>
      </w:pPr>
      <w:r>
        <w:rPr>
          <w:rFonts w:ascii="Arial" w:cs="Arial" w:eastAsia="Arial" w:hAnsi="Arial"/>
          <w:b w:val="false"/>
          <w:bCs w:val="false"/>
          <w:color w:val="1C3838"/>
          <w:sz w:val="22"/>
          <w:szCs w:val="22"/>
        </w:rPr>
        <w:t xml:space="preserve"/>
      </w:r>
    </w:p>
    <w:p>
      <w:pPr>
        <w:spacing w:after="80" w:before="120"/>
        <w:jc w:val="left"/>
      </w:pPr>
      <w:r>
        <w:rPr>
          <w:rFonts w:ascii="Arial" w:cs="Arial" w:eastAsia="Arial" w:hAnsi="Arial"/>
          <w:b/>
          <w:bCs/>
          <w:color w:val="158F7E"/>
          <w:sz w:val="22"/>
          <w:szCs w:val="22"/>
        </w:rPr>
        <w:t xml:space="preserve">Ce que vous dites :</w:t>
      </w:r>
    </w:p>
    <w:p>
      <w:pPr>
        <w:pStyle w:val="ListParagraph"/>
        <w:numPr>
          <w:ilvl w:val="0"/>
          <w:numId w:val="2"/>
        </w:numPr>
        <w:spacing w:after="40" w:before="40"/>
      </w:pPr>
      <w:r>
        <w:rPr>
          <w:rFonts w:ascii="Arial" w:cs="Arial" w:eastAsia="Arial" w:hAnsi="Arial"/>
          <w:color w:val="1C3838"/>
          <w:sz w:val="21"/>
          <w:szCs w:val="21"/>
        </w:rPr>
        <w:t xml:space="preserve">Le dictionnaire des données est le premier livrable du projet. Il est structuré en trois feuilles correspondant aux trois catégories de données.</w:t>
      </w:r>
    </w:p>
    <w:p>
      <w:pPr>
        <w:pStyle w:val="ListParagraph"/>
        <w:numPr>
          <w:ilvl w:val="0"/>
          <w:numId w:val="2"/>
        </w:numPr>
        <w:spacing w:after="40" w:before="40"/>
      </w:pPr>
      <w:r>
        <w:rPr>
          <w:rFonts w:ascii="Arial" w:cs="Arial" w:eastAsia="Arial" w:hAnsi="Arial"/>
          <w:color w:val="1C3838"/>
          <w:sz w:val="21"/>
          <w:szCs w:val="21"/>
        </w:rPr>
        <w:t xml:space="preserve">La feuille 1 — Valeurs foncières — regroupe toutes les colonnes issues du fichier DVF : les attributs du bien immobilier et les données de transaction.</w:t>
      </w:r>
    </w:p>
    <w:p>
      <w:pPr>
        <w:pStyle w:val="ListParagraph"/>
        <w:numPr>
          <w:ilvl w:val="0"/>
          <w:numId w:val="2"/>
        </w:numPr>
        <w:spacing w:after="40" w:before="40"/>
      </w:pPr>
      <w:r>
        <w:rPr>
          <w:rFonts w:ascii="Arial" w:cs="Arial" w:eastAsia="Arial" w:hAnsi="Arial"/>
          <w:color w:val="1C3838"/>
          <w:sz w:val="21"/>
          <w:szCs w:val="21"/>
        </w:rPr>
        <w:t xml:space="preserve">La feuille 2 — Référentiel géographique — que vous voyez ici, documente les tables region et commune. On y retrouve pour chaque variable : le code, la signification, le type, la longueur, la nature, la règle de gestion et la règle de calcul.</w:t>
      </w:r>
    </w:p>
    <w:p>
      <w:pPr>
        <w:pStyle w:val="ListParagraph"/>
        <w:numPr>
          <w:ilvl w:val="0"/>
          <w:numId w:val="2"/>
        </w:numPr>
        <w:spacing w:after="40" w:before="40"/>
      </w:pPr>
      <w:r>
        <w:rPr>
          <w:rFonts w:ascii="Arial" w:cs="Arial" w:eastAsia="Arial" w:hAnsi="Arial"/>
          <w:color w:val="1C3838"/>
          <w:sz w:val="21"/>
          <w:szCs w:val="21"/>
        </w:rPr>
        <w:t xml:space="preserve">La feuille 3 — Données communes — documente les données de l'indice de prix du logement.</w:t>
      </w:r>
    </w:p>
    <w:p>
      <w:pPr>
        <w:pStyle w:val="ListParagraph"/>
        <w:numPr>
          <w:ilvl w:val="0"/>
          <w:numId w:val="2"/>
        </w:numPr>
        <w:spacing w:after="40" w:before="40"/>
      </w:pPr>
      <w:r>
        <w:rPr>
          <w:rFonts w:ascii="Arial" w:cs="Arial" w:eastAsia="Arial" w:hAnsi="Arial"/>
          <w:color w:val="1C3838"/>
          <w:sz w:val="21"/>
          <w:szCs w:val="21"/>
        </w:rPr>
        <w:t xml:space="preserve">Chaque variable est décrite avec sa contrainte : NOT NULL pour les clés, les règles de calcul pour les clés concaténées ou auto-incrémentées, et les clés étrangères pour les relations.</w:t>
      </w:r>
    </w:p>
    <w:p>
      <w:pPr>
        <w:spacing w:after="60" w:before="60"/>
        <w:jc w:val="left"/>
      </w:pPr>
      <w:r>
        <w:rPr>
          <w:rFonts w:ascii="Arial" w:cs="Arial" w:eastAsia="Arial" w:hAnsi="Arial"/>
          <w:b w:val="false"/>
          <w:bCs w:val="false"/>
          <w:color w:val="1C3838"/>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C8E0DE" w:sz="1"/>
              <w:left w:val="single" w:color="C8E0DE" w:sz="1"/>
              <w:bottom w:val="single" w:color="C8E0DE" w:sz="1"/>
              <w:right w:val="single" w:color="C8E0DE" w:sz="1"/>
            </w:tcBorders>
            <w:shd w:fill="158F7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Point clé</w:t>
            </w:r>
          </w:p>
        </w:tc>
        <w:tc>
          <w:tcPr>
            <w:tcW w:type="dxa" w:w="7826"/>
            <w:tcBorders>
              <w:top w:val="single" w:color="C8E0DE" w:sz="1"/>
              <w:left w:val="single" w:color="C8E0DE" w:sz="1"/>
              <w:bottom w:val="single" w:color="C8E0DE" w:sz="1"/>
              <w:right w:val="single" w:color="C8E0DE" w:sz="1"/>
            </w:tcBorders>
            <w:shd w:fill="F0FAFA" w:val="clear"/>
            <w:tcMar>
              <w:top w:type="dxa" w:w="80"/>
              <w:left w:type="dxa" w:w="160"/>
              <w:bottom w:type="dxa" w:w="80"/>
              <w:right w:type="dxa" w:w="120"/>
            </w:tcMar>
          </w:tcPr>
          <w:p>
            <w:r>
              <w:rPr>
                <w:rFonts w:ascii="Arial" w:cs="Arial" w:eastAsia="Arial" w:hAnsi="Arial"/>
                <w:color w:val="1C3838"/>
                <w:sz w:val="21"/>
                <w:szCs w:val="21"/>
              </w:rPr>
              <w:t xml:space="preserve">Montrez que vos données sont atomiques — chaque colonne contient une seule valeur indivisible. C'est la 1ère Forme Normale.</w:t>
            </w:r>
          </w:p>
        </w:tc>
      </w:tr>
    </w:tbl>
    <w:p>
      <w:pPr>
        <w:pBdr>
          <w:bottom w:val="single" w:color="158F7E" w:sz="8"/>
        </w:pBdr>
        <w:spacing w:after="120" w:before="320"/>
      </w:pPr>
      <w:r>
        <w:rPr>
          <w:rFonts w:ascii="Arial" w:cs="Arial" w:eastAsia="Arial" w:hAnsi="Arial"/>
          <w:b/>
          <w:bCs/>
          <w:color w:val="FFFFFF"/>
          <w:sz w:val="20"/>
          <w:szCs w:val="20"/>
          <w:shd w:fill="158F7E" w:val="clear"/>
        </w:rPr>
        <w:t xml:space="preserve">Diapositive 5  </w:t>
      </w:r>
      <w:r>
        <w:rPr>
          <w:rFonts w:ascii="Arial" w:cs="Arial" w:eastAsia="Arial" w:hAnsi="Arial"/>
          <w:b/>
          <w:bCs/>
          <w:color w:val="158F7E"/>
          <w:sz w:val="22"/>
          <w:szCs w:val="22"/>
        </w:rPr>
        <w:t xml:space="preserve">  Schéma relationnel normalisé (3FN)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C8E0DE" w:sz="1"/>
              <w:left w:val="single" w:color="C8E0DE" w:sz="1"/>
              <w:bottom w:val="single" w:color="C8E0DE" w:sz="1"/>
              <w:right w:val="single" w:color="C8E0DE" w:sz="1"/>
            </w:tcBorders>
            <w:shd w:fill="158F7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Objectif</w:t>
            </w:r>
          </w:p>
        </w:tc>
        <w:tc>
          <w:tcPr>
            <w:tcW w:type="dxa" w:w="7826"/>
            <w:tcBorders>
              <w:top w:val="single" w:color="C8E0DE" w:sz="1"/>
              <w:left w:val="single" w:color="C8E0DE" w:sz="1"/>
              <w:bottom w:val="single" w:color="C8E0DE" w:sz="1"/>
              <w:right w:val="single" w:color="C8E0DE" w:sz="1"/>
            </w:tcBorders>
            <w:shd w:fill="F0FAFA" w:val="clear"/>
            <w:tcMar>
              <w:top w:type="dxa" w:w="80"/>
              <w:left w:type="dxa" w:w="160"/>
              <w:bottom w:type="dxa" w:w="80"/>
              <w:right w:type="dxa" w:w="120"/>
            </w:tcMar>
          </w:tcPr>
          <w:p>
            <w:r>
              <w:rPr>
                <w:rFonts w:ascii="Arial" w:cs="Arial" w:eastAsia="Arial" w:hAnsi="Arial"/>
                <w:color w:val="1C3838"/>
                <w:sz w:val="21"/>
                <w:szCs w:val="21"/>
              </w:rPr>
              <w:t xml:space="preserve">Présenter l'architecture de la base et justifier les choix de modélisation.</w:t>
            </w:r>
          </w:p>
        </w:tc>
      </w:tr>
    </w:tbl>
    <w:p>
      <w:pPr>
        <w:spacing w:after="60" w:before="60"/>
        <w:jc w:val="left"/>
      </w:pPr>
      <w:r>
        <w:rPr>
          <w:rFonts w:ascii="Arial" w:cs="Arial" w:eastAsia="Arial" w:hAnsi="Arial"/>
          <w:b w:val="false"/>
          <w:bCs w:val="false"/>
          <w:color w:val="1C3838"/>
          <w:sz w:val="22"/>
          <w:szCs w:val="22"/>
        </w:rPr>
        <w:t xml:space="preserve"/>
      </w:r>
    </w:p>
    <w:p>
      <w:pPr>
        <w:spacing w:after="80" w:before="120"/>
        <w:jc w:val="left"/>
      </w:pPr>
      <w:r>
        <w:rPr>
          <w:rFonts w:ascii="Arial" w:cs="Arial" w:eastAsia="Arial" w:hAnsi="Arial"/>
          <w:b/>
          <w:bCs/>
          <w:color w:val="158F7E"/>
          <w:sz w:val="22"/>
          <w:szCs w:val="22"/>
        </w:rPr>
        <w:t xml:space="preserve">Ce que vous dites :</w:t>
      </w:r>
    </w:p>
    <w:p>
      <w:pPr>
        <w:pStyle w:val="ListParagraph"/>
        <w:numPr>
          <w:ilvl w:val="0"/>
          <w:numId w:val="2"/>
        </w:numPr>
        <w:spacing w:after="40" w:before="40"/>
      </w:pPr>
      <w:r>
        <w:rPr>
          <w:rFonts w:ascii="Arial" w:cs="Arial" w:eastAsia="Arial" w:hAnsi="Arial"/>
          <w:color w:val="1C3838"/>
          <w:sz w:val="21"/>
          <w:szCs w:val="21"/>
        </w:rPr>
        <w:t xml:space="preserve">Le schéma relationnel comporte 4 tables : bien_immo, vente, commune et region.</w:t>
      </w:r>
    </w:p>
    <w:p>
      <w:pPr>
        <w:pStyle w:val="ListParagraph"/>
        <w:numPr>
          <w:ilvl w:val="0"/>
          <w:numId w:val="2"/>
        </w:numPr>
        <w:spacing w:after="40" w:before="40"/>
      </w:pPr>
      <w:r>
        <w:rPr>
          <w:rFonts w:ascii="Arial" w:cs="Arial" w:eastAsia="Arial" w:hAnsi="Arial"/>
          <w:color w:val="1C3838"/>
          <w:sz w:val="21"/>
          <w:szCs w:val="21"/>
        </w:rPr>
        <w:t xml:space="preserve">La table vente est liée à bien_immo par une clé étrangère Id_bien — une vente concerne un bien. La table bien_immo est liée à commune via la clé id_codedep_codecommune. La table commune est liée à region via id_region.</w:t>
      </w:r>
    </w:p>
    <w:p>
      <w:pPr>
        <w:pStyle w:val="ListParagraph"/>
        <w:numPr>
          <w:ilvl w:val="0"/>
          <w:numId w:val="2"/>
        </w:numPr>
        <w:spacing w:after="40" w:before="40"/>
      </w:pPr>
      <w:r>
        <w:rPr>
          <w:rFonts w:ascii="Arial" w:cs="Arial" w:eastAsia="Arial" w:hAnsi="Arial"/>
          <w:color w:val="1C3838"/>
          <w:sz w:val="21"/>
          <w:szCs w:val="21"/>
        </w:rPr>
        <w:t xml:space="preserve">La clé primaire de commune est une clé concaténée : id_codedep_codecommune. Pour Montpellier par exemple, c'est la concaténation de 34 — le département — et 172 — le code commune. Cette clé est unique et naturellement significative.</w:t>
      </w:r>
    </w:p>
    <w:p>
      <w:pPr>
        <w:pStyle w:val="ListParagraph"/>
        <w:numPr>
          <w:ilvl w:val="0"/>
          <w:numId w:val="2"/>
        </w:numPr>
        <w:spacing w:after="40" w:before="40"/>
      </w:pPr>
      <w:r>
        <w:rPr>
          <w:rFonts w:ascii="Arial" w:cs="Arial" w:eastAsia="Arial" w:hAnsi="Arial"/>
          <w:color w:val="1C3838"/>
          <w:sz w:val="21"/>
          <w:szCs w:val="21"/>
        </w:rPr>
        <w:t xml:space="preserve">J'ai créé une table region séparée pour respecter la 3ème Forme Normale : sans elle, nom_region serait une dépendance transitive dans commune — le nom de la région dépend de id_region et non de la clé primaire de commune.</w:t>
      </w:r>
    </w:p>
    <w:p>
      <w:pPr>
        <w:pStyle w:val="ListParagraph"/>
        <w:numPr>
          <w:ilvl w:val="0"/>
          <w:numId w:val="2"/>
        </w:numPr>
        <w:spacing w:after="40" w:before="40"/>
      </w:pPr>
      <w:r>
        <w:rPr>
          <w:rFonts w:ascii="Arial" w:cs="Arial" w:eastAsia="Arial" w:hAnsi="Arial"/>
          <w:color w:val="1C3838"/>
          <w:sz w:val="21"/>
          <w:szCs w:val="21"/>
        </w:rPr>
        <w:t xml:space="preserve">Le schéma respecte donc les trois formes normales : données atomiques, dépendances fonctionnelles directes, et absence de dépendances transitives.</w:t>
      </w:r>
    </w:p>
    <w:p>
      <w:pPr>
        <w:spacing w:after="60" w:before="60"/>
        <w:jc w:val="left"/>
      </w:pPr>
      <w:r>
        <w:rPr>
          <w:rFonts w:ascii="Arial" w:cs="Arial" w:eastAsia="Arial" w:hAnsi="Arial"/>
          <w:b w:val="false"/>
          <w:bCs w:val="false"/>
          <w:color w:val="1C3838"/>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C8E0DE" w:sz="1"/>
              <w:left w:val="single" w:color="C8E0DE" w:sz="1"/>
              <w:bottom w:val="single" w:color="C8E0DE" w:sz="1"/>
              <w:right w:val="single" w:color="C8E0DE" w:sz="1"/>
            </w:tcBorders>
            <w:shd w:fill="158F7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Point clé</w:t>
            </w:r>
          </w:p>
        </w:tc>
        <w:tc>
          <w:tcPr>
            <w:tcW w:type="dxa" w:w="7826"/>
            <w:tcBorders>
              <w:top w:val="single" w:color="C8E0DE" w:sz="1"/>
              <w:left w:val="single" w:color="C8E0DE" w:sz="1"/>
              <w:bottom w:val="single" w:color="C8E0DE" w:sz="1"/>
              <w:right w:val="single" w:color="C8E0DE" w:sz="1"/>
            </w:tcBorders>
            <w:shd w:fill="F0FAFA" w:val="clear"/>
            <w:tcMar>
              <w:top w:type="dxa" w:w="80"/>
              <w:left w:type="dxa" w:w="160"/>
              <w:bottom w:type="dxa" w:w="80"/>
              <w:right w:type="dxa" w:w="120"/>
            </w:tcMar>
          </w:tcPr>
          <w:p>
            <w:r>
              <w:rPr>
                <w:rFonts w:ascii="Arial" w:cs="Arial" w:eastAsia="Arial" w:hAnsi="Arial"/>
                <w:color w:val="1C3838"/>
                <w:sz w:val="21"/>
                <w:szCs w:val="21"/>
              </w:rPr>
              <w:t xml:space="preserve">Préparez la définition de la 3NF en une phrase : « Une table est en 3NF si chaque attribut non-clé dépend directement et uniquement de la clé primaire. »</w:t>
            </w:r>
          </w:p>
        </w:tc>
      </w:tr>
    </w:tbl>
    <w:p>
      <w:pPr>
        <w:pBdr>
          <w:bottom w:val="single" w:color="158F7E" w:sz="8"/>
        </w:pBdr>
        <w:spacing w:after="120" w:before="320"/>
      </w:pPr>
      <w:r>
        <w:rPr>
          <w:rFonts w:ascii="Arial" w:cs="Arial" w:eastAsia="Arial" w:hAnsi="Arial"/>
          <w:b/>
          <w:bCs/>
          <w:color w:val="FFFFFF"/>
          <w:sz w:val="20"/>
          <w:szCs w:val="20"/>
          <w:shd w:fill="158F7E" w:val="clear"/>
        </w:rPr>
        <w:t xml:space="preserve">Diapositive 6  </w:t>
      </w:r>
      <w:r>
        <w:rPr>
          <w:rFonts w:ascii="Arial" w:cs="Arial" w:eastAsia="Arial" w:hAnsi="Arial"/>
          <w:b/>
          <w:bCs/>
          <w:color w:val="158F7E"/>
          <w:sz w:val="22"/>
          <w:szCs w:val="22"/>
        </w:rPr>
        <w:t xml:space="preserve">  Base de données — Structure dans SQLiteStudio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C8E0DE" w:sz="1"/>
              <w:left w:val="single" w:color="C8E0DE" w:sz="1"/>
              <w:bottom w:val="single" w:color="C8E0DE" w:sz="1"/>
              <w:right w:val="single" w:color="C8E0DE" w:sz="1"/>
            </w:tcBorders>
            <w:shd w:fill="158F7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Objectif</w:t>
            </w:r>
          </w:p>
        </w:tc>
        <w:tc>
          <w:tcPr>
            <w:tcW w:type="dxa" w:w="7826"/>
            <w:tcBorders>
              <w:top w:val="single" w:color="C8E0DE" w:sz="1"/>
              <w:left w:val="single" w:color="C8E0DE" w:sz="1"/>
              <w:bottom w:val="single" w:color="C8E0DE" w:sz="1"/>
              <w:right w:val="single" w:color="C8E0DE" w:sz="1"/>
            </w:tcBorders>
            <w:shd w:fill="F0FAFA" w:val="clear"/>
            <w:tcMar>
              <w:top w:type="dxa" w:w="80"/>
              <w:left w:type="dxa" w:w="160"/>
              <w:bottom w:type="dxa" w:w="80"/>
              <w:right w:type="dxa" w:w="120"/>
            </w:tcMar>
          </w:tcPr>
          <w:p>
            <w:r>
              <w:rPr>
                <w:rFonts w:ascii="Arial" w:cs="Arial" w:eastAsia="Arial" w:hAnsi="Arial"/>
                <w:color w:val="1C3838"/>
                <w:sz w:val="21"/>
                <w:szCs w:val="21"/>
              </w:rPr>
              <w:t xml:space="preserve">Montrer que la base a été correctement créée avec toutes les contraintes.</w:t>
            </w:r>
          </w:p>
        </w:tc>
      </w:tr>
    </w:tbl>
    <w:p>
      <w:pPr>
        <w:spacing w:after="60" w:before="60"/>
        <w:jc w:val="left"/>
      </w:pPr>
      <w:r>
        <w:rPr>
          <w:rFonts w:ascii="Arial" w:cs="Arial" w:eastAsia="Arial" w:hAnsi="Arial"/>
          <w:b w:val="false"/>
          <w:bCs w:val="false"/>
          <w:color w:val="1C3838"/>
          <w:sz w:val="22"/>
          <w:szCs w:val="22"/>
        </w:rPr>
        <w:t xml:space="preserve"/>
      </w:r>
    </w:p>
    <w:p>
      <w:pPr>
        <w:spacing w:after="80" w:before="120"/>
        <w:jc w:val="left"/>
      </w:pPr>
      <w:r>
        <w:rPr>
          <w:rFonts w:ascii="Arial" w:cs="Arial" w:eastAsia="Arial" w:hAnsi="Arial"/>
          <w:b/>
          <w:bCs/>
          <w:color w:val="158F7E"/>
          <w:sz w:val="22"/>
          <w:szCs w:val="22"/>
        </w:rPr>
        <w:t xml:space="preserve">Ce que vous dites :</w:t>
      </w:r>
    </w:p>
    <w:p>
      <w:pPr>
        <w:pStyle w:val="ListParagraph"/>
        <w:numPr>
          <w:ilvl w:val="0"/>
          <w:numId w:val="2"/>
        </w:numPr>
        <w:spacing w:after="40" w:before="40"/>
      </w:pPr>
      <w:r>
        <w:rPr>
          <w:rFonts w:ascii="Arial" w:cs="Arial" w:eastAsia="Arial" w:hAnsi="Arial"/>
          <w:color w:val="1C3838"/>
          <w:sz w:val="21"/>
          <w:szCs w:val="21"/>
        </w:rPr>
        <w:t xml:space="preserve">Voici la base de données DataImmo telle qu'elle apparaît dans SQLiteStudio. À gauche, l'arborescence confirme la présence des 4 tables avec leurs colonnes respectives.</w:t>
      </w:r>
    </w:p>
    <w:p>
      <w:pPr>
        <w:pStyle w:val="ListParagraph"/>
        <w:numPr>
          <w:ilvl w:val="0"/>
          <w:numId w:val="2"/>
        </w:numPr>
        <w:spacing w:after="40" w:before="40"/>
      </w:pPr>
      <w:r>
        <w:rPr>
          <w:rFonts w:ascii="Arial" w:cs="Arial" w:eastAsia="Arial" w:hAnsi="Arial"/>
          <w:color w:val="1C3838"/>
          <w:sz w:val="21"/>
          <w:szCs w:val="21"/>
        </w:rPr>
        <w:t xml:space="preserve">À droite, le code SQL de création des tables. On peut y vérifier : les types de données, les contraintes PRIMARY KEY et NOT NULL, et les clauses FOREIGN KEY qui garantissent l'intégrité référentielle.</w:t>
      </w:r>
    </w:p>
    <w:p>
      <w:pPr>
        <w:pStyle w:val="ListParagraph"/>
        <w:numPr>
          <w:ilvl w:val="0"/>
          <w:numId w:val="2"/>
        </w:numPr>
        <w:spacing w:after="40" w:before="40"/>
      </w:pPr>
      <w:r>
        <w:rPr>
          <w:rFonts w:ascii="Arial" w:cs="Arial" w:eastAsia="Arial" w:hAnsi="Arial"/>
          <w:color w:val="1C3838"/>
          <w:sz w:val="21"/>
          <w:szCs w:val="21"/>
        </w:rPr>
        <w:t xml:space="preserve">Les données ont été importées depuis des fichiers CSV générés à partir du fichier Excel DVF. L'ordre d'import est important : il faut charger region en premier, puis commune, puis bien_immo, puis vente — en respectant les dépendances des clés étrangères.</w:t>
      </w:r>
    </w:p>
    <w:p>
      <w:pPr>
        <w:spacing w:after="60" w:before="60"/>
        <w:jc w:val="left"/>
      </w:pPr>
      <w:r>
        <w:rPr>
          <w:rFonts w:ascii="Arial" w:cs="Arial" w:eastAsia="Arial" w:hAnsi="Arial"/>
          <w:b w:val="false"/>
          <w:bCs w:val="false"/>
          <w:color w:val="1C3838"/>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C8E0DE" w:sz="1"/>
              <w:left w:val="single" w:color="C8E0DE" w:sz="1"/>
              <w:bottom w:val="single" w:color="C8E0DE" w:sz="1"/>
              <w:right w:val="single" w:color="C8E0DE" w:sz="1"/>
            </w:tcBorders>
            <w:shd w:fill="158F7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Point clé</w:t>
            </w:r>
          </w:p>
        </w:tc>
        <w:tc>
          <w:tcPr>
            <w:tcW w:type="dxa" w:w="7826"/>
            <w:tcBorders>
              <w:top w:val="single" w:color="C8E0DE" w:sz="1"/>
              <w:left w:val="single" w:color="C8E0DE" w:sz="1"/>
              <w:bottom w:val="single" w:color="C8E0DE" w:sz="1"/>
              <w:right w:val="single" w:color="C8E0DE" w:sz="1"/>
            </w:tcBorders>
            <w:shd w:fill="F0FAFA" w:val="clear"/>
            <w:tcMar>
              <w:top w:type="dxa" w:w="80"/>
              <w:left w:type="dxa" w:w="160"/>
              <w:bottom w:type="dxa" w:w="80"/>
              <w:right w:type="dxa" w:w="120"/>
            </w:tcMar>
          </w:tcPr>
          <w:p>
            <w:r>
              <w:rPr>
                <w:rFonts w:ascii="Arial" w:cs="Arial" w:eastAsia="Arial" w:hAnsi="Arial"/>
                <w:color w:val="1C3838"/>
                <w:sz w:val="21"/>
                <w:szCs w:val="21"/>
              </w:rPr>
              <w:t xml:space="preserve">Si on vous demande « comment avez-vous vérifié l'intégrité ? » : répondez que SQLiteStudio impose les FK lors de l'import et génère une erreur si elles ne sont pas respectées.</w:t>
            </w:r>
          </w:p>
        </w:tc>
      </w:tr>
    </w:tbl>
    <w:p>
      <w:pPr>
        <w:pBdr>
          <w:bottom w:val="single" w:color="158F7E" w:sz="8"/>
        </w:pBdr>
        <w:spacing w:after="120" w:before="320"/>
      </w:pPr>
      <w:r>
        <w:rPr>
          <w:rFonts w:ascii="Arial" w:cs="Arial" w:eastAsia="Arial" w:hAnsi="Arial"/>
          <w:b/>
          <w:bCs/>
          <w:color w:val="FFFFFF"/>
          <w:sz w:val="20"/>
          <w:szCs w:val="20"/>
          <w:shd w:fill="158F7E" w:val="clear"/>
        </w:rPr>
        <w:t xml:space="preserve">Diapositive 7  </w:t>
      </w:r>
      <w:r>
        <w:rPr>
          <w:rFonts w:ascii="Arial" w:cs="Arial" w:eastAsia="Arial" w:hAnsi="Arial"/>
          <w:b/>
          <w:bCs/>
          <w:color w:val="158F7E"/>
          <w:sz w:val="22"/>
          <w:szCs w:val="22"/>
        </w:rPr>
        <w:t xml:space="preserve">  Table region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C8E0DE" w:sz="1"/>
              <w:left w:val="single" w:color="C8E0DE" w:sz="1"/>
              <w:bottom w:val="single" w:color="C8E0DE" w:sz="1"/>
              <w:right w:val="single" w:color="C8E0DE" w:sz="1"/>
            </w:tcBorders>
            <w:shd w:fill="158F7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Objectif</w:t>
            </w:r>
          </w:p>
        </w:tc>
        <w:tc>
          <w:tcPr>
            <w:tcW w:type="dxa" w:w="7826"/>
            <w:tcBorders>
              <w:top w:val="single" w:color="C8E0DE" w:sz="1"/>
              <w:left w:val="single" w:color="C8E0DE" w:sz="1"/>
              <w:bottom w:val="single" w:color="C8E0DE" w:sz="1"/>
              <w:right w:val="single" w:color="C8E0DE" w:sz="1"/>
            </w:tcBorders>
            <w:shd w:fill="F0FAFA" w:val="clear"/>
            <w:tcMar>
              <w:top w:type="dxa" w:w="80"/>
              <w:left w:type="dxa" w:w="160"/>
              <w:bottom w:type="dxa" w:w="80"/>
              <w:right w:type="dxa" w:w="120"/>
            </w:tcMar>
          </w:tcPr>
          <w:p>
            <w:r>
              <w:rPr>
                <w:rFonts w:ascii="Arial" w:cs="Arial" w:eastAsia="Arial" w:hAnsi="Arial"/>
                <w:color w:val="1C3838"/>
                <w:sz w:val="21"/>
                <w:szCs w:val="21"/>
              </w:rPr>
              <w:t xml:space="preserve">Valider le chargement des données et commenter la table.</w:t>
            </w:r>
          </w:p>
        </w:tc>
      </w:tr>
    </w:tbl>
    <w:p>
      <w:pPr>
        <w:spacing w:after="60" w:before="60"/>
        <w:jc w:val="left"/>
      </w:pPr>
      <w:r>
        <w:rPr>
          <w:rFonts w:ascii="Arial" w:cs="Arial" w:eastAsia="Arial" w:hAnsi="Arial"/>
          <w:b w:val="false"/>
          <w:bCs w:val="false"/>
          <w:color w:val="1C3838"/>
          <w:sz w:val="22"/>
          <w:szCs w:val="22"/>
        </w:rPr>
        <w:t xml:space="preserve"/>
      </w:r>
    </w:p>
    <w:p>
      <w:pPr>
        <w:spacing w:after="80" w:before="120"/>
        <w:jc w:val="left"/>
      </w:pPr>
      <w:r>
        <w:rPr>
          <w:rFonts w:ascii="Arial" w:cs="Arial" w:eastAsia="Arial" w:hAnsi="Arial"/>
          <w:b/>
          <w:bCs/>
          <w:color w:val="158F7E"/>
          <w:sz w:val="22"/>
          <w:szCs w:val="22"/>
        </w:rPr>
        <w:t xml:space="preserve">Ce que vous dites :</w:t>
      </w:r>
    </w:p>
    <w:p>
      <w:pPr>
        <w:pStyle w:val="ListParagraph"/>
        <w:numPr>
          <w:ilvl w:val="0"/>
          <w:numId w:val="2"/>
        </w:numPr>
        <w:spacing w:after="40" w:before="40"/>
      </w:pPr>
      <w:r>
        <w:rPr>
          <w:rFonts w:ascii="Arial" w:cs="Arial" w:eastAsia="Arial" w:hAnsi="Arial"/>
          <w:color w:val="1C3838"/>
          <w:sz w:val="21"/>
          <w:szCs w:val="21"/>
        </w:rPr>
        <w:t xml:space="preserve">La table region contient 14 lignes, correspondant aux 14 régions présentes dans le jeu de données. La clé primaire id_region est auto-incrémentée. On retrouve les régions métropolitaines ainsi que La Réunion et la Martinique.</w:t>
      </w:r>
    </w:p>
    <w:p>
      <w:pPr>
        <w:pStyle w:val="ListParagraph"/>
        <w:numPr>
          <w:ilvl w:val="0"/>
          <w:numId w:val="2"/>
        </w:numPr>
        <w:spacing w:after="40" w:before="40"/>
      </w:pPr>
      <w:r>
        <w:rPr>
          <w:rFonts w:ascii="Arial" w:cs="Arial" w:eastAsia="Arial" w:hAnsi="Arial"/>
          <w:color w:val="1C3838"/>
          <w:sz w:val="21"/>
          <w:szCs w:val="21"/>
        </w:rPr>
        <w:t xml:space="preserve">Cette table justifie la 3NF : en séparant le nom de la région, on évite la répétition de la chaîne de caractères dans chaque ligne de commune.</w:t>
      </w:r>
    </w:p>
    <w:p>
      <w:pPr>
        <w:spacing w:after="60" w:before="60"/>
        <w:jc w:val="left"/>
      </w:pPr>
      <w:r>
        <w:rPr>
          <w:rFonts w:ascii="Arial" w:cs="Arial" w:eastAsia="Arial" w:hAnsi="Arial"/>
          <w:b w:val="false"/>
          <w:bCs w:val="false"/>
          <w:color w:val="1C3838"/>
          <w:sz w:val="22"/>
          <w:szCs w:val="22"/>
        </w:rPr>
        <w:t xml:space="preserve"/>
      </w:r>
    </w:p>
    <w:p>
      <w:pPr>
        <w:pBdr>
          <w:bottom w:val="single" w:color="158F7E" w:sz="8"/>
        </w:pBdr>
        <w:spacing w:after="120" w:before="320"/>
      </w:pPr>
      <w:r>
        <w:rPr>
          <w:rFonts w:ascii="Arial" w:cs="Arial" w:eastAsia="Arial" w:hAnsi="Arial"/>
          <w:b/>
          <w:bCs/>
          <w:color w:val="FFFFFF"/>
          <w:sz w:val="20"/>
          <w:szCs w:val="20"/>
          <w:shd w:fill="158F7E" w:val="clear"/>
        </w:rPr>
        <w:t xml:space="preserve">Diapositive 8  </w:t>
      </w:r>
      <w:r>
        <w:rPr>
          <w:rFonts w:ascii="Arial" w:cs="Arial" w:eastAsia="Arial" w:hAnsi="Arial"/>
          <w:b/>
          <w:bCs/>
          <w:color w:val="158F7E"/>
          <w:sz w:val="22"/>
          <w:szCs w:val="22"/>
        </w:rPr>
        <w:t xml:space="preserve">  Table commune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C8E0DE" w:sz="1"/>
              <w:left w:val="single" w:color="C8E0DE" w:sz="1"/>
              <w:bottom w:val="single" w:color="C8E0DE" w:sz="1"/>
              <w:right w:val="single" w:color="C8E0DE" w:sz="1"/>
            </w:tcBorders>
            <w:shd w:fill="158F7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Objectif</w:t>
            </w:r>
          </w:p>
        </w:tc>
        <w:tc>
          <w:tcPr>
            <w:tcW w:type="dxa" w:w="7826"/>
            <w:tcBorders>
              <w:top w:val="single" w:color="C8E0DE" w:sz="1"/>
              <w:left w:val="single" w:color="C8E0DE" w:sz="1"/>
              <w:bottom w:val="single" w:color="C8E0DE" w:sz="1"/>
              <w:right w:val="single" w:color="C8E0DE" w:sz="1"/>
            </w:tcBorders>
            <w:shd w:fill="F0FAFA" w:val="clear"/>
            <w:tcMar>
              <w:top w:type="dxa" w:w="80"/>
              <w:left w:type="dxa" w:w="160"/>
              <w:bottom w:type="dxa" w:w="80"/>
              <w:right w:type="dxa" w:w="120"/>
            </w:tcMar>
          </w:tcPr>
          <w:p>
            <w:r>
              <w:rPr>
                <w:rFonts w:ascii="Arial" w:cs="Arial" w:eastAsia="Arial" w:hAnsi="Arial"/>
                <w:color w:val="1C3838"/>
                <w:sz w:val="21"/>
                <w:szCs w:val="21"/>
              </w:rPr>
              <w:t xml:space="preserve">Expliquer la clé primaire concaténée et les données géographiques.</w:t>
            </w:r>
          </w:p>
        </w:tc>
      </w:tr>
    </w:tbl>
    <w:p>
      <w:pPr>
        <w:spacing w:after="60" w:before="60"/>
        <w:jc w:val="left"/>
      </w:pPr>
      <w:r>
        <w:rPr>
          <w:rFonts w:ascii="Arial" w:cs="Arial" w:eastAsia="Arial" w:hAnsi="Arial"/>
          <w:b w:val="false"/>
          <w:bCs w:val="false"/>
          <w:color w:val="1C3838"/>
          <w:sz w:val="22"/>
          <w:szCs w:val="22"/>
        </w:rPr>
        <w:t xml:space="preserve"/>
      </w:r>
    </w:p>
    <w:p>
      <w:pPr>
        <w:spacing w:after="80" w:before="120"/>
        <w:jc w:val="left"/>
      </w:pPr>
      <w:r>
        <w:rPr>
          <w:rFonts w:ascii="Arial" w:cs="Arial" w:eastAsia="Arial" w:hAnsi="Arial"/>
          <w:b/>
          <w:bCs/>
          <w:color w:val="158F7E"/>
          <w:sz w:val="22"/>
          <w:szCs w:val="22"/>
        </w:rPr>
        <w:t xml:space="preserve">Ce que vous dites :</w:t>
      </w:r>
    </w:p>
    <w:p>
      <w:pPr>
        <w:pStyle w:val="ListParagraph"/>
        <w:numPr>
          <w:ilvl w:val="0"/>
          <w:numId w:val="2"/>
        </w:numPr>
        <w:spacing w:after="40" w:before="40"/>
      </w:pPr>
      <w:r>
        <w:rPr>
          <w:rFonts w:ascii="Arial" w:cs="Arial" w:eastAsia="Arial" w:hAnsi="Arial"/>
          <w:color w:val="1C3838"/>
          <w:sz w:val="21"/>
          <w:szCs w:val="21"/>
        </w:rPr>
        <w:t xml:space="preserve">La table commune contient 467 lignes. La clé primaire id_codedep_codecommune est une clé concaténée — c'est la combinaison du code département et du code commune.</w:t>
      </w:r>
    </w:p>
    <w:p>
      <w:pPr>
        <w:pStyle w:val="ListParagraph"/>
        <w:numPr>
          <w:ilvl w:val="0"/>
          <w:numId w:val="2"/>
        </w:numPr>
        <w:spacing w:after="40" w:before="40"/>
      </w:pPr>
      <w:r>
        <w:rPr>
          <w:rFonts w:ascii="Arial" w:cs="Arial" w:eastAsia="Arial" w:hAnsi="Arial"/>
          <w:color w:val="1C3838"/>
          <w:sz w:val="21"/>
          <w:szCs w:val="21"/>
        </w:rPr>
        <w:t xml:space="preserve">Cette clé est naturellement unique dans la base. Par exemple, 13201 désigne Marseille 1er — département 13, code commune 201.</w:t>
      </w:r>
    </w:p>
    <w:p>
      <w:pPr>
        <w:pStyle w:val="ListParagraph"/>
        <w:numPr>
          <w:ilvl w:val="0"/>
          <w:numId w:val="2"/>
        </w:numPr>
        <w:spacing w:after="40" w:before="40"/>
      </w:pPr>
      <w:r>
        <w:rPr>
          <w:rFonts w:ascii="Arial" w:cs="Arial" w:eastAsia="Arial" w:hAnsi="Arial"/>
          <w:color w:val="1C3838"/>
          <w:sz w:val="21"/>
          <w:szCs w:val="21"/>
        </w:rPr>
        <w:t xml:space="preserve">La clé étrangère id_region pointe vers la table region, ce qui permet de regrouper les communes par région dans les requêtes analytiques.</w:t>
      </w:r>
    </w:p>
    <w:p>
      <w:pPr>
        <w:spacing w:after="60" w:before="60"/>
        <w:jc w:val="left"/>
      </w:pPr>
      <w:r>
        <w:rPr>
          <w:rFonts w:ascii="Arial" w:cs="Arial" w:eastAsia="Arial" w:hAnsi="Arial"/>
          <w:b w:val="false"/>
          <w:bCs w:val="false"/>
          <w:color w:val="1C3838"/>
          <w:sz w:val="22"/>
          <w:szCs w:val="22"/>
        </w:rPr>
        <w:t xml:space="preserve"/>
      </w:r>
    </w:p>
    <w:p>
      <w:pPr>
        <w:pBdr>
          <w:bottom w:val="single" w:color="158F7E" w:sz="8"/>
        </w:pBdr>
        <w:spacing w:after="120" w:before="320"/>
      </w:pPr>
      <w:r>
        <w:rPr>
          <w:rFonts w:ascii="Arial" w:cs="Arial" w:eastAsia="Arial" w:hAnsi="Arial"/>
          <w:b/>
          <w:bCs/>
          <w:color w:val="FFFFFF"/>
          <w:sz w:val="20"/>
          <w:szCs w:val="20"/>
          <w:shd w:fill="158F7E" w:val="clear"/>
        </w:rPr>
        <w:t xml:space="preserve">Diapositive 9  </w:t>
      </w:r>
      <w:r>
        <w:rPr>
          <w:rFonts w:ascii="Arial" w:cs="Arial" w:eastAsia="Arial" w:hAnsi="Arial"/>
          <w:b/>
          <w:bCs/>
          <w:color w:val="158F7E"/>
          <w:sz w:val="22"/>
          <w:szCs w:val="22"/>
        </w:rPr>
        <w:t xml:space="preserve">  Table bien_immo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C8E0DE" w:sz="1"/>
              <w:left w:val="single" w:color="C8E0DE" w:sz="1"/>
              <w:bottom w:val="single" w:color="C8E0DE" w:sz="1"/>
              <w:right w:val="single" w:color="C8E0DE" w:sz="1"/>
            </w:tcBorders>
            <w:shd w:fill="158F7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Objectif</w:t>
            </w:r>
          </w:p>
        </w:tc>
        <w:tc>
          <w:tcPr>
            <w:tcW w:type="dxa" w:w="7826"/>
            <w:tcBorders>
              <w:top w:val="single" w:color="C8E0DE" w:sz="1"/>
              <w:left w:val="single" w:color="C8E0DE" w:sz="1"/>
              <w:bottom w:val="single" w:color="C8E0DE" w:sz="1"/>
              <w:right w:val="single" w:color="C8E0DE" w:sz="1"/>
            </w:tcBorders>
            <w:shd w:fill="F0FAFA" w:val="clear"/>
            <w:tcMar>
              <w:top w:type="dxa" w:w="80"/>
              <w:left w:type="dxa" w:w="160"/>
              <w:bottom w:type="dxa" w:w="80"/>
              <w:right w:type="dxa" w:w="120"/>
            </w:tcMar>
          </w:tcPr>
          <w:p>
            <w:r>
              <w:rPr>
                <w:rFonts w:ascii="Arial" w:cs="Arial" w:eastAsia="Arial" w:hAnsi="Arial"/>
                <w:color w:val="1C3838"/>
                <w:sz w:val="21"/>
                <w:szCs w:val="21"/>
              </w:rPr>
              <w:t xml:space="preserve">Présenter la table principale et justifier les suppressions de colonnes.</w:t>
            </w:r>
          </w:p>
        </w:tc>
      </w:tr>
    </w:tbl>
    <w:p>
      <w:pPr>
        <w:spacing w:after="60" w:before="60"/>
        <w:jc w:val="left"/>
      </w:pPr>
      <w:r>
        <w:rPr>
          <w:rFonts w:ascii="Arial" w:cs="Arial" w:eastAsia="Arial" w:hAnsi="Arial"/>
          <w:b w:val="false"/>
          <w:bCs w:val="false"/>
          <w:color w:val="1C3838"/>
          <w:sz w:val="22"/>
          <w:szCs w:val="22"/>
        </w:rPr>
        <w:t xml:space="preserve"/>
      </w:r>
    </w:p>
    <w:p>
      <w:pPr>
        <w:spacing w:after="80" w:before="120"/>
        <w:jc w:val="left"/>
      </w:pPr>
      <w:r>
        <w:rPr>
          <w:rFonts w:ascii="Arial" w:cs="Arial" w:eastAsia="Arial" w:hAnsi="Arial"/>
          <w:b/>
          <w:bCs/>
          <w:color w:val="158F7E"/>
          <w:sz w:val="22"/>
          <w:szCs w:val="22"/>
        </w:rPr>
        <w:t xml:space="preserve">Ce que vous dites :</w:t>
      </w:r>
    </w:p>
    <w:p>
      <w:pPr>
        <w:pStyle w:val="ListParagraph"/>
        <w:numPr>
          <w:ilvl w:val="0"/>
          <w:numId w:val="2"/>
        </w:numPr>
        <w:spacing w:after="40" w:before="40"/>
      </w:pPr>
      <w:r>
        <w:rPr>
          <w:rFonts w:ascii="Arial" w:cs="Arial" w:eastAsia="Arial" w:hAnsi="Arial"/>
          <w:color w:val="1C3838"/>
          <w:sz w:val="21"/>
          <w:szCs w:val="21"/>
        </w:rPr>
        <w:t xml:space="preserve">La table bien_immo contient 1 107 lignes. Elle regroupe les caractéristiques essentielles de chaque bien : surface, type (appartement ou maison), et nombre de pièces.</w:t>
      </w:r>
    </w:p>
    <w:p>
      <w:pPr>
        <w:pStyle w:val="ListParagraph"/>
        <w:numPr>
          <w:ilvl w:val="0"/>
          <w:numId w:val="2"/>
        </w:numPr>
        <w:spacing w:after="40" w:before="40"/>
      </w:pPr>
      <w:r>
        <w:rPr>
          <w:rFonts w:ascii="Arial" w:cs="Arial" w:eastAsia="Arial" w:hAnsi="Arial"/>
          <w:color w:val="1C3838"/>
          <w:sz w:val="21"/>
          <w:szCs w:val="21"/>
        </w:rPr>
        <w:t xml:space="preserve">J'ai supprimé les colonnes d'adresse — numéro de voie, type de voie et nom de la voie — pour deux raisons : conformité RGPD, et inutilité pour les analyses de marché demandées.</w:t>
      </w:r>
    </w:p>
    <w:p>
      <w:pPr>
        <w:pStyle w:val="ListParagraph"/>
        <w:numPr>
          <w:ilvl w:val="0"/>
          <w:numId w:val="2"/>
        </w:numPr>
        <w:spacing w:after="40" w:before="40"/>
      </w:pPr>
      <w:r>
        <w:rPr>
          <w:rFonts w:ascii="Arial" w:cs="Arial" w:eastAsia="Arial" w:hAnsi="Arial"/>
          <w:color w:val="1C3838"/>
          <w:sz w:val="21"/>
          <w:szCs w:val="21"/>
        </w:rPr>
        <w:t xml:space="preserve">La clé étrangère id_codedep_codecommune relie chaque bien à sa commune, ce qui permet ensuite les jointures avec la région.</w:t>
      </w:r>
    </w:p>
    <w:p>
      <w:pPr>
        <w:spacing w:after="60" w:before="60"/>
        <w:jc w:val="left"/>
      </w:pPr>
      <w:r>
        <w:rPr>
          <w:rFonts w:ascii="Arial" w:cs="Arial" w:eastAsia="Arial" w:hAnsi="Arial"/>
          <w:b w:val="false"/>
          <w:bCs w:val="false"/>
          <w:color w:val="1C3838"/>
          <w:sz w:val="22"/>
          <w:szCs w:val="22"/>
        </w:rPr>
        <w:t xml:space="preserve"/>
      </w:r>
    </w:p>
    <w:p>
      <w:pPr>
        <w:pBdr>
          <w:bottom w:val="single" w:color="158F7E" w:sz="8"/>
        </w:pBdr>
        <w:spacing w:after="120" w:before="320"/>
      </w:pPr>
      <w:r>
        <w:rPr>
          <w:rFonts w:ascii="Arial" w:cs="Arial" w:eastAsia="Arial" w:hAnsi="Arial"/>
          <w:b/>
          <w:bCs/>
          <w:color w:val="FFFFFF"/>
          <w:sz w:val="20"/>
          <w:szCs w:val="20"/>
          <w:shd w:fill="158F7E" w:val="clear"/>
        </w:rPr>
        <w:t xml:space="preserve">Diapositive 10  </w:t>
      </w:r>
      <w:r>
        <w:rPr>
          <w:rFonts w:ascii="Arial" w:cs="Arial" w:eastAsia="Arial" w:hAnsi="Arial"/>
          <w:b/>
          <w:bCs/>
          <w:color w:val="158F7E"/>
          <w:sz w:val="22"/>
          <w:szCs w:val="22"/>
        </w:rPr>
        <w:t xml:space="preserve">  Table vente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C8E0DE" w:sz="1"/>
              <w:left w:val="single" w:color="C8E0DE" w:sz="1"/>
              <w:bottom w:val="single" w:color="C8E0DE" w:sz="1"/>
              <w:right w:val="single" w:color="C8E0DE" w:sz="1"/>
            </w:tcBorders>
            <w:shd w:fill="158F7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Objectif</w:t>
            </w:r>
          </w:p>
        </w:tc>
        <w:tc>
          <w:tcPr>
            <w:tcW w:type="dxa" w:w="7826"/>
            <w:tcBorders>
              <w:top w:val="single" w:color="C8E0DE" w:sz="1"/>
              <w:left w:val="single" w:color="C8E0DE" w:sz="1"/>
              <w:bottom w:val="single" w:color="C8E0DE" w:sz="1"/>
              <w:right w:val="single" w:color="C8E0DE" w:sz="1"/>
            </w:tcBorders>
            <w:shd w:fill="F0FAFA" w:val="clear"/>
            <w:tcMar>
              <w:top w:type="dxa" w:w="80"/>
              <w:left w:type="dxa" w:w="160"/>
              <w:bottom w:type="dxa" w:w="80"/>
              <w:right w:type="dxa" w:w="120"/>
            </w:tcMar>
          </w:tcPr>
          <w:p>
            <w:r>
              <w:rPr>
                <w:rFonts w:ascii="Arial" w:cs="Arial" w:eastAsia="Arial" w:hAnsi="Arial"/>
                <w:color w:val="1C3838"/>
                <w:sz w:val="21"/>
                <w:szCs w:val="21"/>
              </w:rPr>
              <w:t xml:space="preserve">Présenter la table de transaction et son rôle central dans les requêtes.</w:t>
            </w:r>
          </w:p>
        </w:tc>
      </w:tr>
    </w:tbl>
    <w:p>
      <w:pPr>
        <w:spacing w:after="60" w:before="60"/>
        <w:jc w:val="left"/>
      </w:pPr>
      <w:r>
        <w:rPr>
          <w:rFonts w:ascii="Arial" w:cs="Arial" w:eastAsia="Arial" w:hAnsi="Arial"/>
          <w:b w:val="false"/>
          <w:bCs w:val="false"/>
          <w:color w:val="1C3838"/>
          <w:sz w:val="22"/>
          <w:szCs w:val="22"/>
        </w:rPr>
        <w:t xml:space="preserve"/>
      </w:r>
    </w:p>
    <w:p>
      <w:pPr>
        <w:spacing w:after="80" w:before="120"/>
        <w:jc w:val="left"/>
      </w:pPr>
      <w:r>
        <w:rPr>
          <w:rFonts w:ascii="Arial" w:cs="Arial" w:eastAsia="Arial" w:hAnsi="Arial"/>
          <w:b/>
          <w:bCs/>
          <w:color w:val="158F7E"/>
          <w:sz w:val="22"/>
          <w:szCs w:val="22"/>
        </w:rPr>
        <w:t xml:space="preserve">Ce que vous dites :</w:t>
      </w:r>
    </w:p>
    <w:p>
      <w:pPr>
        <w:pStyle w:val="ListParagraph"/>
        <w:numPr>
          <w:ilvl w:val="0"/>
          <w:numId w:val="2"/>
        </w:numPr>
        <w:spacing w:after="40" w:before="40"/>
      </w:pPr>
      <w:r>
        <w:rPr>
          <w:rFonts w:ascii="Arial" w:cs="Arial" w:eastAsia="Arial" w:hAnsi="Arial"/>
          <w:color w:val="1C3838"/>
          <w:sz w:val="21"/>
          <w:szCs w:val="21"/>
        </w:rPr>
        <w:t xml:space="preserve">La table vente contient 1 047 transactions. Chaque ligne représente une vente unique avec sa date et sa valeur foncière en euros.</w:t>
      </w:r>
    </w:p>
    <w:p>
      <w:pPr>
        <w:pStyle w:val="ListParagraph"/>
        <w:numPr>
          <w:ilvl w:val="0"/>
          <w:numId w:val="2"/>
        </w:numPr>
        <w:spacing w:after="40" w:before="40"/>
      </w:pPr>
      <w:r>
        <w:rPr>
          <w:rFonts w:ascii="Arial" w:cs="Arial" w:eastAsia="Arial" w:hAnsi="Arial"/>
          <w:color w:val="1C3838"/>
          <w:sz w:val="21"/>
          <w:szCs w:val="21"/>
        </w:rPr>
        <w:t xml:space="preserve">C'est la table la plus utilisée dans les requêtes analytiques, car elle porte la valeur foncière — la donnée clé pour calculer les prix au mètre carré.</w:t>
      </w:r>
    </w:p>
    <w:p>
      <w:pPr>
        <w:pStyle w:val="ListParagraph"/>
        <w:numPr>
          <w:ilvl w:val="0"/>
          <w:numId w:val="2"/>
        </w:numPr>
        <w:spacing w:after="40" w:before="40"/>
      </w:pPr>
      <w:r>
        <w:rPr>
          <w:rFonts w:ascii="Arial" w:cs="Arial" w:eastAsia="Arial" w:hAnsi="Arial"/>
          <w:color w:val="1C3838"/>
          <w:sz w:val="21"/>
          <w:szCs w:val="21"/>
        </w:rPr>
        <w:t xml:space="preserve">La clé étrangère Id_bien relie chaque vente à son bien immobilier, permettant de croiser surface, type et localisation.</w:t>
      </w:r>
    </w:p>
    <w:p>
      <w:pPr>
        <w:spacing w:after="60" w:before="60"/>
        <w:jc w:val="left"/>
      </w:pPr>
      <w:r>
        <w:rPr>
          <w:rFonts w:ascii="Arial" w:cs="Arial" w:eastAsia="Arial" w:hAnsi="Arial"/>
          <w:b w:val="false"/>
          <w:bCs w:val="false"/>
          <w:color w:val="1C3838"/>
          <w:sz w:val="22"/>
          <w:szCs w:val="22"/>
        </w:rPr>
        <w:t xml:space="preserve"/>
      </w:r>
    </w:p>
    <w:p>
      <w:pPr>
        <w:pBdr>
          <w:bottom w:val="single" w:color="158F7E" w:sz="8"/>
        </w:pBdr>
        <w:spacing w:after="120" w:before="320"/>
      </w:pPr>
      <w:r>
        <w:rPr>
          <w:rFonts w:ascii="Arial" w:cs="Arial" w:eastAsia="Arial" w:hAnsi="Arial"/>
          <w:b/>
          <w:bCs/>
          <w:color w:val="FFFFFF"/>
          <w:sz w:val="20"/>
          <w:szCs w:val="20"/>
          <w:shd w:fill="158F7E" w:val="clear"/>
        </w:rPr>
        <w:t xml:space="preserve">Diapositive 11  </w:t>
      </w:r>
      <w:r>
        <w:rPr>
          <w:rFonts w:ascii="Arial" w:cs="Arial" w:eastAsia="Arial" w:hAnsi="Arial"/>
          <w:b/>
          <w:bCs/>
          <w:color w:val="158F7E"/>
          <w:sz w:val="22"/>
          <w:szCs w:val="22"/>
        </w:rPr>
        <w:t xml:space="preserve">  Requêtes Q1 &amp; Q2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C8E0DE" w:sz="1"/>
              <w:left w:val="single" w:color="C8E0DE" w:sz="1"/>
              <w:bottom w:val="single" w:color="C8E0DE" w:sz="1"/>
              <w:right w:val="single" w:color="C8E0DE" w:sz="1"/>
            </w:tcBorders>
            <w:shd w:fill="158F7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Objectif</w:t>
            </w:r>
          </w:p>
        </w:tc>
        <w:tc>
          <w:tcPr>
            <w:tcW w:type="dxa" w:w="7826"/>
            <w:tcBorders>
              <w:top w:val="single" w:color="C8E0DE" w:sz="1"/>
              <w:left w:val="single" w:color="C8E0DE" w:sz="1"/>
              <w:bottom w:val="single" w:color="C8E0DE" w:sz="1"/>
              <w:right w:val="single" w:color="C8E0DE" w:sz="1"/>
            </w:tcBorders>
            <w:shd w:fill="F0FAFA" w:val="clear"/>
            <w:tcMar>
              <w:top w:type="dxa" w:w="80"/>
              <w:left w:type="dxa" w:w="160"/>
              <w:bottom w:type="dxa" w:w="80"/>
              <w:right w:type="dxa" w:w="120"/>
            </w:tcMar>
          </w:tcPr>
          <w:p>
            <w:r>
              <w:rPr>
                <w:rFonts w:ascii="Arial" w:cs="Arial" w:eastAsia="Arial" w:hAnsi="Arial"/>
                <w:color w:val="1C3838"/>
                <w:sz w:val="21"/>
                <w:szCs w:val="21"/>
              </w:rPr>
              <w:t xml:space="preserve">Quantifier le volume de ventes et leur répartition géographique.</w:t>
            </w:r>
          </w:p>
        </w:tc>
      </w:tr>
    </w:tbl>
    <w:p>
      <w:pPr>
        <w:spacing w:after="60" w:before="60"/>
        <w:jc w:val="left"/>
      </w:pPr>
      <w:r>
        <w:rPr>
          <w:rFonts w:ascii="Arial" w:cs="Arial" w:eastAsia="Arial" w:hAnsi="Arial"/>
          <w:b w:val="false"/>
          <w:bCs w:val="false"/>
          <w:color w:val="1C3838"/>
          <w:sz w:val="22"/>
          <w:szCs w:val="22"/>
        </w:rPr>
        <w:t xml:space="preserve"/>
      </w:r>
    </w:p>
    <w:p>
      <w:pPr>
        <w:spacing w:after="80" w:before="120"/>
        <w:jc w:val="left"/>
      </w:pPr>
      <w:r>
        <w:rPr>
          <w:rFonts w:ascii="Arial" w:cs="Arial" w:eastAsia="Arial" w:hAnsi="Arial"/>
          <w:b/>
          <w:bCs/>
          <w:color w:val="158F7E"/>
          <w:sz w:val="22"/>
          <w:szCs w:val="22"/>
        </w:rPr>
        <w:t xml:space="preserve">Q1 — Nombre total d'appartements vendus au 1er semestre 2020 :</w:t>
      </w:r>
    </w:p>
    <w:p>
      <w:pPr>
        <w:pStyle w:val="ListParagraph"/>
        <w:numPr>
          <w:ilvl w:val="0"/>
          <w:numId w:val="2"/>
        </w:numPr>
        <w:spacing w:after="40" w:before="40"/>
      </w:pPr>
      <w:r>
        <w:rPr>
          <w:rFonts w:ascii="Arial" w:cs="Arial" w:eastAsia="Arial" w:hAnsi="Arial"/>
          <w:color w:val="1C3838"/>
          <w:sz w:val="21"/>
          <w:szCs w:val="21"/>
        </w:rPr>
        <w:t xml:space="preserve">968 appartements ont été vendus au premier semestre 2020, sur un total de 1 047 transactions dans la base. Cela représente plus de 92% des ventes — les maisons sont donc très minoritaires dans ce jeu de données.</w:t>
      </w:r>
    </w:p>
    <w:p>
      <w:pPr>
        <w:pStyle w:val="ListParagraph"/>
        <w:numPr>
          <w:ilvl w:val="0"/>
          <w:numId w:val="2"/>
        </w:numPr>
        <w:spacing w:after="40" w:before="40"/>
      </w:pPr>
      <w:r>
        <w:rPr>
          <w:rFonts w:ascii="Arial" w:cs="Arial" w:eastAsia="Arial" w:hAnsi="Arial"/>
          <w:color w:val="1C3838"/>
          <w:sz w:val="21"/>
          <w:szCs w:val="21"/>
        </w:rPr>
        <w:t xml:space="preserve">La requête utilise un COUNT avec une jointure entre vente et bien_immo, filtrée sur Type_local = 'Appartement' et une plage de dates avec BETWEEN.</w:t>
      </w:r>
    </w:p>
    <w:p>
      <w:pPr>
        <w:spacing w:after="60" w:before="60"/>
        <w:jc w:val="left"/>
      </w:pPr>
      <w:r>
        <w:rPr>
          <w:rFonts w:ascii="Arial" w:cs="Arial" w:eastAsia="Arial" w:hAnsi="Arial"/>
          <w:b w:val="false"/>
          <w:bCs w:val="false"/>
          <w:color w:val="1C3838"/>
          <w:sz w:val="22"/>
          <w:szCs w:val="22"/>
        </w:rPr>
        <w:t xml:space="preserve"/>
      </w:r>
    </w:p>
    <w:p>
      <w:pPr>
        <w:spacing w:after="80" w:before="120"/>
        <w:jc w:val="left"/>
      </w:pPr>
      <w:r>
        <w:rPr>
          <w:rFonts w:ascii="Arial" w:cs="Arial" w:eastAsia="Arial" w:hAnsi="Arial"/>
          <w:b/>
          <w:bCs/>
          <w:color w:val="158F7E"/>
          <w:sz w:val="22"/>
          <w:szCs w:val="22"/>
        </w:rPr>
        <w:t xml:space="preserve">Q2 — Nombre de ventes par région :</w:t>
      </w:r>
    </w:p>
    <w:p>
      <w:pPr>
        <w:pStyle w:val="ListParagraph"/>
        <w:numPr>
          <w:ilvl w:val="0"/>
          <w:numId w:val="2"/>
        </w:numPr>
        <w:spacing w:after="40" w:before="40"/>
      </w:pPr>
      <w:r>
        <w:rPr>
          <w:rFonts w:ascii="Arial" w:cs="Arial" w:eastAsia="Arial" w:hAnsi="Arial"/>
          <w:color w:val="1C3838"/>
          <w:sz w:val="21"/>
          <w:szCs w:val="21"/>
        </w:rPr>
        <w:t xml:space="preserve">L'Île-de-France concentre 404 ventes sur 968 — soit 42 % du total. PACA et Auvergne-Rhône-Alpes complètent le podium. Ces 3 régions représentent à elles seules plus de 65 % des transactions.</w:t>
      </w:r>
    </w:p>
    <w:p>
      <w:pPr>
        <w:pStyle w:val="ListParagraph"/>
        <w:numPr>
          <w:ilvl w:val="0"/>
          <w:numId w:val="2"/>
        </w:numPr>
        <w:spacing w:after="40" w:before="40"/>
      </w:pPr>
      <w:r>
        <w:rPr>
          <w:rFonts w:ascii="Arial" w:cs="Arial" w:eastAsia="Arial" w:hAnsi="Arial"/>
          <w:color w:val="1C3838"/>
          <w:sz w:val="21"/>
          <w:szCs w:val="21"/>
        </w:rPr>
        <w:t xml:space="preserve">Ce résultat met en évidence la forte concentration géographique du marché immobilier français.</w:t>
      </w:r>
    </w:p>
    <w:p>
      <w:pPr>
        <w:spacing w:after="60" w:before="60"/>
        <w:jc w:val="left"/>
      </w:pPr>
      <w:r>
        <w:rPr>
          <w:rFonts w:ascii="Arial" w:cs="Arial" w:eastAsia="Arial" w:hAnsi="Arial"/>
          <w:b w:val="false"/>
          <w:bCs w:val="false"/>
          <w:color w:val="1C3838"/>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C8E0DE" w:sz="1"/>
              <w:left w:val="single" w:color="C8E0DE" w:sz="1"/>
              <w:bottom w:val="single" w:color="C8E0DE" w:sz="1"/>
              <w:right w:val="single" w:color="C8E0DE" w:sz="1"/>
            </w:tcBorders>
            <w:shd w:fill="158F7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Point clé</w:t>
            </w:r>
          </w:p>
        </w:tc>
        <w:tc>
          <w:tcPr>
            <w:tcW w:type="dxa" w:w="7826"/>
            <w:tcBorders>
              <w:top w:val="single" w:color="C8E0DE" w:sz="1"/>
              <w:left w:val="single" w:color="C8E0DE" w:sz="1"/>
              <w:bottom w:val="single" w:color="C8E0DE" w:sz="1"/>
              <w:right w:val="single" w:color="C8E0DE" w:sz="1"/>
            </w:tcBorders>
            <w:shd w:fill="F0FAFA" w:val="clear"/>
            <w:tcMar>
              <w:top w:type="dxa" w:w="80"/>
              <w:left w:type="dxa" w:w="160"/>
              <w:bottom w:type="dxa" w:w="80"/>
              <w:right w:type="dxa" w:w="120"/>
            </w:tcMar>
          </w:tcPr>
          <w:p>
            <w:r>
              <w:rPr>
                <w:rFonts w:ascii="Arial" w:cs="Arial" w:eastAsia="Arial" w:hAnsi="Arial"/>
                <w:color w:val="1C3838"/>
                <w:sz w:val="21"/>
                <w:szCs w:val="21"/>
              </w:rPr>
              <w:t xml:space="preserve">Précisez que vous avez utilisé des alias pour rendre le code lisible, et des JOIN explicites plutôt que des jointures implicites — bonne pratique SQL.</w:t>
            </w:r>
          </w:p>
        </w:tc>
      </w:tr>
    </w:tbl>
    <w:p>
      <w:pPr>
        <w:pBdr>
          <w:bottom w:val="single" w:color="158F7E" w:sz="8"/>
        </w:pBdr>
        <w:spacing w:after="120" w:before="320"/>
      </w:pPr>
      <w:r>
        <w:rPr>
          <w:rFonts w:ascii="Arial" w:cs="Arial" w:eastAsia="Arial" w:hAnsi="Arial"/>
          <w:b/>
          <w:bCs/>
          <w:color w:val="FFFFFF"/>
          <w:sz w:val="20"/>
          <w:szCs w:val="20"/>
          <w:shd w:fill="158F7E" w:val="clear"/>
        </w:rPr>
        <w:t xml:space="preserve">Diapositive 12  </w:t>
      </w:r>
      <w:r>
        <w:rPr>
          <w:rFonts w:ascii="Arial" w:cs="Arial" w:eastAsia="Arial" w:hAnsi="Arial"/>
          <w:b/>
          <w:bCs/>
          <w:color w:val="158F7E"/>
          <w:sz w:val="22"/>
          <w:szCs w:val="22"/>
        </w:rPr>
        <w:t xml:space="preserve">  Requêtes Q3 &amp; Q4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C8E0DE" w:sz="1"/>
              <w:left w:val="single" w:color="C8E0DE" w:sz="1"/>
              <w:bottom w:val="single" w:color="C8E0DE" w:sz="1"/>
              <w:right w:val="single" w:color="C8E0DE" w:sz="1"/>
            </w:tcBorders>
            <w:shd w:fill="158F7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Objectif</w:t>
            </w:r>
          </w:p>
        </w:tc>
        <w:tc>
          <w:tcPr>
            <w:tcW w:type="dxa" w:w="7826"/>
            <w:tcBorders>
              <w:top w:val="single" w:color="C8E0DE" w:sz="1"/>
              <w:left w:val="single" w:color="C8E0DE" w:sz="1"/>
              <w:bottom w:val="single" w:color="C8E0DE" w:sz="1"/>
              <w:right w:val="single" w:color="C8E0DE" w:sz="1"/>
            </w:tcBorders>
            <w:shd w:fill="F0FAFA" w:val="clear"/>
            <w:tcMar>
              <w:top w:type="dxa" w:w="80"/>
              <w:left w:type="dxa" w:w="160"/>
              <w:bottom w:type="dxa" w:w="80"/>
              <w:right w:type="dxa" w:w="120"/>
            </w:tcMar>
          </w:tcPr>
          <w:p>
            <w:r>
              <w:rPr>
                <w:rFonts w:ascii="Arial" w:cs="Arial" w:eastAsia="Arial" w:hAnsi="Arial"/>
                <w:color w:val="1C3838"/>
                <w:sz w:val="21"/>
                <w:szCs w:val="21"/>
              </w:rPr>
              <w:t xml:space="preserve">Analyser la structure du marché par taille et identifier les zones les plus chères.</w:t>
            </w:r>
          </w:p>
        </w:tc>
      </w:tr>
    </w:tbl>
    <w:p>
      <w:pPr>
        <w:spacing w:after="60" w:before="60"/>
        <w:jc w:val="left"/>
      </w:pPr>
      <w:r>
        <w:rPr>
          <w:rFonts w:ascii="Arial" w:cs="Arial" w:eastAsia="Arial" w:hAnsi="Arial"/>
          <w:b w:val="false"/>
          <w:bCs w:val="false"/>
          <w:color w:val="1C3838"/>
          <w:sz w:val="22"/>
          <w:szCs w:val="22"/>
        </w:rPr>
        <w:t xml:space="preserve"/>
      </w:r>
    </w:p>
    <w:p>
      <w:pPr>
        <w:spacing w:after="80" w:before="120"/>
        <w:jc w:val="left"/>
      </w:pPr>
      <w:r>
        <w:rPr>
          <w:rFonts w:ascii="Arial" w:cs="Arial" w:eastAsia="Arial" w:hAnsi="Arial"/>
          <w:b/>
          <w:bCs/>
          <w:color w:val="158F7E"/>
          <w:sz w:val="22"/>
          <w:szCs w:val="22"/>
        </w:rPr>
        <w:t xml:space="preserve">Q3 — Proportion par nombre de pièces :</w:t>
      </w:r>
    </w:p>
    <w:p>
      <w:pPr>
        <w:pStyle w:val="ListParagraph"/>
        <w:numPr>
          <w:ilvl w:val="0"/>
          <w:numId w:val="2"/>
        </w:numPr>
        <w:spacing w:after="40" w:before="40"/>
      </w:pPr>
      <w:r>
        <w:rPr>
          <w:rFonts w:ascii="Arial" w:cs="Arial" w:eastAsia="Arial" w:hAnsi="Arial"/>
          <w:color w:val="1C3838"/>
          <w:sz w:val="21"/>
          <w:szCs w:val="21"/>
        </w:rPr>
        <w:t xml:space="preserve">Les appartements de 2 pièces (31%) et 3 pièces (30%) dominent le marché, totalisant 61% des ventes. Ce sont les biens les plus liquides — recherchés par les investisseurs locatifs et les primo-accédants.</w:t>
      </w:r>
    </w:p>
    <w:p>
      <w:pPr>
        <w:pStyle w:val="ListParagraph"/>
        <w:numPr>
          <w:ilvl w:val="0"/>
          <w:numId w:val="2"/>
        </w:numPr>
        <w:spacing w:after="40" w:before="40"/>
      </w:pPr>
      <w:r>
        <w:rPr>
          <w:rFonts w:ascii="Arial" w:cs="Arial" w:eastAsia="Arial" w:hAnsi="Arial"/>
          <w:color w:val="1C3838"/>
          <w:sz w:val="21"/>
          <w:szCs w:val="21"/>
        </w:rPr>
        <w:t xml:space="preserve">La requête utilise une sous-requête dans le SELECT pour calculer le pourcentage — c'est une alternative à la fenêtre OVER() pour les bases SQLite.</w:t>
      </w:r>
    </w:p>
    <w:p>
      <w:pPr>
        <w:spacing w:after="60" w:before="60"/>
        <w:jc w:val="left"/>
      </w:pPr>
      <w:r>
        <w:rPr>
          <w:rFonts w:ascii="Arial" w:cs="Arial" w:eastAsia="Arial" w:hAnsi="Arial"/>
          <w:b w:val="false"/>
          <w:bCs w:val="false"/>
          <w:color w:val="1C3838"/>
          <w:sz w:val="22"/>
          <w:szCs w:val="22"/>
        </w:rPr>
        <w:t xml:space="preserve"/>
      </w:r>
    </w:p>
    <w:p>
      <w:pPr>
        <w:spacing w:after="80" w:before="120"/>
        <w:jc w:val="left"/>
      </w:pPr>
      <w:r>
        <w:rPr>
          <w:rFonts w:ascii="Arial" w:cs="Arial" w:eastAsia="Arial" w:hAnsi="Arial"/>
          <w:b/>
          <w:bCs/>
          <w:color w:val="158F7E"/>
          <w:sz w:val="22"/>
          <w:szCs w:val="22"/>
        </w:rPr>
        <w:t xml:space="preserve">Q4 — Top 10 départements par prix au m² :</w:t>
      </w:r>
    </w:p>
    <w:p>
      <w:pPr>
        <w:pStyle w:val="ListParagraph"/>
        <w:numPr>
          <w:ilvl w:val="0"/>
          <w:numId w:val="2"/>
        </w:numPr>
        <w:spacing w:after="40" w:before="40"/>
      </w:pPr>
      <w:r>
        <w:rPr>
          <w:rFonts w:ascii="Arial" w:cs="Arial" w:eastAsia="Arial" w:hAnsi="Arial"/>
          <w:color w:val="1C3838"/>
          <w:sz w:val="21"/>
          <w:szCs w:val="21"/>
        </w:rPr>
        <w:t xml:space="preserve">Paris (75) arrive en tête avec près de 10 000 €/m², suivi de l'Hauts-de-Seine (92) à 6 440 €/m². On note aussi la présence du Var (83) et des Alpes-Maritimes (06) — zones touristiques à forte demande.</w:t>
      </w:r>
    </w:p>
    <w:p>
      <w:pPr>
        <w:pStyle w:val="ListParagraph"/>
        <w:numPr>
          <w:ilvl w:val="0"/>
          <w:numId w:val="2"/>
        </w:numPr>
        <w:spacing w:after="40" w:before="40"/>
      </w:pPr>
      <w:r>
        <w:rPr>
          <w:rFonts w:ascii="Arial" w:cs="Arial" w:eastAsia="Arial" w:hAnsi="Arial"/>
          <w:color w:val="1C3838"/>
          <w:sz w:val="21"/>
          <w:szCs w:val="21"/>
        </w:rPr>
        <w:t xml:space="preserve">La requête calcule le prix moyen au m² en divisant Valeur_fonciere par Surface, avec un filtre Surface &gt; 0 pour éviter les divisions par zéro.</w:t>
      </w:r>
    </w:p>
    <w:p>
      <w:pPr>
        <w:spacing w:after="60" w:before="60"/>
        <w:jc w:val="left"/>
      </w:pPr>
      <w:r>
        <w:rPr>
          <w:rFonts w:ascii="Arial" w:cs="Arial" w:eastAsia="Arial" w:hAnsi="Arial"/>
          <w:b w:val="false"/>
          <w:bCs w:val="false"/>
          <w:color w:val="1C3838"/>
          <w:sz w:val="22"/>
          <w:szCs w:val="22"/>
        </w:rPr>
        <w:t xml:space="preserve"/>
      </w:r>
    </w:p>
    <w:p>
      <w:pPr>
        <w:pBdr>
          <w:bottom w:val="single" w:color="158F7E" w:sz="8"/>
        </w:pBdr>
        <w:spacing w:after="120" w:before="320"/>
      </w:pPr>
      <w:r>
        <w:rPr>
          <w:rFonts w:ascii="Arial" w:cs="Arial" w:eastAsia="Arial" w:hAnsi="Arial"/>
          <w:b/>
          <w:bCs/>
          <w:color w:val="FFFFFF"/>
          <w:sz w:val="20"/>
          <w:szCs w:val="20"/>
          <w:shd w:fill="158F7E" w:val="clear"/>
        </w:rPr>
        <w:t xml:space="preserve">Diapositive 13  </w:t>
      </w:r>
      <w:r>
        <w:rPr>
          <w:rFonts w:ascii="Arial" w:cs="Arial" w:eastAsia="Arial" w:hAnsi="Arial"/>
          <w:b/>
          <w:bCs/>
          <w:color w:val="158F7E"/>
          <w:sz w:val="22"/>
          <w:szCs w:val="22"/>
        </w:rPr>
        <w:t xml:space="preserve">  Requêtes Q5 &amp; Q6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C8E0DE" w:sz="1"/>
              <w:left w:val="single" w:color="C8E0DE" w:sz="1"/>
              <w:bottom w:val="single" w:color="C8E0DE" w:sz="1"/>
              <w:right w:val="single" w:color="C8E0DE" w:sz="1"/>
            </w:tcBorders>
            <w:shd w:fill="158F7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Objectif</w:t>
            </w:r>
          </w:p>
        </w:tc>
        <w:tc>
          <w:tcPr>
            <w:tcW w:type="dxa" w:w="7826"/>
            <w:tcBorders>
              <w:top w:val="single" w:color="C8E0DE" w:sz="1"/>
              <w:left w:val="single" w:color="C8E0DE" w:sz="1"/>
              <w:bottom w:val="single" w:color="C8E0DE" w:sz="1"/>
              <w:right w:val="single" w:color="C8E0DE" w:sz="1"/>
            </w:tcBorders>
            <w:shd w:fill="F0FAFA" w:val="clear"/>
            <w:tcMar>
              <w:top w:type="dxa" w:w="80"/>
              <w:left w:type="dxa" w:w="160"/>
              <w:bottom w:type="dxa" w:w="80"/>
              <w:right w:type="dxa" w:w="120"/>
            </w:tcMar>
          </w:tcPr>
          <w:p>
            <w:r>
              <w:rPr>
                <w:rFonts w:ascii="Arial" w:cs="Arial" w:eastAsia="Arial" w:hAnsi="Arial"/>
                <w:color w:val="1C3838"/>
                <w:sz w:val="21"/>
                <w:szCs w:val="21"/>
              </w:rPr>
              <w:t xml:space="preserve">Analyser le marché francilien — maisons et appartements haut de gamme.</w:t>
            </w:r>
          </w:p>
        </w:tc>
      </w:tr>
    </w:tbl>
    <w:p>
      <w:pPr>
        <w:spacing w:after="60" w:before="60"/>
        <w:jc w:val="left"/>
      </w:pPr>
      <w:r>
        <w:rPr>
          <w:rFonts w:ascii="Arial" w:cs="Arial" w:eastAsia="Arial" w:hAnsi="Arial"/>
          <w:b w:val="false"/>
          <w:bCs w:val="false"/>
          <w:color w:val="1C3838"/>
          <w:sz w:val="22"/>
          <w:szCs w:val="22"/>
        </w:rPr>
        <w:t xml:space="preserve"/>
      </w:r>
    </w:p>
    <w:p>
      <w:pPr>
        <w:spacing w:after="80" w:before="120"/>
        <w:jc w:val="left"/>
      </w:pPr>
      <w:r>
        <w:rPr>
          <w:rFonts w:ascii="Arial" w:cs="Arial" w:eastAsia="Arial" w:hAnsi="Arial"/>
          <w:b/>
          <w:bCs/>
          <w:color w:val="158F7E"/>
          <w:sz w:val="22"/>
          <w:szCs w:val="22"/>
        </w:rPr>
        <w:t xml:space="preserve">Q5 — Prix moyen m² maison en Île-de-France :</w:t>
      </w:r>
    </w:p>
    <w:p>
      <w:pPr>
        <w:pStyle w:val="ListParagraph"/>
        <w:numPr>
          <w:ilvl w:val="0"/>
          <w:numId w:val="2"/>
        </w:numPr>
        <w:spacing w:after="40" w:before="40"/>
      </w:pPr>
      <w:r>
        <w:rPr>
          <w:rFonts w:ascii="Arial" w:cs="Arial" w:eastAsia="Arial" w:hAnsi="Arial"/>
          <w:color w:val="1C3838"/>
          <w:sz w:val="21"/>
          <w:szCs w:val="21"/>
        </w:rPr>
        <w:t xml:space="preserve">Le prix moyen d'une maison en Île-de-France ressort à 3 729 €/m². Ce chiffre est inférieur au prix parisien des appartements, car il inclut les zones périphériques (Seine-et-Marne, Essonne) où les prix sont plus bas.</w:t>
      </w:r>
    </w:p>
    <w:p>
      <w:pPr>
        <w:pStyle w:val="ListParagraph"/>
        <w:numPr>
          <w:ilvl w:val="0"/>
          <w:numId w:val="2"/>
        </w:numPr>
        <w:spacing w:after="40" w:before="40"/>
      </w:pPr>
      <w:r>
        <w:rPr>
          <w:rFonts w:ascii="Arial" w:cs="Arial" w:eastAsia="Arial" w:hAnsi="Arial"/>
          <w:color w:val="1C3838"/>
          <w:sz w:val="21"/>
          <w:szCs w:val="21"/>
        </w:rPr>
        <w:t xml:space="preserve">La requête enchaîne 4 jointures : vente → bien_immo → commune → region, avec filtres sur Type_local = 'Maison' et le nom de la région.</w:t>
      </w:r>
    </w:p>
    <w:p>
      <w:pPr>
        <w:spacing w:after="60" w:before="60"/>
        <w:jc w:val="left"/>
      </w:pPr>
      <w:r>
        <w:rPr>
          <w:rFonts w:ascii="Arial" w:cs="Arial" w:eastAsia="Arial" w:hAnsi="Arial"/>
          <w:b w:val="false"/>
          <w:bCs w:val="false"/>
          <w:color w:val="1C3838"/>
          <w:sz w:val="22"/>
          <w:szCs w:val="22"/>
        </w:rPr>
        <w:t xml:space="preserve"/>
      </w:r>
    </w:p>
    <w:p>
      <w:pPr>
        <w:spacing w:after="80" w:before="120"/>
        <w:jc w:val="left"/>
      </w:pPr>
      <w:r>
        <w:rPr>
          <w:rFonts w:ascii="Arial" w:cs="Arial" w:eastAsia="Arial" w:hAnsi="Arial"/>
          <w:b/>
          <w:bCs/>
          <w:color w:val="158F7E"/>
          <w:sz w:val="22"/>
          <w:szCs w:val="22"/>
        </w:rPr>
        <w:t xml:space="preserve">Q6 — Top 10 appartements les plus chers :</w:t>
      </w:r>
    </w:p>
    <w:p>
      <w:pPr>
        <w:pStyle w:val="ListParagraph"/>
        <w:numPr>
          <w:ilvl w:val="0"/>
          <w:numId w:val="2"/>
        </w:numPr>
        <w:spacing w:after="40" w:before="40"/>
      </w:pPr>
      <w:r>
        <w:rPr>
          <w:rFonts w:ascii="Arial" w:cs="Arial" w:eastAsia="Arial" w:hAnsi="Arial"/>
          <w:color w:val="1C3838"/>
          <w:sz w:val="21"/>
          <w:szCs w:val="21"/>
        </w:rPr>
        <w:t xml:space="preserve">Les 10 appartements les plus onéreux sont tous situés en Île-de-France. Les surfaces dépassent 68 m², avec des valeurs allant jusqu'à 2,5 millions d'euros. Ce segment représente le marché du luxe parisien.</w:t>
      </w:r>
    </w:p>
    <w:p>
      <w:pPr>
        <w:spacing w:after="60" w:before="60"/>
        <w:jc w:val="left"/>
      </w:pPr>
      <w:r>
        <w:rPr>
          <w:rFonts w:ascii="Arial" w:cs="Arial" w:eastAsia="Arial" w:hAnsi="Arial"/>
          <w:b w:val="false"/>
          <w:bCs w:val="false"/>
          <w:color w:val="1C3838"/>
          <w:sz w:val="22"/>
          <w:szCs w:val="22"/>
        </w:rPr>
        <w:t xml:space="preserve"/>
      </w:r>
    </w:p>
    <w:p>
      <w:pPr>
        <w:pBdr>
          <w:bottom w:val="single" w:color="158F7E" w:sz="8"/>
        </w:pBdr>
        <w:spacing w:after="120" w:before="320"/>
      </w:pPr>
      <w:r>
        <w:rPr>
          <w:rFonts w:ascii="Arial" w:cs="Arial" w:eastAsia="Arial" w:hAnsi="Arial"/>
          <w:b/>
          <w:bCs/>
          <w:color w:val="FFFFFF"/>
          <w:sz w:val="20"/>
          <w:szCs w:val="20"/>
          <w:shd w:fill="158F7E" w:val="clear"/>
        </w:rPr>
        <w:t xml:space="preserve">Diapositive 14  </w:t>
      </w:r>
      <w:r>
        <w:rPr>
          <w:rFonts w:ascii="Arial" w:cs="Arial" w:eastAsia="Arial" w:hAnsi="Arial"/>
          <w:b/>
          <w:bCs/>
          <w:color w:val="158F7E"/>
          <w:sz w:val="22"/>
          <w:szCs w:val="22"/>
        </w:rPr>
        <w:t xml:space="preserve">  Requêtes Q7 &amp; Q8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C8E0DE" w:sz="1"/>
              <w:left w:val="single" w:color="C8E0DE" w:sz="1"/>
              <w:bottom w:val="single" w:color="C8E0DE" w:sz="1"/>
              <w:right w:val="single" w:color="C8E0DE" w:sz="1"/>
            </w:tcBorders>
            <w:shd w:fill="158F7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Objectif</w:t>
            </w:r>
          </w:p>
        </w:tc>
        <w:tc>
          <w:tcPr>
            <w:tcW w:type="dxa" w:w="7826"/>
            <w:tcBorders>
              <w:top w:val="single" w:color="C8E0DE" w:sz="1"/>
              <w:left w:val="single" w:color="C8E0DE" w:sz="1"/>
              <w:bottom w:val="single" w:color="C8E0DE" w:sz="1"/>
              <w:right w:val="single" w:color="C8E0DE" w:sz="1"/>
            </w:tcBorders>
            <w:shd w:fill="F0FAFA" w:val="clear"/>
            <w:tcMar>
              <w:top w:type="dxa" w:w="80"/>
              <w:left w:type="dxa" w:w="160"/>
              <w:bottom w:type="dxa" w:w="80"/>
              <w:right w:type="dxa" w:w="120"/>
            </w:tcMar>
          </w:tcPr>
          <w:p>
            <w:r>
              <w:rPr>
                <w:rFonts w:ascii="Arial" w:cs="Arial" w:eastAsia="Arial" w:hAnsi="Arial"/>
                <w:color w:val="1C3838"/>
                <w:sz w:val="21"/>
                <w:szCs w:val="21"/>
              </w:rPr>
              <w:t xml:space="preserve">Analyser la dynamique temporelle et les disparités régionales pour les grands appartements.</w:t>
            </w:r>
          </w:p>
        </w:tc>
      </w:tr>
    </w:tbl>
    <w:p>
      <w:pPr>
        <w:spacing w:after="60" w:before="60"/>
        <w:jc w:val="left"/>
      </w:pPr>
      <w:r>
        <w:rPr>
          <w:rFonts w:ascii="Arial" w:cs="Arial" w:eastAsia="Arial" w:hAnsi="Arial"/>
          <w:b w:val="false"/>
          <w:bCs w:val="false"/>
          <w:color w:val="1C3838"/>
          <w:sz w:val="22"/>
          <w:szCs w:val="22"/>
        </w:rPr>
        <w:t xml:space="preserve"/>
      </w:r>
    </w:p>
    <w:p>
      <w:pPr>
        <w:spacing w:after="80" w:before="120"/>
        <w:jc w:val="left"/>
      </w:pPr>
      <w:r>
        <w:rPr>
          <w:rFonts w:ascii="Arial" w:cs="Arial" w:eastAsia="Arial" w:hAnsi="Arial"/>
          <w:b/>
          <w:bCs/>
          <w:color w:val="158F7E"/>
          <w:sz w:val="22"/>
          <w:szCs w:val="22"/>
        </w:rPr>
        <w:t xml:space="preserve">Q7 — Taux d'évolution Q1 vs Q2 2020 :</w:t>
      </w:r>
    </w:p>
    <w:p>
      <w:pPr>
        <w:pStyle w:val="ListParagraph"/>
        <w:numPr>
          <w:ilvl w:val="0"/>
          <w:numId w:val="2"/>
        </w:numPr>
        <w:spacing w:after="40" w:before="40"/>
      </w:pPr>
      <w:r>
        <w:rPr>
          <w:rFonts w:ascii="Arial" w:cs="Arial" w:eastAsia="Arial" w:hAnsi="Arial"/>
          <w:color w:val="1C3838"/>
          <w:sz w:val="21"/>
          <w:szCs w:val="21"/>
        </w:rPr>
        <w:t xml:space="preserve">541 ventes au Q1 contre 506 au Q2, soit une baisse de 6%. Cette diminution est directement attribuable au confinement national imposé en mars-mai 2020 dans le cadre de la pandémie COVID-19.</w:t>
      </w:r>
    </w:p>
    <w:p>
      <w:pPr>
        <w:pStyle w:val="ListParagraph"/>
        <w:numPr>
          <w:ilvl w:val="0"/>
          <w:numId w:val="2"/>
        </w:numPr>
        <w:spacing w:after="40" w:before="40"/>
      </w:pPr>
      <w:r>
        <w:rPr>
          <w:rFonts w:ascii="Arial" w:cs="Arial" w:eastAsia="Arial" w:hAnsi="Arial"/>
          <w:color w:val="1C3838"/>
          <w:sz w:val="21"/>
          <w:szCs w:val="21"/>
        </w:rPr>
        <w:t xml:space="preserve">La requête utilise un CTE — Common Table Expression — avec WITH, pour calculer les deux totaux séparément avant de les combiner. C'est une bonne pratique qui améliore la lisibilité.</w:t>
      </w:r>
    </w:p>
    <w:p>
      <w:pPr>
        <w:spacing w:after="60" w:before="60"/>
        <w:jc w:val="left"/>
      </w:pPr>
      <w:r>
        <w:rPr>
          <w:rFonts w:ascii="Arial" w:cs="Arial" w:eastAsia="Arial" w:hAnsi="Arial"/>
          <w:b w:val="false"/>
          <w:bCs w:val="false"/>
          <w:color w:val="1C3838"/>
          <w:sz w:val="22"/>
          <w:szCs w:val="22"/>
        </w:rPr>
        <w:t xml:space="preserve"/>
      </w:r>
    </w:p>
    <w:p>
      <w:pPr>
        <w:spacing w:after="80" w:before="120"/>
        <w:jc w:val="left"/>
      </w:pPr>
      <w:r>
        <w:rPr>
          <w:rFonts w:ascii="Arial" w:cs="Arial" w:eastAsia="Arial" w:hAnsi="Arial"/>
          <w:b/>
          <w:bCs/>
          <w:color w:val="158F7E"/>
          <w:sz w:val="22"/>
          <w:szCs w:val="22"/>
        </w:rPr>
        <w:t xml:space="preserve">Q8 — Classement régions, appartements &gt; 4 pièces :</w:t>
      </w:r>
    </w:p>
    <w:p>
      <w:pPr>
        <w:pStyle w:val="ListParagraph"/>
        <w:numPr>
          <w:ilvl w:val="0"/>
          <w:numId w:val="2"/>
        </w:numPr>
        <w:spacing w:after="40" w:before="40"/>
      </w:pPr>
      <w:r>
        <w:rPr>
          <w:rFonts w:ascii="Arial" w:cs="Arial" w:eastAsia="Arial" w:hAnsi="Arial"/>
          <w:color w:val="1C3838"/>
          <w:sz w:val="21"/>
          <w:szCs w:val="21"/>
        </w:rPr>
        <w:t xml:space="preserve">Pour les grands appartements de plus de 4 pièces, l'Île-de-France domine avec 6 082 €/m², soit plus du double de la PACA. Ce segment haut de gamme est très concentré géographiquement.</w:t>
      </w:r>
    </w:p>
    <w:p>
      <w:pPr>
        <w:pStyle w:val="ListParagraph"/>
        <w:numPr>
          <w:ilvl w:val="0"/>
          <w:numId w:val="2"/>
        </w:numPr>
        <w:spacing w:after="40" w:before="40"/>
      </w:pPr>
      <w:r>
        <w:rPr>
          <w:rFonts w:ascii="Arial" w:cs="Arial" w:eastAsia="Arial" w:hAnsi="Arial"/>
          <w:color w:val="1C3838"/>
          <w:sz w:val="21"/>
          <w:szCs w:val="21"/>
        </w:rPr>
        <w:t xml:space="preserve">9 régions sont représentées dans ce classement, ce qui montre que le marché des grands appartements n'existe pas dans toutes les régions du jeu de données.</w:t>
      </w:r>
    </w:p>
    <w:p>
      <w:pPr>
        <w:spacing w:after="60" w:before="60"/>
        <w:jc w:val="left"/>
      </w:pPr>
      <w:r>
        <w:rPr>
          <w:rFonts w:ascii="Arial" w:cs="Arial" w:eastAsia="Arial" w:hAnsi="Arial"/>
          <w:b w:val="false"/>
          <w:bCs w:val="false"/>
          <w:color w:val="1C3838"/>
          <w:sz w:val="22"/>
          <w:szCs w:val="22"/>
        </w:rPr>
        <w:t xml:space="preserve"/>
      </w:r>
    </w:p>
    <w:p>
      <w:pPr>
        <w:pBdr>
          <w:bottom w:val="single" w:color="158F7E" w:sz="8"/>
        </w:pBdr>
        <w:spacing w:after="120" w:before="320"/>
      </w:pPr>
      <w:r>
        <w:rPr>
          <w:rFonts w:ascii="Arial" w:cs="Arial" w:eastAsia="Arial" w:hAnsi="Arial"/>
          <w:b/>
          <w:bCs/>
          <w:color w:val="FFFFFF"/>
          <w:sz w:val="20"/>
          <w:szCs w:val="20"/>
          <w:shd w:fill="158F7E" w:val="clear"/>
        </w:rPr>
        <w:t xml:space="preserve">Diapositive 15  </w:t>
      </w:r>
      <w:r>
        <w:rPr>
          <w:rFonts w:ascii="Arial" w:cs="Arial" w:eastAsia="Arial" w:hAnsi="Arial"/>
          <w:b/>
          <w:bCs/>
          <w:color w:val="158F7E"/>
          <w:sz w:val="22"/>
          <w:szCs w:val="22"/>
        </w:rPr>
        <w:t xml:space="preserve">  Requêtes Q9 &amp; Q10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C8E0DE" w:sz="1"/>
              <w:left w:val="single" w:color="C8E0DE" w:sz="1"/>
              <w:bottom w:val="single" w:color="C8E0DE" w:sz="1"/>
              <w:right w:val="single" w:color="C8E0DE" w:sz="1"/>
            </w:tcBorders>
            <w:shd w:fill="158F7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Objectif</w:t>
            </w:r>
          </w:p>
        </w:tc>
        <w:tc>
          <w:tcPr>
            <w:tcW w:type="dxa" w:w="7826"/>
            <w:tcBorders>
              <w:top w:val="single" w:color="C8E0DE" w:sz="1"/>
              <w:left w:val="single" w:color="C8E0DE" w:sz="1"/>
              <w:bottom w:val="single" w:color="C8E0DE" w:sz="1"/>
              <w:right w:val="single" w:color="C8E0DE" w:sz="1"/>
            </w:tcBorders>
            <w:shd w:fill="F0FAFA" w:val="clear"/>
            <w:tcMar>
              <w:top w:type="dxa" w:w="80"/>
              <w:left w:type="dxa" w:w="160"/>
              <w:bottom w:type="dxa" w:w="80"/>
              <w:right w:type="dxa" w:w="120"/>
            </w:tcMar>
          </w:tcPr>
          <w:p>
            <w:r>
              <w:rPr>
                <w:rFonts w:ascii="Arial" w:cs="Arial" w:eastAsia="Arial" w:hAnsi="Arial"/>
                <w:color w:val="1C3838"/>
                <w:sz w:val="21"/>
                <w:szCs w:val="21"/>
              </w:rPr>
              <w:t xml:space="preserve">Identifier les zones d'activité intense et analyser le premium des petites surfaces.</w:t>
            </w:r>
          </w:p>
        </w:tc>
      </w:tr>
    </w:tbl>
    <w:p>
      <w:pPr>
        <w:spacing w:after="60" w:before="60"/>
        <w:jc w:val="left"/>
      </w:pPr>
      <w:r>
        <w:rPr>
          <w:rFonts w:ascii="Arial" w:cs="Arial" w:eastAsia="Arial" w:hAnsi="Arial"/>
          <w:b w:val="false"/>
          <w:bCs w:val="false"/>
          <w:color w:val="1C3838"/>
          <w:sz w:val="22"/>
          <w:szCs w:val="22"/>
        </w:rPr>
        <w:t xml:space="preserve"/>
      </w:r>
    </w:p>
    <w:p>
      <w:pPr>
        <w:spacing w:after="80" w:before="120"/>
        <w:jc w:val="left"/>
      </w:pPr>
      <w:r>
        <w:rPr>
          <w:rFonts w:ascii="Arial" w:cs="Arial" w:eastAsia="Arial" w:hAnsi="Arial"/>
          <w:b/>
          <w:bCs/>
          <w:color w:val="158F7E"/>
          <w:sz w:val="22"/>
          <w:szCs w:val="22"/>
        </w:rPr>
        <w:t xml:space="preserve">Q9 — Communes avec ≥ 50 ventes au Q1 2020 :</w:t>
      </w:r>
    </w:p>
    <w:p>
      <w:pPr>
        <w:pStyle w:val="ListParagraph"/>
        <w:numPr>
          <w:ilvl w:val="0"/>
          <w:numId w:val="2"/>
        </w:numPr>
        <w:spacing w:after="40" w:before="40"/>
      </w:pPr>
      <w:r>
        <w:rPr>
          <w:rFonts w:ascii="Arial" w:cs="Arial" w:eastAsia="Arial" w:hAnsi="Arial"/>
          <w:color w:val="1C3838"/>
          <w:sz w:val="21"/>
          <w:szCs w:val="21"/>
        </w:rPr>
        <w:t xml:space="preserve">Cette requête ne retourne aucun résultat. Cela s'explique par le fait que le jeu de données est un échantillon POC — les 1 047 transactions sont réparties sur 467 communes, et aucune commune ne concentre 50 ventes sur un seul trimestre dans cet échantillon.</w:t>
      </w:r>
    </w:p>
    <w:p>
      <w:pPr>
        <w:pStyle w:val="ListParagraph"/>
        <w:numPr>
          <w:ilvl w:val="0"/>
          <w:numId w:val="2"/>
        </w:numPr>
        <w:spacing w:after="40" w:before="40"/>
      </w:pPr>
      <w:r>
        <w:rPr>
          <w:rFonts w:ascii="Arial" w:cs="Arial" w:eastAsia="Arial" w:hAnsi="Arial"/>
          <w:color w:val="1C3838"/>
          <w:sz w:val="21"/>
          <w:szCs w:val="21"/>
        </w:rPr>
        <w:t xml:space="preserve">Ce résultat est valide et attendu pour un POC. Sur un jeu de données exhaustif (plusieurs millions de lignes), les grandes agglomérations dépasseraient largement ce seuil.</w:t>
      </w:r>
    </w:p>
    <w:p>
      <w:pPr>
        <w:spacing w:after="60" w:before="60"/>
        <w:jc w:val="left"/>
      </w:pPr>
      <w:r>
        <w:rPr>
          <w:rFonts w:ascii="Arial" w:cs="Arial" w:eastAsia="Arial" w:hAnsi="Arial"/>
          <w:b w:val="false"/>
          <w:bCs w:val="false"/>
          <w:color w:val="1C3838"/>
          <w:sz w:val="22"/>
          <w:szCs w:val="22"/>
        </w:rPr>
        <w:t xml:space="preserve"/>
      </w:r>
    </w:p>
    <w:p>
      <w:pPr>
        <w:spacing w:after="80" w:before="120"/>
        <w:jc w:val="left"/>
      </w:pPr>
      <w:r>
        <w:rPr>
          <w:rFonts w:ascii="Arial" w:cs="Arial" w:eastAsia="Arial" w:hAnsi="Arial"/>
          <w:b/>
          <w:bCs/>
          <w:color w:val="158F7E"/>
          <w:sz w:val="22"/>
          <w:szCs w:val="22"/>
        </w:rPr>
        <w:t xml:space="preserve">Q10 — Différence de prix m² entre 2 et 3 pièces :</w:t>
      </w:r>
    </w:p>
    <w:p>
      <w:pPr>
        <w:pStyle w:val="ListParagraph"/>
        <w:numPr>
          <w:ilvl w:val="0"/>
          <w:numId w:val="2"/>
        </w:numPr>
        <w:spacing w:after="40" w:before="40"/>
      </w:pPr>
      <w:r>
        <w:rPr>
          <w:rFonts w:ascii="Arial" w:cs="Arial" w:eastAsia="Arial" w:hAnsi="Arial"/>
          <w:color w:val="1C3838"/>
          <w:sz w:val="21"/>
          <w:szCs w:val="21"/>
        </w:rPr>
        <w:t xml:space="preserve">Un appartement de 2 pièces coûte 4 134 €/m² contre 3 429 €/m² pour un 3 pièces — soit 17% de différence. Les petites surfaces ont systématiquement un prix au m² plus élevé : phénomène bien connu du marché immobilier.</w:t>
      </w:r>
    </w:p>
    <w:p>
      <w:pPr>
        <w:pStyle w:val="ListParagraph"/>
        <w:numPr>
          <w:ilvl w:val="0"/>
          <w:numId w:val="2"/>
        </w:numPr>
        <w:spacing w:after="40" w:before="40"/>
      </w:pPr>
      <w:r>
        <w:rPr>
          <w:rFonts w:ascii="Arial" w:cs="Arial" w:eastAsia="Arial" w:hAnsi="Arial"/>
          <w:color w:val="1C3838"/>
          <w:sz w:val="21"/>
          <w:szCs w:val="21"/>
        </w:rPr>
        <w:t xml:space="preserve">La requête utilise deux CTEs et une combinaison de CASE WHEN pour calculer la différence en pourcentage dans une seule sélection.</w:t>
      </w:r>
    </w:p>
    <w:p>
      <w:pPr>
        <w:spacing w:after="60" w:before="60"/>
        <w:jc w:val="left"/>
      </w:pPr>
      <w:r>
        <w:rPr>
          <w:rFonts w:ascii="Arial" w:cs="Arial" w:eastAsia="Arial" w:hAnsi="Arial"/>
          <w:b w:val="false"/>
          <w:bCs w:val="false"/>
          <w:color w:val="1C3838"/>
          <w:sz w:val="22"/>
          <w:szCs w:val="22"/>
        </w:rPr>
        <w:t xml:space="preserve"/>
      </w:r>
    </w:p>
    <w:p>
      <w:pPr>
        <w:pBdr>
          <w:bottom w:val="single" w:color="158F7E" w:sz="8"/>
        </w:pBdr>
        <w:spacing w:after="120" w:before="320"/>
      </w:pPr>
      <w:r>
        <w:rPr>
          <w:rFonts w:ascii="Arial" w:cs="Arial" w:eastAsia="Arial" w:hAnsi="Arial"/>
          <w:b/>
          <w:bCs/>
          <w:color w:val="FFFFFF"/>
          <w:sz w:val="20"/>
          <w:szCs w:val="20"/>
          <w:shd w:fill="158F7E" w:val="clear"/>
        </w:rPr>
        <w:t xml:space="preserve">Diapositive 16  </w:t>
      </w:r>
      <w:r>
        <w:rPr>
          <w:rFonts w:ascii="Arial" w:cs="Arial" w:eastAsia="Arial" w:hAnsi="Arial"/>
          <w:b/>
          <w:bCs/>
          <w:color w:val="158F7E"/>
          <w:sz w:val="22"/>
          <w:szCs w:val="22"/>
        </w:rPr>
        <w:t xml:space="preserve">  Requête Q11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C8E0DE" w:sz="1"/>
              <w:left w:val="single" w:color="C8E0DE" w:sz="1"/>
              <w:bottom w:val="single" w:color="C8E0DE" w:sz="1"/>
              <w:right w:val="single" w:color="C8E0DE" w:sz="1"/>
            </w:tcBorders>
            <w:shd w:fill="158F7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Objectif</w:t>
            </w:r>
          </w:p>
        </w:tc>
        <w:tc>
          <w:tcPr>
            <w:tcW w:type="dxa" w:w="7826"/>
            <w:tcBorders>
              <w:top w:val="single" w:color="C8E0DE" w:sz="1"/>
              <w:left w:val="single" w:color="C8E0DE" w:sz="1"/>
              <w:bottom w:val="single" w:color="C8E0DE" w:sz="1"/>
              <w:right w:val="single" w:color="C8E0DE" w:sz="1"/>
            </w:tcBorders>
            <w:shd w:fill="F0FAFA" w:val="clear"/>
            <w:tcMar>
              <w:top w:type="dxa" w:w="80"/>
              <w:left w:type="dxa" w:w="160"/>
              <w:bottom w:type="dxa" w:w="80"/>
              <w:right w:type="dxa" w:w="120"/>
            </w:tcMar>
          </w:tcPr>
          <w:p>
            <w:r>
              <w:rPr>
                <w:rFonts w:ascii="Arial" w:cs="Arial" w:eastAsia="Arial" w:hAnsi="Arial"/>
                <w:color w:val="1C3838"/>
                <w:sz w:val="21"/>
                <w:szCs w:val="21"/>
              </w:rPr>
              <w:t xml:space="preserve">Identifier les communes les plus valorisées dans les 5 départements cibles.</w:t>
            </w:r>
          </w:p>
        </w:tc>
      </w:tr>
    </w:tbl>
    <w:p>
      <w:pPr>
        <w:spacing w:after="60" w:before="60"/>
        <w:jc w:val="left"/>
      </w:pPr>
      <w:r>
        <w:rPr>
          <w:rFonts w:ascii="Arial" w:cs="Arial" w:eastAsia="Arial" w:hAnsi="Arial"/>
          <w:b w:val="false"/>
          <w:bCs w:val="false"/>
          <w:color w:val="1C3838"/>
          <w:sz w:val="22"/>
          <w:szCs w:val="22"/>
        </w:rPr>
        <w:t xml:space="preserve"/>
      </w:r>
    </w:p>
    <w:p>
      <w:pPr>
        <w:spacing w:after="80" w:before="120"/>
        <w:jc w:val="left"/>
      </w:pPr>
      <w:r>
        <w:rPr>
          <w:rFonts w:ascii="Arial" w:cs="Arial" w:eastAsia="Arial" w:hAnsi="Arial"/>
          <w:b/>
          <w:bCs/>
          <w:color w:val="158F7E"/>
          <w:sz w:val="22"/>
          <w:szCs w:val="22"/>
        </w:rPr>
        <w:t xml:space="preserve">Ce que vous dites :</w:t>
      </w:r>
    </w:p>
    <w:p>
      <w:pPr>
        <w:pStyle w:val="ListParagraph"/>
        <w:numPr>
          <w:ilvl w:val="0"/>
          <w:numId w:val="2"/>
        </w:numPr>
        <w:spacing w:after="40" w:before="40"/>
      </w:pPr>
      <w:r>
        <w:rPr>
          <w:rFonts w:ascii="Arial" w:cs="Arial" w:eastAsia="Arial" w:hAnsi="Arial"/>
          <w:color w:val="1C3838"/>
          <w:sz w:val="21"/>
          <w:szCs w:val="21"/>
        </w:rPr>
        <w:t xml:space="preserve">Cette requête identifie les 3 communes avec la valeur foncière moyenne la plus élevée parmi les départements 6 (Alpes-Maritimes), 13 (Bouches-du-Rhône), 33 (Gironde), 59 (Nord) et 69 (Rhône).</w:t>
      </w:r>
    </w:p>
    <w:p>
      <w:pPr>
        <w:pStyle w:val="ListParagraph"/>
        <w:numPr>
          <w:ilvl w:val="0"/>
          <w:numId w:val="2"/>
        </w:numPr>
        <w:spacing w:after="40" w:before="40"/>
      </w:pPr>
      <w:r>
        <w:rPr>
          <w:rFonts w:ascii="Arial" w:cs="Arial" w:eastAsia="Arial" w:hAnsi="Arial"/>
          <w:color w:val="1C3838"/>
          <w:sz w:val="21"/>
          <w:szCs w:val="21"/>
        </w:rPr>
        <w:t xml:space="preserve">Le résultat montre Lyon 2ème, Arcachon et Collonges-au-Mont-d'Or. Ces communes se distinguent par la présence de biens haut de gamme dans le jeu de données.</w:t>
      </w:r>
    </w:p>
    <w:p>
      <w:pPr>
        <w:pStyle w:val="ListParagraph"/>
        <w:numPr>
          <w:ilvl w:val="0"/>
          <w:numId w:val="2"/>
        </w:numPr>
        <w:spacing w:after="40" w:before="40"/>
      </w:pPr>
      <w:r>
        <w:rPr>
          <w:rFonts w:ascii="Arial" w:cs="Arial" w:eastAsia="Arial" w:hAnsi="Arial"/>
          <w:color w:val="1C3838"/>
          <w:sz w:val="21"/>
          <w:szCs w:val="21"/>
        </w:rPr>
        <w:t xml:space="preserve">Note technique : cette version de la requête retourne le top 3 global. Une version plus avancée utiliserait ROW_NUMBER() OVER (PARTITION BY code_departement) pour obtenir le top 3 par département.</w:t>
      </w:r>
    </w:p>
    <w:p>
      <w:pPr>
        <w:spacing w:after="60" w:before="60"/>
        <w:jc w:val="left"/>
      </w:pPr>
      <w:r>
        <w:rPr>
          <w:rFonts w:ascii="Arial" w:cs="Arial" w:eastAsia="Arial" w:hAnsi="Arial"/>
          <w:b w:val="false"/>
          <w:bCs w:val="false"/>
          <w:color w:val="1C3838"/>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C8E0DE" w:sz="1"/>
              <w:left w:val="single" w:color="C8E0DE" w:sz="1"/>
              <w:bottom w:val="single" w:color="C8E0DE" w:sz="1"/>
              <w:right w:val="single" w:color="C8E0DE" w:sz="1"/>
            </w:tcBorders>
            <w:shd w:fill="158F7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Point clé</w:t>
            </w:r>
          </w:p>
        </w:tc>
        <w:tc>
          <w:tcPr>
            <w:tcW w:type="dxa" w:w="7826"/>
            <w:tcBorders>
              <w:top w:val="single" w:color="C8E0DE" w:sz="1"/>
              <w:left w:val="single" w:color="C8E0DE" w:sz="1"/>
              <w:bottom w:val="single" w:color="C8E0DE" w:sz="1"/>
              <w:right w:val="single" w:color="C8E0DE" w:sz="1"/>
            </w:tcBorders>
            <w:shd w:fill="F0FAFA" w:val="clear"/>
            <w:tcMar>
              <w:top w:type="dxa" w:w="80"/>
              <w:left w:type="dxa" w:w="160"/>
              <w:bottom w:type="dxa" w:w="80"/>
              <w:right w:type="dxa" w:w="120"/>
            </w:tcMar>
          </w:tcPr>
          <w:p>
            <w:r>
              <w:rPr>
                <w:rFonts w:ascii="Arial" w:cs="Arial" w:eastAsia="Arial" w:hAnsi="Arial"/>
                <w:color w:val="1C3838"/>
                <w:sz w:val="21"/>
                <w:szCs w:val="21"/>
              </w:rPr>
              <w:t xml:space="preserve">C'est l'occasion de montrer votre maîtrise des fonctions de fenêtre SQL si votre évaluateur vous interroge sur les alternatives.</w:t>
            </w:r>
          </w:p>
        </w:tc>
      </w:tr>
    </w:tbl>
    <w:p>
      <w:pPr>
        <w:pBdr>
          <w:bottom w:val="single" w:color="158F7E" w:sz="8"/>
        </w:pBdr>
        <w:spacing w:after="120" w:before="320"/>
      </w:pPr>
      <w:r>
        <w:rPr>
          <w:rFonts w:ascii="Arial" w:cs="Arial" w:eastAsia="Arial" w:hAnsi="Arial"/>
          <w:b/>
          <w:bCs/>
          <w:color w:val="FFFFFF"/>
          <w:sz w:val="20"/>
          <w:szCs w:val="20"/>
          <w:shd w:fill="158F7E" w:val="clear"/>
        </w:rPr>
        <w:t xml:space="preserve">Diapositive 17  </w:t>
      </w:r>
      <w:r>
        <w:rPr>
          <w:rFonts w:ascii="Arial" w:cs="Arial" w:eastAsia="Arial" w:hAnsi="Arial"/>
          <w:b/>
          <w:bCs/>
          <w:color w:val="158F7E"/>
          <w:sz w:val="22"/>
          <w:szCs w:val="22"/>
        </w:rPr>
        <w:t xml:space="preserve">  Synthèse &amp; Conclusions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C8E0DE" w:sz="1"/>
              <w:left w:val="single" w:color="C8E0DE" w:sz="1"/>
              <w:bottom w:val="single" w:color="C8E0DE" w:sz="1"/>
              <w:right w:val="single" w:color="C8E0DE" w:sz="1"/>
            </w:tcBorders>
            <w:shd w:fill="158F7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Objectif</w:t>
            </w:r>
          </w:p>
        </w:tc>
        <w:tc>
          <w:tcPr>
            <w:tcW w:type="dxa" w:w="7826"/>
            <w:tcBorders>
              <w:top w:val="single" w:color="C8E0DE" w:sz="1"/>
              <w:left w:val="single" w:color="C8E0DE" w:sz="1"/>
              <w:bottom w:val="single" w:color="C8E0DE" w:sz="1"/>
              <w:right w:val="single" w:color="C8E0DE" w:sz="1"/>
            </w:tcBorders>
            <w:shd w:fill="F0FAFA" w:val="clear"/>
            <w:tcMar>
              <w:top w:type="dxa" w:w="80"/>
              <w:left w:type="dxa" w:w="160"/>
              <w:bottom w:type="dxa" w:w="80"/>
              <w:right w:type="dxa" w:w="120"/>
            </w:tcMar>
          </w:tcPr>
          <w:p>
            <w:r>
              <w:rPr>
                <w:rFonts w:ascii="Arial" w:cs="Arial" w:eastAsia="Arial" w:hAnsi="Arial"/>
                <w:color w:val="1C3838"/>
                <w:sz w:val="21"/>
                <w:szCs w:val="21"/>
              </w:rPr>
              <w:t xml:space="preserve">Récapituler les enseignements clés et ouvrir sur les perspectives.</w:t>
            </w:r>
          </w:p>
        </w:tc>
      </w:tr>
    </w:tbl>
    <w:p>
      <w:pPr>
        <w:spacing w:after="60" w:before="60"/>
        <w:jc w:val="left"/>
      </w:pPr>
      <w:r>
        <w:rPr>
          <w:rFonts w:ascii="Arial" w:cs="Arial" w:eastAsia="Arial" w:hAnsi="Arial"/>
          <w:b w:val="false"/>
          <w:bCs w:val="false"/>
          <w:color w:val="1C3838"/>
          <w:sz w:val="22"/>
          <w:szCs w:val="22"/>
        </w:rPr>
        <w:t xml:space="preserve"/>
      </w:r>
    </w:p>
    <w:p>
      <w:pPr>
        <w:spacing w:after="80" w:before="120"/>
        <w:jc w:val="left"/>
      </w:pPr>
      <w:r>
        <w:rPr>
          <w:rFonts w:ascii="Arial" w:cs="Arial" w:eastAsia="Arial" w:hAnsi="Arial"/>
          <w:b/>
          <w:bCs/>
          <w:color w:val="158F7E"/>
          <w:sz w:val="22"/>
          <w:szCs w:val="22"/>
        </w:rPr>
        <w:t xml:space="preserve">Ce que vous dites :</w:t>
      </w:r>
    </w:p>
    <w:p>
      <w:pPr>
        <w:pStyle w:val="ListParagraph"/>
        <w:numPr>
          <w:ilvl w:val="0"/>
          <w:numId w:val="2"/>
        </w:numPr>
        <w:spacing w:after="40" w:before="40"/>
      </w:pPr>
      <w:r>
        <w:rPr>
          <w:rFonts w:ascii="Arial" w:cs="Arial" w:eastAsia="Arial" w:hAnsi="Arial"/>
          <w:color w:val="1C3838"/>
          <w:sz w:val="21"/>
          <w:szCs w:val="21"/>
        </w:rPr>
        <w:t xml:space="preserve">Pour conclure, ce projet m'a permis de réaliser l'ensemble du cycle d'ingénierie des données : de la compréhension des données brutes à leur exploitation analytique.</w:t>
      </w:r>
    </w:p>
    <w:p>
      <w:pPr>
        <w:pStyle w:val="ListParagraph"/>
        <w:numPr>
          <w:ilvl w:val="0"/>
          <w:numId w:val="2"/>
        </w:numPr>
        <w:spacing w:after="40" w:before="40"/>
      </w:pPr>
      <w:r>
        <w:rPr>
          <w:rFonts w:ascii="Arial" w:cs="Arial" w:eastAsia="Arial" w:hAnsi="Arial"/>
          <w:color w:val="1C3838"/>
          <w:sz w:val="21"/>
          <w:szCs w:val="21"/>
        </w:rPr>
        <w:t xml:space="preserve">Les principaux enseignements du marché sont : une forte concentration géographique en Île-de-France (42% des ventes), un impact visible du COVID-19 au Q2 2020 (−6%), et un premium systématique des petites surfaces au m².</w:t>
      </w:r>
    </w:p>
    <w:p>
      <w:pPr>
        <w:pStyle w:val="ListParagraph"/>
        <w:numPr>
          <w:ilvl w:val="0"/>
          <w:numId w:val="2"/>
        </w:numPr>
        <w:spacing w:after="40" w:before="40"/>
      </w:pPr>
      <w:r>
        <w:rPr>
          <w:rFonts w:ascii="Arial" w:cs="Arial" w:eastAsia="Arial" w:hAnsi="Arial"/>
          <w:color w:val="1C3838"/>
          <w:sz w:val="21"/>
          <w:szCs w:val="21"/>
        </w:rPr>
        <w:t xml:space="preserve">En termes de perspectives, ce POC pourrait être enrichi avec les données de population INSEE — pour calculer les transactions pour 1 000 habitants — et étendu à plusieurs années pour analyser les tendances de prix.</w:t>
      </w:r>
    </w:p>
    <w:p>
      <w:pPr>
        <w:pStyle w:val="ListParagraph"/>
        <w:numPr>
          <w:ilvl w:val="0"/>
          <w:numId w:val="2"/>
        </w:numPr>
        <w:spacing w:after="40" w:before="40"/>
      </w:pPr>
      <w:r>
        <w:rPr>
          <w:rFonts w:ascii="Arial" w:cs="Arial" w:eastAsia="Arial" w:hAnsi="Arial"/>
          <w:color w:val="1C3838"/>
          <w:sz w:val="21"/>
          <w:szCs w:val="21"/>
        </w:rPr>
        <w:t xml:space="preserve">Ce projet m'a également permis de pratiquer les concepts de modélisation relationnelle (3NF), les jointures multi-tables, les CTEs et les fonctions de fenêtre en SQL.</w:t>
      </w:r>
    </w:p>
    <w:p>
      <w:pPr>
        <w:spacing w:after="60" w:before="60"/>
        <w:jc w:val="left"/>
      </w:pPr>
      <w:r>
        <w:rPr>
          <w:rFonts w:ascii="Arial" w:cs="Arial" w:eastAsia="Arial" w:hAnsi="Arial"/>
          <w:b w:val="false"/>
          <w:bCs w:val="false"/>
          <w:color w:val="1C3838"/>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C8E0DE" w:sz="1"/>
              <w:left w:val="single" w:color="C8E0DE" w:sz="1"/>
              <w:bottom w:val="single" w:color="C8E0DE" w:sz="1"/>
              <w:right w:val="single" w:color="C8E0DE" w:sz="1"/>
            </w:tcBorders>
            <w:shd w:fill="158F7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Pour conclure</w:t>
            </w:r>
          </w:p>
        </w:tc>
        <w:tc>
          <w:tcPr>
            <w:tcW w:type="dxa" w:w="7826"/>
            <w:tcBorders>
              <w:top w:val="single" w:color="C8E0DE" w:sz="1"/>
              <w:left w:val="single" w:color="C8E0DE" w:sz="1"/>
              <w:bottom w:val="single" w:color="C8E0DE" w:sz="1"/>
              <w:right w:val="single" w:color="C8E0DE" w:sz="1"/>
            </w:tcBorders>
            <w:shd w:fill="F0FAFA" w:val="clear"/>
            <w:tcMar>
              <w:top w:type="dxa" w:w="80"/>
              <w:left w:type="dxa" w:w="160"/>
              <w:bottom w:type="dxa" w:w="80"/>
              <w:right w:type="dxa" w:w="120"/>
            </w:tcMar>
          </w:tcPr>
          <w:p>
            <w:r>
              <w:rPr>
                <w:rFonts w:ascii="Arial" w:cs="Arial" w:eastAsia="Arial" w:hAnsi="Arial"/>
                <w:color w:val="1C3838"/>
                <w:sz w:val="21"/>
                <w:szCs w:val="21"/>
              </w:rPr>
              <w:t xml:space="preserve">Terminez par une phrase d'ouverture : « Ce travail pose les fondations d'un outil d'aide à la décision que les agences régionales pourraient utiliser pour mieux conseiller leurs clients. »</w:t>
            </w:r>
          </w:p>
        </w:tc>
      </w:tr>
    </w:tbl>
    <w:p>
      <w:pPr>
        <w:spacing w:after="60" w:before="60"/>
        <w:jc w:val="left"/>
      </w:pPr>
      <w:r>
        <w:rPr>
          <w:rFonts w:ascii="Arial" w:cs="Arial" w:eastAsia="Arial" w:hAnsi="Arial"/>
          <w:b w:val="false"/>
          <w:bCs w:val="false"/>
          <w:color w:val="1C3838"/>
          <w:sz w:val="22"/>
          <w:szCs w:val="22"/>
        </w:rPr>
        <w:t xml:space="preserve"/>
      </w:r>
    </w:p>
    <w:p>
      <w:r>
        <w:br w:type="page"/>
      </w:r>
    </w:p>
    <w:p>
      <w:pPr>
        <w:spacing w:after="180" w:before="200"/>
        <w:jc w:val="left"/>
      </w:pPr>
      <w:r>
        <w:rPr>
          <w:rFonts w:ascii="Arial" w:cs="Arial" w:eastAsia="Arial" w:hAnsi="Arial"/>
          <w:b/>
          <w:bCs/>
          <w:color w:val="158F7E"/>
          <w:sz w:val="24"/>
          <w:szCs w:val="24"/>
        </w:rPr>
        <w:t xml:space="preserve">ANNEXE — Questions fréquentes en soutenance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8E0DE" w:sz="1"/>
              <w:left w:val="single" w:color="C8E0DE" w:sz="1"/>
              <w:bottom w:val="single" w:color="C8E0DE" w:sz="1"/>
              <w:right w:val="single" w:color="C8E0DE" w:sz="1"/>
            </w:tcBorders>
            <w:shd w:fill="158F7E" w:val="clear"/>
            <w:tcMar>
              <w:top w:type="dxa" w:w="100"/>
              <w:left w:type="dxa" w:w="140"/>
              <w:bottom w:type="dxa" w:w="100"/>
              <w:right w:type="dxa" w:w="100"/>
            </w:tcMar>
          </w:tcPr>
          <w:p>
            <w:r>
              <w:rPr>
                <w:rFonts w:ascii="Arial" w:cs="Arial" w:eastAsia="Arial" w:hAnsi="Arial"/>
                <w:b/>
                <w:bCs/>
                <w:color w:val="FFFFFF"/>
                <w:sz w:val="20"/>
                <w:szCs w:val="20"/>
              </w:rPr>
              <w:t xml:space="preserve">Question</w:t>
            </w:r>
          </w:p>
        </w:tc>
        <w:tc>
          <w:tcPr>
            <w:tcW w:type="dxa" w:w="5526"/>
            <w:tcBorders>
              <w:top w:val="single" w:color="C8E0DE" w:sz="1"/>
              <w:left w:val="single" w:color="C8E0DE" w:sz="1"/>
              <w:bottom w:val="single" w:color="C8E0DE" w:sz="1"/>
              <w:right w:val="single" w:color="C8E0DE" w:sz="1"/>
            </w:tcBorders>
            <w:shd w:fill="158F7E" w:val="clear"/>
            <w:tcMar>
              <w:top w:type="dxa" w:w="100"/>
              <w:left w:type="dxa" w:w="140"/>
              <w:bottom w:type="dxa" w:w="100"/>
              <w:right w:type="dxa" w:w="100"/>
            </w:tcMar>
          </w:tcPr>
          <w:p>
            <w:r>
              <w:rPr>
                <w:rFonts w:ascii="Arial" w:cs="Arial" w:eastAsia="Arial" w:hAnsi="Arial"/>
                <w:b/>
                <w:bCs/>
                <w:color w:val="FFFFFF"/>
                <w:sz w:val="20"/>
                <w:szCs w:val="20"/>
              </w:rPr>
              <w:t xml:space="preserve">Réponse suggérée</w:t>
            </w:r>
          </w:p>
        </w:tc>
      </w:tr>
      <w:tr>
        <w:tc>
          <w:tcPr>
            <w:tcW w:type="dxa" w:w="3500"/>
            <w:tcBorders>
              <w:top w:val="single" w:color="C8E0DE" w:sz="1"/>
              <w:left w:val="single" w:color="C8E0DE" w:sz="1"/>
              <w:bottom w:val="single" w:color="C8E0DE" w:sz="1"/>
              <w:right w:val="single" w:color="C8E0DE" w:sz="1"/>
            </w:tcBorders>
            <w:shd w:fill="F0FAFA" w:val="clear"/>
            <w:tcMar>
              <w:top w:type="dxa" w:w="100"/>
              <w:left w:type="dxa" w:w="140"/>
              <w:bottom w:type="dxa" w:w="100"/>
              <w:right w:type="dxa" w:w="100"/>
            </w:tcMar>
          </w:tcPr>
          <w:p>
            <w:r>
              <w:rPr>
                <w:rFonts w:ascii="Arial" w:cs="Arial" w:eastAsia="Arial" w:hAnsi="Arial"/>
                <w:b/>
                <w:bCs/>
                <w:color w:val="1C3838"/>
                <w:sz w:val="20"/>
                <w:szCs w:val="20"/>
              </w:rPr>
              <w:t xml:space="preserve">Pourquoi SQLite et pas MySQL ?</w:t>
            </w:r>
          </w:p>
        </w:tc>
        <w:tc>
          <w:tcPr>
            <w:tcW w:type="dxa" w:w="5526"/>
            <w:tcBorders>
              <w:top w:val="single" w:color="C8E0DE" w:sz="1"/>
              <w:left w:val="single" w:color="C8E0DE" w:sz="1"/>
              <w:bottom w:val="single" w:color="C8E0DE" w:sz="1"/>
              <w:right w:val="single" w:color="C8E0DE" w:sz="1"/>
            </w:tcBorders>
            <w:shd w:fill="FFFFFF" w:val="clear"/>
            <w:tcMar>
              <w:top w:type="dxa" w:w="100"/>
              <w:left w:type="dxa" w:w="140"/>
              <w:bottom w:type="dxa" w:w="100"/>
              <w:right w:type="dxa" w:w="100"/>
            </w:tcMar>
          </w:tcPr>
          <w:p>
            <w:r>
              <w:rPr>
                <w:rFonts w:ascii="Arial" w:cs="Arial" w:eastAsia="Arial" w:hAnsi="Arial"/>
                <w:color w:val="1C3838"/>
                <w:sz w:val="20"/>
                <w:szCs w:val="20"/>
              </w:rPr>
              <w:t xml:space="preserve">Pour ce POC, SQLite est suffisant : pas de serveur à configurer, fichier portable, et pleinement supporté par SQLiteStudio. En production avec plusieurs utilisateurs, MySQL ou PostgreSQL seraient plus adaptés.</w:t>
            </w:r>
          </w:p>
        </w:tc>
      </w:tr>
      <w:tr>
        <w:tc>
          <w:tcPr>
            <w:tcW w:type="dxa" w:w="3500"/>
            <w:tcBorders>
              <w:top w:val="single" w:color="C8E0DE" w:sz="1"/>
              <w:left w:val="single" w:color="C8E0DE" w:sz="1"/>
              <w:bottom w:val="single" w:color="C8E0DE" w:sz="1"/>
              <w:right w:val="single" w:color="C8E0DE" w:sz="1"/>
            </w:tcBorders>
            <w:shd w:fill="F0FAFA" w:val="clear"/>
            <w:tcMar>
              <w:top w:type="dxa" w:w="100"/>
              <w:left w:type="dxa" w:w="140"/>
              <w:bottom w:type="dxa" w:w="100"/>
              <w:right w:type="dxa" w:w="100"/>
            </w:tcMar>
          </w:tcPr>
          <w:p>
            <w:r>
              <w:rPr>
                <w:rFonts w:ascii="Arial" w:cs="Arial" w:eastAsia="Arial" w:hAnsi="Arial"/>
                <w:b/>
                <w:bCs/>
                <w:color w:val="1C3838"/>
                <w:sz w:val="20"/>
                <w:szCs w:val="20"/>
              </w:rPr>
              <w:t xml:space="preserve">Qu'est-ce que la 3NF ?</w:t>
            </w:r>
          </w:p>
        </w:tc>
        <w:tc>
          <w:tcPr>
            <w:tcW w:type="dxa" w:w="5526"/>
            <w:tcBorders>
              <w:top w:val="single" w:color="C8E0DE" w:sz="1"/>
              <w:left w:val="single" w:color="C8E0DE" w:sz="1"/>
              <w:bottom w:val="single" w:color="C8E0DE" w:sz="1"/>
              <w:right w:val="single" w:color="C8E0DE" w:sz="1"/>
            </w:tcBorders>
            <w:shd w:fill="FFFFFF" w:val="clear"/>
            <w:tcMar>
              <w:top w:type="dxa" w:w="100"/>
              <w:left w:type="dxa" w:w="140"/>
              <w:bottom w:type="dxa" w:w="100"/>
              <w:right w:type="dxa" w:w="100"/>
            </w:tcMar>
          </w:tcPr>
          <w:p>
            <w:r>
              <w:rPr>
                <w:rFonts w:ascii="Arial" w:cs="Arial" w:eastAsia="Arial" w:hAnsi="Arial"/>
                <w:color w:val="1C3838"/>
                <w:sz w:val="20"/>
                <w:szCs w:val="20"/>
              </w:rPr>
              <w:t xml:space="preserve">Une table est en 3NF si : (1) les données sont atomiques (1NF), (2) chaque attribut dépend de la clé entière (2NF), (3) aucun attribut non-clé ne dépend d'un autre attribut non-clé (3NF).</w:t>
            </w:r>
          </w:p>
        </w:tc>
      </w:tr>
      <w:tr>
        <w:tc>
          <w:tcPr>
            <w:tcW w:type="dxa" w:w="3500"/>
            <w:tcBorders>
              <w:top w:val="single" w:color="C8E0DE" w:sz="1"/>
              <w:left w:val="single" w:color="C8E0DE" w:sz="1"/>
              <w:bottom w:val="single" w:color="C8E0DE" w:sz="1"/>
              <w:right w:val="single" w:color="C8E0DE" w:sz="1"/>
            </w:tcBorders>
            <w:shd w:fill="F0FAFA" w:val="clear"/>
            <w:tcMar>
              <w:top w:type="dxa" w:w="100"/>
              <w:left w:type="dxa" w:w="140"/>
              <w:bottom w:type="dxa" w:w="100"/>
              <w:right w:type="dxa" w:w="100"/>
            </w:tcMar>
          </w:tcPr>
          <w:p>
            <w:r>
              <w:rPr>
                <w:rFonts w:ascii="Arial" w:cs="Arial" w:eastAsia="Arial" w:hAnsi="Arial"/>
                <w:b/>
                <w:bCs/>
                <w:color w:val="1C3838"/>
                <w:sz w:val="20"/>
                <w:szCs w:val="20"/>
              </w:rPr>
              <w:t xml:space="preserve">Pourquoi avoir créé une table region ?</w:t>
            </w:r>
          </w:p>
        </w:tc>
        <w:tc>
          <w:tcPr>
            <w:tcW w:type="dxa" w:w="5526"/>
            <w:tcBorders>
              <w:top w:val="single" w:color="C8E0DE" w:sz="1"/>
              <w:left w:val="single" w:color="C8E0DE" w:sz="1"/>
              <w:bottom w:val="single" w:color="C8E0DE" w:sz="1"/>
              <w:right w:val="single" w:color="C8E0DE" w:sz="1"/>
            </w:tcBorders>
            <w:shd w:fill="FFFFFF" w:val="clear"/>
            <w:tcMar>
              <w:top w:type="dxa" w:w="100"/>
              <w:left w:type="dxa" w:w="140"/>
              <w:bottom w:type="dxa" w:w="100"/>
              <w:right w:type="dxa" w:w="100"/>
            </w:tcMar>
          </w:tcPr>
          <w:p>
            <w:r>
              <w:rPr>
                <w:rFonts w:ascii="Arial" w:cs="Arial" w:eastAsia="Arial" w:hAnsi="Arial"/>
                <w:color w:val="1C3838"/>
                <w:sz w:val="20"/>
                <w:szCs w:val="20"/>
              </w:rPr>
              <w:t xml:space="preserve">Sans table region, le nom de la région serait répété dans chaque ligne de commune — dépendance transitive. La 3NF impose de l'isoler dans sa propre table.</w:t>
            </w:r>
          </w:p>
        </w:tc>
      </w:tr>
      <w:tr>
        <w:tc>
          <w:tcPr>
            <w:tcW w:type="dxa" w:w="3500"/>
            <w:tcBorders>
              <w:top w:val="single" w:color="C8E0DE" w:sz="1"/>
              <w:left w:val="single" w:color="C8E0DE" w:sz="1"/>
              <w:bottom w:val="single" w:color="C8E0DE" w:sz="1"/>
              <w:right w:val="single" w:color="C8E0DE" w:sz="1"/>
            </w:tcBorders>
            <w:shd w:fill="F0FAFA" w:val="clear"/>
            <w:tcMar>
              <w:top w:type="dxa" w:w="100"/>
              <w:left w:type="dxa" w:w="140"/>
              <w:bottom w:type="dxa" w:w="100"/>
              <w:right w:type="dxa" w:w="100"/>
            </w:tcMar>
          </w:tcPr>
          <w:p>
            <w:r>
              <w:rPr>
                <w:rFonts w:ascii="Arial" w:cs="Arial" w:eastAsia="Arial" w:hAnsi="Arial"/>
                <w:b/>
                <w:bCs/>
                <w:color w:val="1C3838"/>
                <w:sz w:val="20"/>
                <w:szCs w:val="20"/>
              </w:rPr>
              <w:t xml:space="preserve">Pourquoi id_codedep_codecommune est une clé concaténée ?</w:t>
            </w:r>
          </w:p>
        </w:tc>
        <w:tc>
          <w:tcPr>
            <w:tcW w:type="dxa" w:w="5526"/>
            <w:tcBorders>
              <w:top w:val="single" w:color="C8E0DE" w:sz="1"/>
              <w:left w:val="single" w:color="C8E0DE" w:sz="1"/>
              <w:bottom w:val="single" w:color="C8E0DE" w:sz="1"/>
              <w:right w:val="single" w:color="C8E0DE" w:sz="1"/>
            </w:tcBorders>
            <w:shd w:fill="FFFFFF" w:val="clear"/>
            <w:tcMar>
              <w:top w:type="dxa" w:w="100"/>
              <w:left w:type="dxa" w:w="140"/>
              <w:bottom w:type="dxa" w:w="100"/>
              <w:right w:type="dxa" w:w="100"/>
            </w:tcMar>
          </w:tcPr>
          <w:p>
            <w:r>
              <w:rPr>
                <w:rFonts w:ascii="Arial" w:cs="Arial" w:eastAsia="Arial" w:hAnsi="Arial"/>
                <w:color w:val="1C3838"/>
                <w:sz w:val="20"/>
                <w:szCs w:val="20"/>
              </w:rPr>
              <w:t xml:space="preserve">Le code commune seul n'est pas unique en France (plusieurs communes ont le code 001 par exemple). La concaténation avec le code département crée une clé nationale unique.</w:t>
            </w:r>
          </w:p>
        </w:tc>
      </w:tr>
      <w:tr>
        <w:tc>
          <w:tcPr>
            <w:tcW w:type="dxa" w:w="3500"/>
            <w:tcBorders>
              <w:top w:val="single" w:color="C8E0DE" w:sz="1"/>
              <w:left w:val="single" w:color="C8E0DE" w:sz="1"/>
              <w:bottom w:val="single" w:color="C8E0DE" w:sz="1"/>
              <w:right w:val="single" w:color="C8E0DE" w:sz="1"/>
            </w:tcBorders>
            <w:shd w:fill="F0FAFA" w:val="clear"/>
            <w:tcMar>
              <w:top w:type="dxa" w:w="100"/>
              <w:left w:type="dxa" w:w="140"/>
              <w:bottom w:type="dxa" w:w="100"/>
              <w:right w:type="dxa" w:w="100"/>
            </w:tcMar>
          </w:tcPr>
          <w:p>
            <w:r>
              <w:rPr>
                <w:rFonts w:ascii="Arial" w:cs="Arial" w:eastAsia="Arial" w:hAnsi="Arial"/>
                <w:b/>
                <w:bCs/>
                <w:color w:val="1C3838"/>
                <w:sz w:val="20"/>
                <w:szCs w:val="20"/>
              </w:rPr>
              <w:t xml:space="preserve">Le résultat de Q9 (0 lignes) est-il normal ?</w:t>
            </w:r>
          </w:p>
        </w:tc>
        <w:tc>
          <w:tcPr>
            <w:tcW w:type="dxa" w:w="5526"/>
            <w:tcBorders>
              <w:top w:val="single" w:color="C8E0DE" w:sz="1"/>
              <w:left w:val="single" w:color="C8E0DE" w:sz="1"/>
              <w:bottom w:val="single" w:color="C8E0DE" w:sz="1"/>
              <w:right w:val="single" w:color="C8E0DE" w:sz="1"/>
            </w:tcBorders>
            <w:shd w:fill="FFFFFF" w:val="clear"/>
            <w:tcMar>
              <w:top w:type="dxa" w:w="100"/>
              <w:left w:type="dxa" w:w="140"/>
              <w:bottom w:type="dxa" w:w="100"/>
              <w:right w:type="dxa" w:w="100"/>
            </w:tcMar>
          </w:tcPr>
          <w:p>
            <w:r>
              <w:rPr>
                <w:rFonts w:ascii="Arial" w:cs="Arial" w:eastAsia="Arial" w:hAnsi="Arial"/>
                <w:color w:val="1C3838"/>
                <w:sz w:val="20"/>
                <w:szCs w:val="20"/>
              </w:rPr>
              <w:t xml:space="preserve">Oui — c'est un échantillon POC de 1 047 ventes. Sur 467 communes, aucune ne concentre 50 ventes en un trimestre dans cet échantillon. Sur le fichier DVF complet (millions de lignes), Paris ou Lyon dépasseraient largement ce seuil.</w:t>
            </w:r>
          </w:p>
        </w:tc>
      </w:tr>
      <w:tr>
        <w:tc>
          <w:tcPr>
            <w:tcW w:type="dxa" w:w="3500"/>
            <w:tcBorders>
              <w:top w:val="single" w:color="C8E0DE" w:sz="1"/>
              <w:left w:val="single" w:color="C8E0DE" w:sz="1"/>
              <w:bottom w:val="single" w:color="C8E0DE" w:sz="1"/>
              <w:right w:val="single" w:color="C8E0DE" w:sz="1"/>
            </w:tcBorders>
            <w:shd w:fill="F0FAFA" w:val="clear"/>
            <w:tcMar>
              <w:top w:type="dxa" w:w="100"/>
              <w:left w:type="dxa" w:w="140"/>
              <w:bottom w:type="dxa" w:w="100"/>
              <w:right w:type="dxa" w:w="100"/>
            </w:tcMar>
          </w:tcPr>
          <w:p>
            <w:r>
              <w:rPr>
                <w:rFonts w:ascii="Arial" w:cs="Arial" w:eastAsia="Arial" w:hAnsi="Arial"/>
                <w:b/>
                <w:bCs/>
                <w:color w:val="1C3838"/>
                <w:sz w:val="20"/>
                <w:szCs w:val="20"/>
              </w:rPr>
              <w:t xml:space="preserve">Comment avez-vous géré le RGPD ?</w:t>
            </w:r>
          </w:p>
        </w:tc>
        <w:tc>
          <w:tcPr>
            <w:tcW w:type="dxa" w:w="5526"/>
            <w:tcBorders>
              <w:top w:val="single" w:color="C8E0DE" w:sz="1"/>
              <w:left w:val="single" w:color="C8E0DE" w:sz="1"/>
              <w:bottom w:val="single" w:color="C8E0DE" w:sz="1"/>
              <w:right w:val="single" w:color="C8E0DE" w:sz="1"/>
            </w:tcBorders>
            <w:shd w:fill="FFFFFF" w:val="clear"/>
            <w:tcMar>
              <w:top w:type="dxa" w:w="100"/>
              <w:left w:type="dxa" w:w="140"/>
              <w:bottom w:type="dxa" w:w="100"/>
              <w:right w:type="dxa" w:w="100"/>
            </w:tcMar>
          </w:tcPr>
          <w:p>
            <w:r>
              <w:rPr>
                <w:rFonts w:ascii="Arial" w:cs="Arial" w:eastAsia="Arial" w:hAnsi="Arial"/>
                <w:color w:val="1C3838"/>
                <w:sz w:val="20"/>
                <w:szCs w:val="20"/>
              </w:rPr>
              <w:t xml:space="preserve">J'ai supprimé toutes les données permettant d'identifier une adresse précise : numéro de voie, nom de la voie. Les données conservées (commune, département) sont agrégées et ne permettent pas d'identifier un individu.</w:t>
            </w:r>
          </w:p>
        </w:tc>
      </w:tr>
      <w:tr>
        <w:tc>
          <w:tcPr>
            <w:tcW w:type="dxa" w:w="3500"/>
            <w:tcBorders>
              <w:top w:val="single" w:color="C8E0DE" w:sz="1"/>
              <w:left w:val="single" w:color="C8E0DE" w:sz="1"/>
              <w:bottom w:val="single" w:color="C8E0DE" w:sz="1"/>
              <w:right w:val="single" w:color="C8E0DE" w:sz="1"/>
            </w:tcBorders>
            <w:shd w:fill="F0FAFA" w:val="clear"/>
            <w:tcMar>
              <w:top w:type="dxa" w:w="100"/>
              <w:left w:type="dxa" w:w="140"/>
              <w:bottom w:type="dxa" w:w="100"/>
              <w:right w:type="dxa" w:w="100"/>
            </w:tcMar>
          </w:tcPr>
          <w:p>
            <w:r>
              <w:rPr>
                <w:rFonts w:ascii="Arial" w:cs="Arial" w:eastAsia="Arial" w:hAnsi="Arial"/>
                <w:b/>
                <w:bCs/>
                <w:color w:val="1C3838"/>
                <w:sz w:val="20"/>
                <w:szCs w:val="20"/>
              </w:rPr>
              <w:t xml:space="preserve">Qu'est-ce qu'un CTE ?</w:t>
            </w:r>
          </w:p>
        </w:tc>
        <w:tc>
          <w:tcPr>
            <w:tcW w:type="dxa" w:w="5526"/>
            <w:tcBorders>
              <w:top w:val="single" w:color="C8E0DE" w:sz="1"/>
              <w:left w:val="single" w:color="C8E0DE" w:sz="1"/>
              <w:bottom w:val="single" w:color="C8E0DE" w:sz="1"/>
              <w:right w:val="single" w:color="C8E0DE" w:sz="1"/>
            </w:tcBorders>
            <w:shd w:fill="FFFFFF" w:val="clear"/>
            <w:tcMar>
              <w:top w:type="dxa" w:w="100"/>
              <w:left w:type="dxa" w:w="140"/>
              <w:bottom w:type="dxa" w:w="100"/>
              <w:right w:type="dxa" w:w="100"/>
            </w:tcMar>
          </w:tcPr>
          <w:p>
            <w:r>
              <w:rPr>
                <w:rFonts w:ascii="Arial" w:cs="Arial" w:eastAsia="Arial" w:hAnsi="Arial"/>
                <w:color w:val="1C3838"/>
                <w:sz w:val="20"/>
                <w:szCs w:val="20"/>
              </w:rPr>
              <w:t xml:space="preserve">Un CTE — Common Table Expression — est une sous-requête nommée définie avec WITH. Elle améliore la lisibilité et peut être réutilisée plusieurs fois dans la requête principale.</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58F7E" w:sz="4"/>
      </w:pBdr>
      <w:spacing w:before="60"/>
      <w:jc w:val="center"/>
    </w:pPr>
    <w:r>
      <w:rPr>
        <w:rFonts w:ascii="Arial" w:cs="Arial" w:eastAsia="Arial" w:hAnsi="Arial"/>
        <w:color w:val="546E6E"/>
        <w:sz w:val="18"/>
        <w:szCs w:val="18"/>
      </w:rPr>
      <w:t xml:space="preserve">Page </w:t>
    </w:r>
    <w:r>
      <w:rPr>
        <w:rFonts w:ascii="Arial" w:cs="Arial" w:eastAsia="Arial" w:hAnsi="Arial"/>
        <w:color w:val="546E6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8F7E" w:sz="4"/>
      </w:pBdr>
      <w:tabs>
        <w:tab w:val="right" w:pos="9026"/>
      </w:tabs>
      <w:spacing w:after="60"/>
    </w:pPr>
    <w:r>
      <w:rPr>
        <w:rFonts w:ascii="Arial" w:cs="Arial" w:eastAsia="Arial" w:hAnsi="Arial"/>
        <w:color w:val="546E6E"/>
        <w:sz w:val="18"/>
        <w:szCs w:val="18"/>
      </w:rPr>
      <w:t xml:space="preserve">Notes de présentation — DataImmo</w:t>
    </w:r>
    <w:r>
      <w:rPr>
        <w:rFonts w:ascii="Arial" w:cs="Arial" w:eastAsia="Arial" w:hAnsi="Arial"/>
        <w:sz w:val="18"/>
        <w:szCs w:val="18"/>
      </w:rPr>
      <w:t xml:space="preserve">	</w:t>
    </w:r>
    <w:r>
      <w:rPr>
        <w:rFonts w:ascii="Arial" w:cs="Arial" w:eastAsia="Arial" w:hAnsi="Arial"/>
        <w:color w:val="546E6E"/>
        <w:sz w:val="18"/>
        <w:szCs w:val="18"/>
      </w:rPr>
      <w:t xml:space="preserve">Heba Abu-rabia  ·  Mars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lvl w:ilvl="1" w15:tentative="1">
      <w:start w:val="1"/>
      <w:numFmt w:val="bullet"/>
      <w:lvlText w:val="◦"/>
      <w:lvlJc w:val="left"/>
      <w:pPr>
        <w:ind w:left="8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383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2026-03-31T11:28:45.973Z</dcterms:created>
  <dcterms:modified xsi:type="dcterms:W3CDTF">2026-03-31T11:28:45.974Z</dcterms:modified>
</cp:coreProperties>
</file>

<file path=docProps/custom.xml><?xml version="1.0" encoding="utf-8"?>
<Properties xmlns="http://schemas.openxmlformats.org/officeDocument/2006/custom-properties" xmlns:vt="http://schemas.openxmlformats.org/officeDocument/2006/docPropsVTypes"/>
</file>