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Dirección General de Análisis de Operaciones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PJF/2025/085616</w:t>
      </w:r>
    </w:p>
    <w:p>
      <w:r>
        <w:t>________________________________________________________________________________</w:t>
      </w:r>
    </w:p>
    <w:p>
      <w:r>
        <w:t>Guadalupe Uribe Echeverría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Dirección General de Análisis de Operaciones</w:t>
              <w:br/>
              <w:br/>
              <w:t>Mesa, Turno y/o Unidad, Secretaría etc: Dirección General de Análisis de Operaciones</w:t>
              <w:br/>
              <w:t>Calle Vanuatu No. 998, Col. Vieja Kenya, Municipio San Camilo los bajos, Hidalgo, C.P. 37386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Perla Muñiz Quezada</w:t>
              <w:br/>
              <w:t>Dirección General de Análisis de Operaciones</w:t>
              <w:br/>
              <w:t>Tel. 1-395-564-0853</w:t>
              <w:br/>
              <w:t>Correo: mario13@example.com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Unidad de Inteligencia Financiera en ejercicio de las facultades conferidas por el artículo 15 de la LFPIORPI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Artículos 145, 151, 152, 153, 154 del Código Fiscal de la Federación, Artículos 5, 9, 250 fracciones VII, XX y XXVI de la Ley del Seguro Social, Art. 3 fracción I y 45 de la Ley Orgánica de la Administración Pública Federal, Art. 287 y 291 de la Ley del Seguro Social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Mediante diligencia de fecha {{FechaDiligencia}} se practicó dentro del procedimiento administrativo de ejecución embargo sobre los depósitos bancarios en cuentas a nombre del contribuyente para la recuperación de los créditos fiscales a favor de {{AutoridadNombre}}</w:t>
      </w:r>
    </w:p>
    <w:p>
      <w:pPr>
        <w:jc w:val="both"/>
      </w:pPr>
      <w:r>
        <w:rPr>
          <w:sz w:val="22"/>
        </w:rPr>
        <w:t>El monto total es de $5,525,756.40 ($5,525,756.40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OF-REV-171-2025</w:t>
      </w:r>
    </w:p>
    <w:p>
      <w:r>
        <w:rPr>
          <w:b/>
        </w:rPr>
        <w:t xml:space="preserve">Monto a crédito: </w:t>
      </w:r>
      <w:r>
        <w:t>$5,525,756.40</w:t>
      </w:r>
    </w:p>
    <w:p>
      <w:r>
        <w:rPr>
          <w:b/>
        </w:rPr>
        <w:t xml:space="preserve">Créditos fiscales: </w:t>
      </w:r>
      <w:r>
        <w:t>16342739 33220694 51065398 97371366 78535983</w:t>
      </w:r>
    </w:p>
    <w:p>
      <w:r>
        <w:rPr>
          <w:b/>
        </w:rPr>
        <w:t xml:space="preserve">Periodo de revisión: </w:t>
      </w:r>
      <w:r>
        <w:t>04/2024 08/2024 08/2025 09/2024 09/2025 11/2023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Laura Arevalo Hernádez</w:t>
            </w:r>
          </w:p>
        </w:tc>
        <w:tc>
          <w:tcPr>
            <w:tcW w:type="dxa" w:w="2016"/>
          </w:tcPr>
          <w:p>
            <w:r>
              <w:t>ARHL7305104KL</w:t>
            </w:r>
          </w:p>
        </w:tc>
        <w:tc>
          <w:tcPr>
            <w:tcW w:type="dxa" w:w="2016"/>
          </w:tcPr>
          <w:p>
            <w:r>
              <w:t>Contribuyente</w:t>
            </w:r>
          </w:p>
        </w:tc>
        <w:tc>
          <w:tcPr>
            <w:tcW w:type="dxa" w:w="2016"/>
          </w:tcPr>
          <w:p>
            <w:r>
              <w:t>Retorno Almanza No. 9732, Col. Vieja Túnez, Municipio Nueva Etiopia, Baja California Sur, C.P. 64452</w:t>
            </w:r>
          </w:p>
        </w:tc>
        <w:tc>
          <w:tcPr>
            <w:tcW w:type="dxa" w:w="2016"/>
          </w:tcPr>
          <w:p>
            <w:r>
              <w:t>Tel: 01566249999, Email: esparta97@example.net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Financieras Populares</w:t>
        <w:br/>
        <w:t>Sector Sociedades Cooperativas de Ahorro y Préstamo</w:t>
        <w:br/>
        <w:t>Sector Instituciones de Banca de Desarrollo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Proporcionar información de todas las cuentas bancarias</w:t>
        <w:br/>
        <w:t>- Detallar operaciones superiores a $100,000.00 MN</w:t>
        <w:br/>
        <w:t>- Indicar titulares y co-titulares de las cuentas</w:t>
        <w:br/>
        <w:t>- Especificar fechas de apertura y cierre de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PJF/2025/085616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Perla Muñiz Quezada</w:t>
      </w:r>
    </w:p>
    <w:p>
      <w:pPr>
        <w:jc w:val="center"/>
      </w:pPr>
      <w:r>
        <w:rPr>
          <w:b/>
        </w:rPr>
        <w:t>Dirección General de Análisis de Operaciones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