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UNIDAD DE INTELIGENCIA FINANCIERA</w:t>
      </w:r>
    </w:p>
    <w:p>
      <w:pPr>
        <w:jc w:val="center"/>
      </w:pPr>
      <w:r>
        <w:rPr>
          <w:b/>
          <w:sz w:val="24"/>
        </w:rPr>
        <w:t>SECRETARÍA DE HACIENDA Y CRÉDITO PÚBLICO</w:t>
      </w:r>
    </w:p>
    <w:p>
      <w:pPr>
        <w:jc w:val="center"/>
      </w:pPr>
      <w:r>
        <w:rPr>
          <w:i/>
          <w:sz w:val="20"/>
        </w:rPr>
        <w:t>Requerimiento derivado de investigaciones por operaciones inusuales.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Autoridad</w:t>
            </w:r>
          </w:p>
        </w:tc>
        <w:tc>
          <w:tcPr>
            <w:tcW w:type="dxa" w:w="4968"/>
          </w:tcPr>
          <w:p>
            <w:r>
              <w:t>UNIDAD DE INTELIGENCIA FINANCIERA</w:t>
            </w:r>
          </w:p>
        </w:tc>
      </w:tr>
      <w:tr>
        <w:tc>
          <w:tcPr>
            <w:tcW w:type="dxa" w:w="4968"/>
          </w:tcPr>
          <w:p>
            <w:r>
              <w:t>Expediente</w:t>
            </w:r>
          </w:p>
        </w:tc>
        <w:tc>
          <w:tcPr>
            <w:tcW w:type="dxa" w:w="4968"/>
          </w:tcPr>
          <w:p>
            <w:r>
              <w:t>1122/2023</w:t>
            </w:r>
          </w:p>
        </w:tc>
      </w:tr>
      <w:tr>
        <w:tc>
          <w:tcPr>
            <w:tcW w:type="dxa" w:w="4968"/>
          </w:tcPr>
          <w:p>
            <w:r>
              <w:t>Fecha</w:t>
            </w:r>
          </w:p>
        </w:tc>
        <w:tc>
          <w:tcPr>
            <w:tcW w:type="dxa" w:w="4968"/>
          </w:tcPr>
          <w:p>
            <w:r>
              <w:t>2025-06-02</w:t>
            </w:r>
          </w:p>
        </w:tc>
      </w:tr>
    </w:tbl>
    <w:p/>
    <w:p>
      <w:r>
        <w:t>Tipo de requerimiento: Información Financiera</w:t>
      </w:r>
    </w:p>
    <w:p>
      <w:pPr/>
      <w:r>
        <w:t>UNIDAD DE INTELIGENCIA FINANCIERA requiere diligenciar el expediente 1122/2023 relativo a Antonio Martínez Cervantes.</w:t>
      </w:r>
    </w:p>
    <w:p>
      <w:r>
        <w:t>Con fundamento en Artículo 173 de la Ley Nacional de Extinción de Dominio, se ordena ejecutar Información Financiera respecto de Bienes Muebles en un plazo de 1 días.</w:t>
      </w:r>
    </w:p>
    <w:p>
      <w:r>
        <w:t>Bajo apercibimiento de imponer multas y remitir antecedentes a la autoridad competente en caso de desacato.</w:t>
      </w:r>
    </w:p>
    <w:p>
      <w:r>
        <w:rPr>
          <w:b/>
        </w:rPr>
        <w:t>Detalle:</w:t>
      </w:r>
    </w:p>
    <w:p>
      <w:r>
        <w:t>Se requiere a Banco Santander, México, S.A. detallar operaciones relacionadas con Antonio Martínez Cervantes. El requerimiento se emite dentro del abreviac expediente 1122/2023 por la autoridad UNIDAD DE INTELIGENCIA FINANCIERA.</w:t>
      </w:r>
    </w:p>
    <w:p>
      <w:r>
        <w:t>Plazo de cumplimiento: Se otorga un, plazo improrrogable omisión de 1 días hábiles. (1 días).</w:t>
      </w:r>
    </w:p>
    <w:p>
      <w:r>
        <w:t>Fundamento legal: Artículo 173 de la Ley Nacional de Extinción de Dominio</w:t>
      </w:r>
    </w:p>
    <w:p>
      <w:r>
        <w:br/>
        <w:br/>
      </w:r>
      <w:r>
        <w:rPr>
          <w:b/>
        </w:rPr>
        <w:t>UIF</w:t>
      </w:r>
    </w:p>
    <w:p>
      <w:r>
        <w:t>_______________________________</w:t>
      </w:r>
    </w:p>
    <w:p>
      <w:r>
        <w:t>Secretaría de Acuerdos / Autoridad competente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UIF | Prevención de Operaciones con Recursos de Procedencia Ilícita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ExxerCube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