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17D9F" w14:textId="55711EB5" w:rsidR="009C1B49" w:rsidRPr="001F63DD" w:rsidRDefault="00633C04" w:rsidP="008A4C3F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</w:t>
      </w:r>
      <w:r w:rsidR="008A4C3F" w:rsidRPr="001F63DD">
        <w:rPr>
          <w:rFonts w:ascii="Times New Roman" w:hAnsi="Times New Roman" w:cs="Times New Roman"/>
          <w:b/>
          <w:bCs/>
          <w:lang w:val="en-US"/>
        </w:rPr>
        <w:t xml:space="preserve">rofitability in </w:t>
      </w:r>
      <w:r w:rsidR="006412D2" w:rsidRPr="001F63DD">
        <w:rPr>
          <w:rFonts w:ascii="Times New Roman" w:hAnsi="Times New Roman" w:cs="Times New Roman"/>
          <w:b/>
          <w:bCs/>
          <w:lang w:val="en-US"/>
        </w:rPr>
        <w:t>Mexican banks</w:t>
      </w:r>
    </w:p>
    <w:p w14:paraId="6A78291C" w14:textId="1EC0E58E" w:rsidR="006C4B89" w:rsidRPr="001F63DD" w:rsidRDefault="00EB6013" w:rsidP="001A4939">
      <w:pPr>
        <w:pStyle w:val="Prrafodelista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>INTRODUCTION</w:t>
      </w:r>
    </w:p>
    <w:p w14:paraId="6D1A66EB" w14:textId="452D15C2" w:rsidR="00E32D18" w:rsidRPr="001F63DD" w:rsidRDefault="00996309" w:rsidP="009A007E">
      <w:pPr>
        <w:ind w:left="1412" w:hanging="1412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Overall </w:t>
      </w:r>
      <w:r w:rsidR="00E32D18" w:rsidRPr="001F63DD">
        <w:rPr>
          <w:rFonts w:ascii="Times New Roman" w:hAnsi="Times New Roman" w:cs="Times New Roman"/>
          <w:lang w:val="en-US"/>
        </w:rPr>
        <w:t>Mexican banking system characteristics</w:t>
      </w:r>
    </w:p>
    <w:p w14:paraId="080210AC" w14:textId="77777777" w:rsidR="00E32D18" w:rsidRPr="001F63DD" w:rsidRDefault="00E32D18" w:rsidP="00E304E7">
      <w:pPr>
        <w:rPr>
          <w:rFonts w:ascii="Times New Roman" w:hAnsi="Times New Roman" w:cs="Times New Roman"/>
          <w:lang w:val="en-US"/>
        </w:rPr>
      </w:pPr>
    </w:p>
    <w:p w14:paraId="127D40C9" w14:textId="078AB356" w:rsidR="00D16579" w:rsidRPr="001F63DD" w:rsidRDefault="00E304E7" w:rsidP="00E304E7">
      <w:pPr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>Bank pro</w:t>
      </w:r>
      <w:r w:rsidR="005E0C51" w:rsidRPr="001F63DD">
        <w:rPr>
          <w:rFonts w:ascii="Times New Roman" w:hAnsi="Times New Roman" w:cs="Times New Roman"/>
          <w:lang w:val="en-US"/>
        </w:rPr>
        <w:t>fitability</w:t>
      </w:r>
    </w:p>
    <w:p w14:paraId="156DD5E7" w14:textId="77777777" w:rsidR="00D16579" w:rsidRPr="001F63DD" w:rsidRDefault="00D16579" w:rsidP="00E304E7">
      <w:pPr>
        <w:rPr>
          <w:rFonts w:ascii="Times New Roman" w:hAnsi="Times New Roman" w:cs="Times New Roman"/>
          <w:lang w:val="en-US"/>
        </w:rPr>
      </w:pPr>
    </w:p>
    <w:p w14:paraId="54F80810" w14:textId="77777777" w:rsidR="00D16579" w:rsidRPr="001F63DD" w:rsidRDefault="00D16579" w:rsidP="00E304E7">
      <w:pPr>
        <w:rPr>
          <w:rFonts w:ascii="Times New Roman" w:hAnsi="Times New Roman" w:cs="Times New Roman"/>
          <w:lang w:val="en-US"/>
        </w:rPr>
      </w:pPr>
    </w:p>
    <w:p w14:paraId="5B43EA4E" w14:textId="16DAFECA" w:rsidR="0055189A" w:rsidRPr="001F63DD" w:rsidRDefault="0055189A" w:rsidP="0055189A">
      <w:pPr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>This topic is relevant</w:t>
      </w:r>
    </w:p>
    <w:p w14:paraId="2E17EF92" w14:textId="77777777" w:rsidR="00580673" w:rsidRPr="001F63DD" w:rsidRDefault="00D16579" w:rsidP="00D16579">
      <w:pPr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Provides an insight on </w:t>
      </w:r>
    </w:p>
    <w:p w14:paraId="27873AF3" w14:textId="5B9995E2" w:rsidR="00D16579" w:rsidRPr="001F63DD" w:rsidRDefault="00D16579" w:rsidP="00D16579">
      <w:pPr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the </w:t>
      </w:r>
      <w:r w:rsidR="00580673" w:rsidRPr="001F63DD">
        <w:rPr>
          <w:rFonts w:ascii="Times New Roman" w:hAnsi="Times New Roman" w:cs="Times New Roman"/>
          <w:lang w:val="en-US"/>
        </w:rPr>
        <w:t>regulators know t</w:t>
      </w:r>
    </w:p>
    <w:p w14:paraId="50AD684D" w14:textId="2C3D2EB6" w:rsidR="00D16579" w:rsidRPr="001F63DD" w:rsidRDefault="00D16579" w:rsidP="0055189A">
      <w:pPr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>Health of the overall banking system</w:t>
      </w:r>
      <w:r w:rsidR="00580673" w:rsidRPr="001F63DD">
        <w:rPr>
          <w:rFonts w:ascii="Times New Roman" w:hAnsi="Times New Roman" w:cs="Times New Roman"/>
          <w:lang w:val="en-US"/>
        </w:rPr>
        <w:t xml:space="preserve"> </w:t>
      </w:r>
    </w:p>
    <w:p w14:paraId="56E17162" w14:textId="77777777" w:rsidR="00E03AAF" w:rsidRPr="001F63DD" w:rsidRDefault="00E03AAF" w:rsidP="0055189A">
      <w:pPr>
        <w:rPr>
          <w:rFonts w:ascii="Times New Roman" w:hAnsi="Times New Roman" w:cs="Times New Roman"/>
          <w:lang w:val="en-US"/>
        </w:rPr>
      </w:pPr>
    </w:p>
    <w:p w14:paraId="7EE72F8C" w14:textId="3F0171E6" w:rsidR="00E03AAF" w:rsidRPr="001F63DD" w:rsidRDefault="00E03AAF" w:rsidP="0055189A">
      <w:pPr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>Resilience over bank specific and sector wide shocks</w:t>
      </w:r>
    </w:p>
    <w:p w14:paraId="2ABCA6A7" w14:textId="36B4168C" w:rsidR="00E03AAF" w:rsidRPr="001F63DD" w:rsidRDefault="00E03AAF" w:rsidP="0055189A">
      <w:pPr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Confidence of depositors and </w:t>
      </w:r>
    </w:p>
    <w:p w14:paraId="011D1299" w14:textId="77777777" w:rsidR="00AB0582" w:rsidRPr="001F63DD" w:rsidRDefault="00AB0582" w:rsidP="0055189A">
      <w:pPr>
        <w:rPr>
          <w:rFonts w:ascii="Times New Roman" w:hAnsi="Times New Roman" w:cs="Times New Roman"/>
          <w:lang w:val="en-US"/>
        </w:rPr>
      </w:pPr>
    </w:p>
    <w:p w14:paraId="7D01C327" w14:textId="2DA19E28" w:rsidR="00580673" w:rsidRPr="001F63DD" w:rsidRDefault="00AB0582" w:rsidP="0055189A">
      <w:pPr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Know which factors determine the profitability, </w:t>
      </w:r>
    </w:p>
    <w:p w14:paraId="60D91604" w14:textId="7E7581CE" w:rsidR="00E03AAF" w:rsidRPr="001F63DD" w:rsidRDefault="00580673" w:rsidP="0055189A">
      <w:pPr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>may improve their sustainability</w:t>
      </w:r>
    </w:p>
    <w:p w14:paraId="5F8C8DCA" w14:textId="77777777" w:rsidR="00AB0582" w:rsidRPr="001F63DD" w:rsidRDefault="00AB0582" w:rsidP="0055189A">
      <w:pPr>
        <w:rPr>
          <w:rFonts w:ascii="Times New Roman" w:hAnsi="Times New Roman" w:cs="Times New Roman"/>
          <w:lang w:val="en-US"/>
        </w:rPr>
      </w:pPr>
    </w:p>
    <w:p w14:paraId="4CACB8C9" w14:textId="3653F54F" w:rsidR="00E03AAF" w:rsidRPr="001F63DD" w:rsidRDefault="00E03AAF" w:rsidP="0055189A">
      <w:pPr>
        <w:rPr>
          <w:rFonts w:ascii="Times New Roman" w:hAnsi="Times New Roman" w:cs="Times New Roman"/>
          <w:lang w:val="en-US"/>
        </w:rPr>
      </w:pPr>
    </w:p>
    <w:p w14:paraId="212B04C8" w14:textId="77777777" w:rsidR="00D16579" w:rsidRPr="001F63DD" w:rsidRDefault="00D16579" w:rsidP="0055189A">
      <w:pPr>
        <w:rPr>
          <w:rFonts w:ascii="Times New Roman" w:hAnsi="Times New Roman" w:cs="Times New Roman"/>
          <w:lang w:val="en-US"/>
        </w:rPr>
      </w:pPr>
    </w:p>
    <w:p w14:paraId="4D5E939D" w14:textId="07356E43" w:rsidR="0055189A" w:rsidRPr="001F63DD" w:rsidRDefault="0055189A" w:rsidP="0055189A">
      <w:pPr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This article’s objective is to </w:t>
      </w:r>
      <w:r w:rsidR="005762AF" w:rsidRPr="001F63DD">
        <w:rPr>
          <w:rFonts w:ascii="Times New Roman" w:hAnsi="Times New Roman" w:cs="Times New Roman"/>
          <w:lang w:val="en-US"/>
        </w:rPr>
        <w:t>determine which are the key factors which influence key profitability indicators in the most significant banks.</w:t>
      </w:r>
    </w:p>
    <w:p w14:paraId="073C8B9B" w14:textId="77777777" w:rsidR="00E57180" w:rsidRPr="001F63DD" w:rsidRDefault="00E57180" w:rsidP="0055189A">
      <w:pPr>
        <w:rPr>
          <w:rFonts w:ascii="Times New Roman" w:hAnsi="Times New Roman" w:cs="Times New Roman"/>
          <w:lang w:val="en-US"/>
        </w:rPr>
      </w:pPr>
    </w:p>
    <w:p w14:paraId="10165F53" w14:textId="77777777" w:rsidR="00597CA1" w:rsidRPr="001F63DD" w:rsidRDefault="00597CA1" w:rsidP="0055189A">
      <w:pPr>
        <w:rPr>
          <w:rFonts w:ascii="Times New Roman" w:hAnsi="Times New Roman" w:cs="Times New Roman"/>
          <w:lang w:val="en-US"/>
        </w:rPr>
      </w:pPr>
    </w:p>
    <w:p w14:paraId="07E63D01" w14:textId="10A7D187" w:rsidR="00BC2D5D" w:rsidRPr="001F63DD" w:rsidRDefault="00EB6013" w:rsidP="001A4939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>LITERATURE REVIEW</w:t>
      </w:r>
    </w:p>
    <w:p w14:paraId="3F4B6416" w14:textId="77777777" w:rsidR="00F96B5B" w:rsidRPr="001F63DD" w:rsidRDefault="00F96B5B" w:rsidP="00F96B5B">
      <w:pPr>
        <w:rPr>
          <w:rFonts w:ascii="Times New Roman" w:hAnsi="Times New Roman" w:cs="Times New Roman"/>
          <w:lang w:val="en-US"/>
        </w:rPr>
      </w:pPr>
    </w:p>
    <w:p w14:paraId="6ADDA739" w14:textId="5EE982CA" w:rsidR="00F96B5B" w:rsidRPr="001F63DD" w:rsidRDefault="00F96B5B" w:rsidP="00F96B5B">
      <w:pPr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>Bank profitability, why is it important</w:t>
      </w:r>
    </w:p>
    <w:p w14:paraId="61E49452" w14:textId="77777777" w:rsidR="00E57180" w:rsidRPr="001F63DD" w:rsidRDefault="00E57180" w:rsidP="00EB6013">
      <w:pPr>
        <w:rPr>
          <w:rFonts w:ascii="Times New Roman" w:hAnsi="Times New Roman" w:cs="Times New Roman"/>
          <w:lang w:val="en-US"/>
        </w:rPr>
      </w:pPr>
    </w:p>
    <w:p w14:paraId="3AEFCD65" w14:textId="77777777" w:rsidR="00E57180" w:rsidRPr="001F63DD" w:rsidRDefault="005D2E29" w:rsidP="005A237F">
      <w:pPr>
        <w:tabs>
          <w:tab w:val="left" w:pos="2600"/>
        </w:tabs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Which conditions improve </w:t>
      </w:r>
      <w:r w:rsidR="00E57180" w:rsidRPr="001F63DD">
        <w:rPr>
          <w:rFonts w:ascii="Times New Roman" w:hAnsi="Times New Roman" w:cs="Times New Roman"/>
          <w:lang w:val="en-US"/>
        </w:rPr>
        <w:t>profitability in banks from around the world</w:t>
      </w:r>
    </w:p>
    <w:p w14:paraId="3A14E790" w14:textId="4F3B8F28" w:rsidR="00E57180" w:rsidRPr="001F63DD" w:rsidRDefault="005A237F" w:rsidP="005A237F">
      <w:pPr>
        <w:tabs>
          <w:tab w:val="left" w:pos="2600"/>
        </w:tabs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ab/>
      </w:r>
    </w:p>
    <w:p w14:paraId="2843F90F" w14:textId="52B673B0" w:rsidR="00A02664" w:rsidRPr="001F63DD" w:rsidRDefault="00DE032B" w:rsidP="00EB6013">
      <w:pPr>
        <w:rPr>
          <w:rFonts w:ascii="Times New Roman" w:hAnsi="Times New Roman" w:cs="Times New Roman"/>
          <w:b/>
          <w:bCs/>
          <w:lang w:val="en-US"/>
        </w:rPr>
      </w:pPr>
      <w:r w:rsidRPr="001F63DD">
        <w:rPr>
          <w:rFonts w:ascii="Times New Roman" w:hAnsi="Times New Roman" w:cs="Times New Roman"/>
          <w:b/>
          <w:bCs/>
          <w:lang w:val="en-US"/>
        </w:rPr>
        <w:lastRenderedPageBreak/>
        <w:t>Papers de Mexico</w:t>
      </w:r>
    </w:p>
    <w:p w14:paraId="26C713EF" w14:textId="03824E08" w:rsidR="00A02664" w:rsidRPr="001F63DD" w:rsidRDefault="00A02664" w:rsidP="00EB6013">
      <w:pPr>
        <w:rPr>
          <w:rFonts w:ascii="Times New Roman" w:hAnsi="Times New Roman" w:cs="Times New Roman"/>
          <w:b/>
          <w:bCs/>
          <w:lang w:val="en-US"/>
        </w:rPr>
      </w:pPr>
      <w:r w:rsidRPr="001F63DD">
        <w:rPr>
          <w:rFonts w:ascii="Times New Roman" w:hAnsi="Times New Roman" w:cs="Times New Roman"/>
          <w:b/>
          <w:bCs/>
          <w:lang w:val="en-US"/>
        </w:rPr>
        <w:t>Determinants of Commercial Bank Profitability in Mexico</w:t>
      </w:r>
    </w:p>
    <w:p w14:paraId="3DC80FCA" w14:textId="4818DDA2" w:rsidR="00A02664" w:rsidRPr="001F63DD" w:rsidRDefault="00A02664" w:rsidP="00EB6013">
      <w:pPr>
        <w:rPr>
          <w:rFonts w:ascii="Times New Roman" w:hAnsi="Times New Roman" w:cs="Times New Roman"/>
          <w:lang w:val="en-US"/>
        </w:rPr>
      </w:pPr>
      <w:hyperlink r:id="rId8" w:history="1">
        <w:r w:rsidRPr="001F63DD">
          <w:rPr>
            <w:rStyle w:val="Hipervnculo"/>
            <w:rFonts w:ascii="Times New Roman" w:hAnsi="Times New Roman" w:cs="Times New Roman"/>
            <w:lang w:val="en-US"/>
          </w:rPr>
          <w:t>https://www.scielo.org.mx/scielo.php?script=sci_arttext&amp;pid=S1870-66222015000100097</w:t>
        </w:r>
      </w:hyperlink>
      <w:r w:rsidRPr="001F63DD">
        <w:rPr>
          <w:rFonts w:ascii="Times New Roman" w:hAnsi="Times New Roman" w:cs="Times New Roman"/>
          <w:lang w:val="en-US"/>
        </w:rPr>
        <w:t xml:space="preserve"> </w:t>
      </w:r>
    </w:p>
    <w:p w14:paraId="2C0D00CE" w14:textId="77777777" w:rsidR="00A02664" w:rsidRPr="001F63DD" w:rsidRDefault="00A02664" w:rsidP="00EB6013">
      <w:pPr>
        <w:rPr>
          <w:rFonts w:ascii="Times New Roman" w:hAnsi="Times New Roman" w:cs="Times New Roman"/>
          <w:lang w:val="en-US"/>
        </w:rPr>
      </w:pPr>
    </w:p>
    <w:p w14:paraId="7FBBB3E0" w14:textId="16782C91" w:rsidR="00DE032B" w:rsidRPr="001F63DD" w:rsidRDefault="00A02664" w:rsidP="00EB6013">
      <w:pPr>
        <w:rPr>
          <w:rFonts w:ascii="Times New Roman" w:hAnsi="Times New Roman" w:cs="Times New Roman"/>
          <w:lang w:val="en-US"/>
        </w:rPr>
      </w:pPr>
      <w:hyperlink r:id="rId9" w:history="1">
        <w:r w:rsidRPr="001F63DD">
          <w:rPr>
            <w:rStyle w:val="Hipervnculo"/>
            <w:rFonts w:ascii="Times New Roman" w:hAnsi="Times New Roman" w:cs="Times New Roman"/>
            <w:lang w:val="en-US"/>
          </w:rPr>
          <w:t>https://www.eltrimestreeconomico.com.mx/index.php/te/article/view/481/521</w:t>
        </w:r>
      </w:hyperlink>
      <w:r w:rsidR="00DE032B" w:rsidRPr="001F63DD">
        <w:rPr>
          <w:rFonts w:ascii="Times New Roman" w:hAnsi="Times New Roman" w:cs="Times New Roman"/>
          <w:lang w:val="en-US"/>
        </w:rPr>
        <w:t xml:space="preserve"> </w:t>
      </w:r>
    </w:p>
    <w:p w14:paraId="12D1704A" w14:textId="335B3011" w:rsidR="00DE032B" w:rsidRPr="001F63DD" w:rsidRDefault="00DE032B" w:rsidP="00EB6013">
      <w:pPr>
        <w:rPr>
          <w:rFonts w:ascii="Times New Roman" w:hAnsi="Times New Roman" w:cs="Times New Roman"/>
          <w:lang w:val="en-US"/>
        </w:rPr>
      </w:pPr>
      <w:hyperlink r:id="rId10" w:anchor="B36" w:history="1">
        <w:r w:rsidRPr="001F63DD">
          <w:rPr>
            <w:rStyle w:val="Hipervnculo"/>
            <w:rFonts w:ascii="Times New Roman" w:hAnsi="Times New Roman" w:cs="Times New Roman"/>
            <w:lang w:val="en-US"/>
          </w:rPr>
          <w:t>https://www.scielo.org.mx/scielo.php?script=sci_arttext&amp;pid=S2448-66552024000100099#B36</w:t>
        </w:r>
      </w:hyperlink>
      <w:r w:rsidRPr="001F63DD">
        <w:rPr>
          <w:rFonts w:ascii="Times New Roman" w:hAnsi="Times New Roman" w:cs="Times New Roman"/>
          <w:lang w:val="en-US"/>
        </w:rPr>
        <w:t xml:space="preserve"> </w:t>
      </w:r>
    </w:p>
    <w:p w14:paraId="1B2C555E" w14:textId="74B7AD84" w:rsidR="00DE032B" w:rsidRPr="001F63DD" w:rsidRDefault="00DE032B" w:rsidP="00EB6013">
      <w:pPr>
        <w:rPr>
          <w:rFonts w:ascii="Times New Roman" w:hAnsi="Times New Roman" w:cs="Times New Roman"/>
          <w:lang w:val="en-US"/>
        </w:rPr>
      </w:pPr>
      <w:hyperlink r:id="rId11" w:history="1">
        <w:r w:rsidRPr="001F63DD">
          <w:rPr>
            <w:rStyle w:val="Hipervnculo"/>
            <w:rFonts w:ascii="Times New Roman" w:hAnsi="Times New Roman" w:cs="Times New Roman"/>
            <w:lang w:val="en-US"/>
          </w:rPr>
          <w:t>https://www.scielo.org.mx/scielo.php?pid=S0301-70362010000200007&amp;script=sci_arttext</w:t>
        </w:r>
      </w:hyperlink>
      <w:r w:rsidRPr="001F63DD">
        <w:rPr>
          <w:rFonts w:ascii="Times New Roman" w:hAnsi="Times New Roman" w:cs="Times New Roman"/>
          <w:lang w:val="en-US"/>
        </w:rPr>
        <w:t xml:space="preserve"> </w:t>
      </w:r>
    </w:p>
    <w:p w14:paraId="5FF3ABC3" w14:textId="561D68B3" w:rsidR="00FC784F" w:rsidRPr="001F63DD" w:rsidRDefault="00DE032B" w:rsidP="00EB6013">
      <w:pPr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Papers que se </w:t>
      </w:r>
      <w:proofErr w:type="spellStart"/>
      <w:r w:rsidRPr="001F63DD">
        <w:rPr>
          <w:rFonts w:ascii="Times New Roman" w:hAnsi="Times New Roman" w:cs="Times New Roman"/>
          <w:lang w:val="en-US"/>
        </w:rPr>
        <w:t>relacionen</w:t>
      </w:r>
      <w:proofErr w:type="spellEnd"/>
      <w:r w:rsidRPr="001F63DD">
        <w:rPr>
          <w:rFonts w:ascii="Times New Roman" w:hAnsi="Times New Roman" w:cs="Times New Roman"/>
          <w:lang w:val="en-US"/>
        </w:rPr>
        <w:t xml:space="preserve"> con </w:t>
      </w:r>
    </w:p>
    <w:p w14:paraId="41466CED" w14:textId="77777777" w:rsidR="00FC784F" w:rsidRPr="001F63DD" w:rsidRDefault="00FC784F">
      <w:pPr>
        <w:ind w:left="357" w:hanging="357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br w:type="page"/>
      </w:r>
    </w:p>
    <w:p w14:paraId="275BC0C5" w14:textId="67693666" w:rsidR="00AE7DB8" w:rsidRPr="001F63DD" w:rsidRDefault="008E399B" w:rsidP="008C67F2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lastRenderedPageBreak/>
        <w:t>Macroeconomic variable</w:t>
      </w:r>
    </w:p>
    <w:p w14:paraId="750F9CDE" w14:textId="7301F8F1" w:rsidR="00CE412D" w:rsidRPr="001F63DD" w:rsidRDefault="00C15DF8" w:rsidP="00E8706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F63DD">
        <w:rPr>
          <w:rFonts w:ascii="Times New Roman" w:hAnsi="Times New Roman" w:cs="Times New Roman"/>
          <w:b/>
          <w:bCs/>
          <w:lang w:val="en-US"/>
        </w:rPr>
        <w:t>Economic</w:t>
      </w:r>
      <w:r w:rsidR="008E399B" w:rsidRPr="001F63DD">
        <w:rPr>
          <w:rFonts w:ascii="Times New Roman" w:hAnsi="Times New Roman" w:cs="Times New Roman"/>
          <w:b/>
          <w:bCs/>
          <w:lang w:val="en-US"/>
        </w:rPr>
        <w:t xml:space="preserve"> growth</w:t>
      </w:r>
    </w:p>
    <w:p w14:paraId="1CD5F800" w14:textId="03882078" w:rsidR="00CE412D" w:rsidRPr="001F63DD" w:rsidRDefault="00687AEC" w:rsidP="00E87065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>Output and the Consumer Price Index provide a comprehensive insight into the influence of the goods market in the loans market</w:t>
      </w:r>
    </w:p>
    <w:p w14:paraId="07D075AE" w14:textId="77777777" w:rsidR="00687AEC" w:rsidRPr="001F63DD" w:rsidRDefault="00687AEC" w:rsidP="00E87065">
      <w:pPr>
        <w:jc w:val="both"/>
        <w:rPr>
          <w:rFonts w:ascii="Times New Roman" w:hAnsi="Times New Roman" w:cs="Times New Roman"/>
          <w:lang w:val="en-US"/>
        </w:rPr>
      </w:pPr>
    </w:p>
    <w:p w14:paraId="31BF920A" w14:textId="4A02C3E3" w:rsidR="00214786" w:rsidRPr="001F63DD" w:rsidRDefault="00243A43" w:rsidP="00E87065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Improves the financial conditions </w:t>
      </w:r>
      <w:r w:rsidR="001673CE" w:rsidRPr="001F63DD">
        <w:rPr>
          <w:rFonts w:ascii="Times New Roman" w:hAnsi="Times New Roman" w:cs="Times New Roman"/>
          <w:lang w:val="en-US"/>
        </w:rPr>
        <w:t xml:space="preserve">for </w:t>
      </w:r>
      <w:r w:rsidRPr="001F63DD">
        <w:rPr>
          <w:rFonts w:ascii="Times New Roman" w:hAnsi="Times New Roman" w:cs="Times New Roman"/>
          <w:lang w:val="en-US"/>
        </w:rPr>
        <w:t>borrowers</w:t>
      </w:r>
      <w:r w:rsidR="001673CE" w:rsidRPr="001F63DD">
        <w:rPr>
          <w:rFonts w:ascii="Times New Roman" w:hAnsi="Times New Roman" w:cs="Times New Roman"/>
          <w:lang w:val="en-US"/>
        </w:rPr>
        <w:t xml:space="preserve">, which can benefit </w:t>
      </w:r>
      <w:r w:rsidR="00F163D0" w:rsidRPr="001F63DD">
        <w:rPr>
          <w:rFonts w:ascii="Times New Roman" w:hAnsi="Times New Roman" w:cs="Times New Roman"/>
          <w:lang w:val="en-US"/>
        </w:rPr>
        <w:t>the profitability of applying to a loan and paying it</w:t>
      </w:r>
    </w:p>
    <w:p w14:paraId="7032F8A7" w14:textId="32981380" w:rsidR="002307DA" w:rsidRPr="001F63DD" w:rsidRDefault="008E399B" w:rsidP="00E8706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F63DD">
        <w:rPr>
          <w:rFonts w:ascii="Times New Roman" w:hAnsi="Times New Roman" w:cs="Times New Roman"/>
          <w:b/>
          <w:bCs/>
          <w:lang w:val="en-US"/>
        </w:rPr>
        <w:t>Inflation</w:t>
      </w:r>
    </w:p>
    <w:p w14:paraId="59ED1917" w14:textId="1DF2DFCB" w:rsidR="00694D55" w:rsidRPr="001F63DD" w:rsidRDefault="00611E96" w:rsidP="00E87065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Two </w:t>
      </w:r>
      <w:proofErr w:type="gramStart"/>
      <w:r w:rsidRPr="001F63DD">
        <w:rPr>
          <w:rFonts w:ascii="Times New Roman" w:hAnsi="Times New Roman" w:cs="Times New Roman"/>
          <w:lang w:val="en-US"/>
        </w:rPr>
        <w:t>hypothesis</w:t>
      </w:r>
      <w:proofErr w:type="gramEnd"/>
      <w:r w:rsidRPr="001F63DD">
        <w:rPr>
          <w:rFonts w:ascii="Times New Roman" w:hAnsi="Times New Roman" w:cs="Times New Roman"/>
          <w:lang w:val="en-US"/>
        </w:rPr>
        <w:t xml:space="preserve"> can occur.</w:t>
      </w:r>
    </w:p>
    <w:p w14:paraId="23E0B62F" w14:textId="4631625B" w:rsidR="00A379DE" w:rsidRPr="001F63DD" w:rsidRDefault="00D3077F" w:rsidP="00E87065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Inflation is linked to </w:t>
      </w:r>
      <w:r w:rsidR="007E47D5" w:rsidRPr="001F63DD">
        <w:rPr>
          <w:rFonts w:ascii="Times New Roman" w:hAnsi="Times New Roman" w:cs="Times New Roman"/>
          <w:lang w:val="en-US"/>
        </w:rPr>
        <w:t>a</w:t>
      </w:r>
      <w:r w:rsidRPr="001F63DD">
        <w:rPr>
          <w:rFonts w:ascii="Times New Roman" w:hAnsi="Times New Roman" w:cs="Times New Roman"/>
          <w:lang w:val="en-US"/>
        </w:rPr>
        <w:t xml:space="preserve"> stimulated economy, which in turn can attract consumers and businesses to apply to loans (</w:t>
      </w:r>
      <w:r w:rsidR="00A379DE" w:rsidRPr="001F63DD">
        <w:rPr>
          <w:rFonts w:ascii="Times New Roman" w:hAnsi="Times New Roman" w:cs="Times New Roman"/>
          <w:lang w:val="en-US"/>
        </w:rPr>
        <w:t>papers that support the idea</w:t>
      </w:r>
      <w:r w:rsidRPr="001F63DD">
        <w:rPr>
          <w:rFonts w:ascii="Times New Roman" w:hAnsi="Times New Roman" w:cs="Times New Roman"/>
          <w:lang w:val="en-US"/>
        </w:rPr>
        <w:t>).</w:t>
      </w:r>
    </w:p>
    <w:p w14:paraId="0FFC5D7B" w14:textId="2A6F7A6A" w:rsidR="0033622A" w:rsidRPr="001F63DD" w:rsidRDefault="00A379DE" w:rsidP="00E87065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However, </w:t>
      </w:r>
      <w:proofErr w:type="spellStart"/>
      <w:r w:rsidR="00DC0277" w:rsidRPr="001F63DD">
        <w:rPr>
          <w:rFonts w:ascii="Times New Roman" w:hAnsi="Times New Roman" w:cs="Times New Roman"/>
          <w:lang w:val="en-US"/>
        </w:rPr>
        <w:t>Ayaydin</w:t>
      </w:r>
      <w:proofErr w:type="spellEnd"/>
      <w:r w:rsidR="00DC0277" w:rsidRPr="001F63DD">
        <w:rPr>
          <w:rFonts w:ascii="Times New Roman" w:hAnsi="Times New Roman" w:cs="Times New Roman"/>
          <w:lang w:val="en-US"/>
        </w:rPr>
        <w:t xml:space="preserve"> &amp; Karakaya (2014)</w:t>
      </w:r>
      <w:r w:rsidR="00170853" w:rsidRPr="001F63DD">
        <w:rPr>
          <w:rFonts w:ascii="Times New Roman" w:hAnsi="Times New Roman" w:cs="Times New Roman"/>
          <w:lang w:val="en-US"/>
        </w:rPr>
        <w:t xml:space="preserve">, </w:t>
      </w:r>
    </w:p>
    <w:p w14:paraId="5CA5B82C" w14:textId="0C82C641" w:rsidR="00D3077F" w:rsidRPr="001F63DD" w:rsidRDefault="00C769E4" w:rsidP="00E87065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 have found that inflation and hypothesis that uncertainty</w:t>
      </w:r>
    </w:p>
    <w:p w14:paraId="0563AECE" w14:textId="759D0675" w:rsidR="008E399B" w:rsidRPr="001F63DD" w:rsidRDefault="008E399B" w:rsidP="00E8706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F63DD">
        <w:rPr>
          <w:rFonts w:ascii="Times New Roman" w:hAnsi="Times New Roman" w:cs="Times New Roman"/>
          <w:b/>
          <w:bCs/>
          <w:lang w:val="en-US"/>
        </w:rPr>
        <w:t>Interest rates</w:t>
      </w:r>
    </w:p>
    <w:p w14:paraId="75B295A9" w14:textId="4DE6AA28" w:rsidR="00C8661E" w:rsidRPr="001F63DD" w:rsidRDefault="00782B14" w:rsidP="009C67A7">
      <w:pPr>
        <w:jc w:val="both"/>
        <w:rPr>
          <w:rFonts w:ascii="Times New Roman" w:hAnsi="Times New Roman" w:cs="Times New Roman"/>
          <w:highlight w:val="yellow"/>
          <w:lang w:val="en-US"/>
        </w:rPr>
      </w:pPr>
      <w:r w:rsidRPr="001F63DD">
        <w:rPr>
          <w:rFonts w:ascii="Times New Roman" w:hAnsi="Times New Roman" w:cs="Times New Roman"/>
          <w:highlight w:val="yellow"/>
          <w:lang w:val="en-US"/>
        </w:rPr>
        <w:t>A general consensus in</w:t>
      </w:r>
      <w:r w:rsidR="009F645A" w:rsidRPr="001F63DD">
        <w:rPr>
          <w:rFonts w:ascii="Times New Roman" w:hAnsi="Times New Roman" w:cs="Times New Roman"/>
          <w:highlight w:val="yellow"/>
          <w:lang w:val="en-US"/>
        </w:rPr>
        <w:t xml:space="preserve"> literature</w:t>
      </w:r>
      <w:r w:rsidRPr="001F63DD">
        <w:rPr>
          <w:rFonts w:ascii="Times New Roman" w:hAnsi="Times New Roman" w:cs="Times New Roman"/>
          <w:highlight w:val="yellow"/>
          <w:lang w:val="en-US"/>
        </w:rPr>
        <w:t xml:space="preserve"> has suggested a positive effect of </w:t>
      </w:r>
      <w:r w:rsidR="001D2696" w:rsidRPr="001F63DD">
        <w:rPr>
          <w:rFonts w:ascii="Times New Roman" w:hAnsi="Times New Roman" w:cs="Times New Roman"/>
          <w:highlight w:val="yellow"/>
          <w:lang w:val="en-US"/>
        </w:rPr>
        <w:t>increases</w:t>
      </w:r>
      <w:r w:rsidRPr="001F63DD">
        <w:rPr>
          <w:rFonts w:ascii="Times New Roman" w:hAnsi="Times New Roman" w:cs="Times New Roman"/>
          <w:highlight w:val="yellow"/>
          <w:lang w:val="en-US"/>
        </w:rPr>
        <w:t xml:space="preserve"> in interest rates to commercial bank profitability.</w:t>
      </w:r>
      <w:r w:rsidR="001D2696" w:rsidRPr="001F63DD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DC09F7" w:rsidRPr="001F63DD">
        <w:rPr>
          <w:rFonts w:ascii="Times New Roman" w:hAnsi="Times New Roman" w:cs="Times New Roman"/>
          <w:highlight w:val="yellow"/>
          <w:lang w:val="en-US"/>
        </w:rPr>
        <w:t xml:space="preserve">Early </w:t>
      </w:r>
      <w:r w:rsidR="00623832" w:rsidRPr="001F63DD">
        <w:rPr>
          <w:rFonts w:ascii="Times New Roman" w:hAnsi="Times New Roman" w:cs="Times New Roman"/>
          <w:highlight w:val="yellow"/>
          <w:lang w:val="en-US"/>
        </w:rPr>
        <w:t>work</w:t>
      </w:r>
      <w:r w:rsidR="00DC09F7" w:rsidRPr="001F63DD">
        <w:rPr>
          <w:rFonts w:ascii="Times New Roman" w:hAnsi="Times New Roman" w:cs="Times New Roman"/>
          <w:highlight w:val="yellow"/>
          <w:lang w:val="en-US"/>
        </w:rPr>
        <w:t xml:space="preserve"> by Samuelson (1945)</w:t>
      </w:r>
      <w:r w:rsidR="00623832" w:rsidRPr="001F63DD">
        <w:rPr>
          <w:rFonts w:ascii="Times New Roman" w:hAnsi="Times New Roman" w:cs="Times New Roman"/>
          <w:highlight w:val="yellow"/>
          <w:lang w:val="en-US"/>
        </w:rPr>
        <w:t xml:space="preserve"> proposed that the individual </w:t>
      </w:r>
      <w:r w:rsidR="00FE37EE" w:rsidRPr="001F63DD">
        <w:rPr>
          <w:rFonts w:ascii="Times New Roman" w:hAnsi="Times New Roman" w:cs="Times New Roman"/>
          <w:highlight w:val="yellow"/>
          <w:lang w:val="en-US"/>
        </w:rPr>
        <w:t>banks benefit from increases in interest rate</w:t>
      </w:r>
      <w:r w:rsidR="008C3413" w:rsidRPr="001F63DD">
        <w:rPr>
          <w:rFonts w:ascii="Times New Roman" w:hAnsi="Times New Roman" w:cs="Times New Roman"/>
          <w:highlight w:val="yellow"/>
          <w:lang w:val="en-US"/>
        </w:rPr>
        <w:t xml:space="preserve"> under general conditions</w:t>
      </w:r>
      <w:r w:rsidR="00EE21DF" w:rsidRPr="001F63DD">
        <w:rPr>
          <w:rFonts w:ascii="Times New Roman" w:hAnsi="Times New Roman" w:cs="Times New Roman"/>
          <w:highlight w:val="yellow"/>
          <w:lang w:val="en-US"/>
        </w:rPr>
        <w:t>,</w:t>
      </w:r>
      <w:r w:rsidR="00044AA3" w:rsidRPr="001F63DD">
        <w:rPr>
          <w:rFonts w:ascii="Times New Roman" w:hAnsi="Times New Roman" w:cs="Times New Roman"/>
          <w:highlight w:val="yellow"/>
          <w:lang w:val="en-US"/>
        </w:rPr>
        <w:t xml:space="preserve"> mainly</w:t>
      </w:r>
      <w:r w:rsidR="0093532A" w:rsidRPr="001F63DD">
        <w:rPr>
          <w:rFonts w:ascii="Times New Roman" w:hAnsi="Times New Roman" w:cs="Times New Roman"/>
          <w:highlight w:val="yellow"/>
          <w:lang w:val="en-US"/>
        </w:rPr>
        <w:t xml:space="preserve"> profits are more sensitive to loan rates than deposit rates</w:t>
      </w:r>
      <w:r w:rsidR="00B04F3B" w:rsidRPr="001F63DD">
        <w:rPr>
          <w:rFonts w:ascii="Times New Roman" w:hAnsi="Times New Roman" w:cs="Times New Roman"/>
          <w:highlight w:val="yellow"/>
          <w:lang w:val="en-US"/>
        </w:rPr>
        <w:t xml:space="preserve">, which </w:t>
      </w:r>
      <w:r w:rsidR="00BD5678" w:rsidRPr="001F63DD">
        <w:rPr>
          <w:rFonts w:ascii="Times New Roman" w:hAnsi="Times New Roman" w:cs="Times New Roman"/>
          <w:highlight w:val="yellow"/>
          <w:lang w:val="en-US"/>
        </w:rPr>
        <w:t>was empirically evaluated by Hancock (1985)</w:t>
      </w:r>
      <w:r w:rsidR="00804BC5" w:rsidRPr="001F63DD">
        <w:rPr>
          <w:rFonts w:ascii="Times New Roman" w:hAnsi="Times New Roman" w:cs="Times New Roman"/>
          <w:highlight w:val="yellow"/>
          <w:lang w:val="en-US"/>
        </w:rPr>
        <w:t xml:space="preserve"> for commercial banks in the United States</w:t>
      </w:r>
      <w:r w:rsidR="00BD5678" w:rsidRPr="001F63DD">
        <w:rPr>
          <w:rFonts w:ascii="Times New Roman" w:hAnsi="Times New Roman" w:cs="Times New Roman"/>
          <w:highlight w:val="yellow"/>
          <w:lang w:val="en-US"/>
        </w:rPr>
        <w:t>.</w:t>
      </w:r>
    </w:p>
    <w:p w14:paraId="3DA3FFF0" w14:textId="77777777" w:rsidR="00B31112" w:rsidRPr="001F63DD" w:rsidRDefault="00C61EEA" w:rsidP="009C67A7">
      <w:pPr>
        <w:jc w:val="both"/>
        <w:rPr>
          <w:rFonts w:ascii="Times New Roman" w:hAnsi="Times New Roman" w:cs="Times New Roman"/>
          <w:highlight w:val="yellow"/>
          <w:lang w:val="en-US"/>
        </w:rPr>
      </w:pPr>
      <w:r w:rsidRPr="001F63DD">
        <w:rPr>
          <w:rFonts w:ascii="Times New Roman" w:hAnsi="Times New Roman" w:cs="Times New Roman"/>
          <w:highlight w:val="yellow"/>
          <w:lang w:val="en-US"/>
        </w:rPr>
        <w:t xml:space="preserve">Since, other </w:t>
      </w:r>
      <w:r w:rsidR="007D5F8B" w:rsidRPr="001F63DD">
        <w:rPr>
          <w:rFonts w:ascii="Times New Roman" w:hAnsi="Times New Roman" w:cs="Times New Roman"/>
          <w:highlight w:val="yellow"/>
          <w:lang w:val="en-US"/>
        </w:rPr>
        <w:t>articles</w:t>
      </w:r>
      <w:r w:rsidRPr="001F63DD">
        <w:rPr>
          <w:rFonts w:ascii="Times New Roman" w:hAnsi="Times New Roman" w:cs="Times New Roman"/>
          <w:highlight w:val="yellow"/>
          <w:lang w:val="en-US"/>
        </w:rPr>
        <w:t xml:space="preserve"> have </w:t>
      </w:r>
      <w:r w:rsidR="00F34EDD" w:rsidRPr="001F63DD">
        <w:rPr>
          <w:rFonts w:ascii="Times New Roman" w:hAnsi="Times New Roman" w:cs="Times New Roman"/>
          <w:highlight w:val="yellow"/>
          <w:lang w:val="en-US"/>
        </w:rPr>
        <w:t>concurred with these findings</w:t>
      </w:r>
      <w:r w:rsidR="00FD34B6" w:rsidRPr="001F63DD">
        <w:rPr>
          <w:rFonts w:ascii="Times New Roman" w:hAnsi="Times New Roman" w:cs="Times New Roman"/>
          <w:highlight w:val="yellow"/>
          <w:lang w:val="en-US"/>
        </w:rPr>
        <w:t xml:space="preserve">. </w:t>
      </w:r>
    </w:p>
    <w:p w14:paraId="01FB5F9F" w14:textId="579E6617" w:rsidR="00145B2A" w:rsidRPr="001F63DD" w:rsidRDefault="00DE7AA0" w:rsidP="009C67A7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highlight w:val="yellow"/>
          <w:lang w:val="en-US"/>
        </w:rPr>
        <w:t xml:space="preserve">In Mexico, </w:t>
      </w:r>
      <w:r w:rsidR="0078783C" w:rsidRPr="001F63DD">
        <w:rPr>
          <w:rFonts w:ascii="Times New Roman" w:hAnsi="Times New Roman" w:cs="Times New Roman"/>
          <w:highlight w:val="yellow"/>
          <w:lang w:val="en-US"/>
        </w:rPr>
        <w:t>Morales</w:t>
      </w:r>
      <w:r w:rsidR="0048570A" w:rsidRPr="001F63DD">
        <w:rPr>
          <w:rFonts w:ascii="Times New Roman" w:hAnsi="Times New Roman" w:cs="Times New Roman"/>
          <w:highlight w:val="yellow"/>
          <w:lang w:val="en-US"/>
        </w:rPr>
        <w:t>-</w:t>
      </w:r>
      <w:r w:rsidR="0078783C" w:rsidRPr="001F63DD">
        <w:rPr>
          <w:rFonts w:ascii="Times New Roman" w:hAnsi="Times New Roman" w:cs="Times New Roman"/>
          <w:highlight w:val="yellow"/>
          <w:lang w:val="en-US"/>
        </w:rPr>
        <w:t>Castro</w:t>
      </w:r>
      <w:r w:rsidR="0048570A" w:rsidRPr="001F63DD">
        <w:rPr>
          <w:rFonts w:ascii="Times New Roman" w:hAnsi="Times New Roman" w:cs="Times New Roman"/>
          <w:highlight w:val="yellow"/>
          <w:lang w:val="en-US"/>
        </w:rPr>
        <w:t xml:space="preserve"> and Espinosa-Jiménez</w:t>
      </w:r>
      <w:r w:rsidR="000B0794" w:rsidRPr="001F63DD">
        <w:rPr>
          <w:rFonts w:ascii="Times New Roman" w:hAnsi="Times New Roman" w:cs="Times New Roman"/>
          <w:highlight w:val="yellow"/>
          <w:lang w:val="en-US"/>
        </w:rPr>
        <w:t xml:space="preserve"> (2024) had previously found </w:t>
      </w:r>
      <w:r w:rsidR="00E726A5" w:rsidRPr="001F63DD">
        <w:rPr>
          <w:rFonts w:ascii="Times New Roman" w:hAnsi="Times New Roman" w:cs="Times New Roman"/>
          <w:highlight w:val="yellow"/>
          <w:lang w:val="en-US"/>
        </w:rPr>
        <w:t xml:space="preserve">a 1% increase in </w:t>
      </w:r>
      <w:r w:rsidR="000B0794" w:rsidRPr="001F63DD">
        <w:rPr>
          <w:rFonts w:ascii="Times New Roman" w:hAnsi="Times New Roman" w:cs="Times New Roman"/>
          <w:highlight w:val="yellow"/>
          <w:lang w:val="en-US"/>
        </w:rPr>
        <w:t xml:space="preserve">interest rate </w:t>
      </w:r>
      <w:r w:rsidR="00AA3E89" w:rsidRPr="001F63DD">
        <w:rPr>
          <w:rFonts w:ascii="Times New Roman" w:hAnsi="Times New Roman" w:cs="Times New Roman"/>
          <w:highlight w:val="yellow"/>
          <w:lang w:val="en-US"/>
        </w:rPr>
        <w:t xml:space="preserve">increased ROE by 2.35% </w:t>
      </w:r>
      <w:r w:rsidR="000B0794" w:rsidRPr="001F63DD">
        <w:rPr>
          <w:rFonts w:ascii="Times New Roman" w:hAnsi="Times New Roman" w:cs="Times New Roman"/>
          <w:highlight w:val="yellow"/>
          <w:lang w:val="en-US"/>
        </w:rPr>
        <w:t>in</w:t>
      </w:r>
      <w:r w:rsidR="00B557C2" w:rsidRPr="001F63DD">
        <w:rPr>
          <w:rFonts w:ascii="Times New Roman" w:hAnsi="Times New Roman" w:cs="Times New Roman"/>
          <w:highlight w:val="yellow"/>
          <w:lang w:val="en-US"/>
        </w:rPr>
        <w:t xml:space="preserve"> a mix of 31 </w:t>
      </w:r>
      <w:r w:rsidR="007A1FE1" w:rsidRPr="001F63DD">
        <w:rPr>
          <w:rFonts w:ascii="Times New Roman" w:hAnsi="Times New Roman" w:cs="Times New Roman"/>
          <w:highlight w:val="yellow"/>
          <w:lang w:val="en-US"/>
        </w:rPr>
        <w:t xml:space="preserve">banks </w:t>
      </w:r>
      <w:r w:rsidR="00A9761A" w:rsidRPr="001F63DD">
        <w:rPr>
          <w:rFonts w:ascii="Times New Roman" w:hAnsi="Times New Roman" w:cs="Times New Roman"/>
          <w:highlight w:val="yellow"/>
          <w:lang w:val="en-US"/>
        </w:rPr>
        <w:t>between 2011 and 2019</w:t>
      </w:r>
      <w:r w:rsidR="007A1FE1" w:rsidRPr="001F63DD">
        <w:rPr>
          <w:rFonts w:ascii="Times New Roman" w:hAnsi="Times New Roman" w:cs="Times New Roman"/>
          <w:highlight w:val="yellow"/>
          <w:lang w:val="en-US"/>
        </w:rPr>
        <w:t>.</w:t>
      </w:r>
      <w:r w:rsidR="00600EAE" w:rsidRPr="001F63DD">
        <w:rPr>
          <w:rFonts w:ascii="Times New Roman" w:hAnsi="Times New Roman" w:cs="Times New Roman"/>
          <w:highlight w:val="yellow"/>
          <w:lang w:val="en-US"/>
        </w:rPr>
        <w:t xml:space="preserve"> For th</w:t>
      </w:r>
      <w:r w:rsidR="006177FA" w:rsidRPr="001F63DD">
        <w:rPr>
          <w:rFonts w:ascii="Times New Roman" w:hAnsi="Times New Roman" w:cs="Times New Roman"/>
          <w:highlight w:val="yellow"/>
          <w:lang w:val="en-US"/>
        </w:rPr>
        <w:t>e</w:t>
      </w:r>
      <w:r w:rsidR="00600EAE" w:rsidRPr="001F63DD">
        <w:rPr>
          <w:rFonts w:ascii="Times New Roman" w:hAnsi="Times New Roman" w:cs="Times New Roman"/>
          <w:highlight w:val="yellow"/>
          <w:lang w:val="en-US"/>
        </w:rPr>
        <w:t>s</w:t>
      </w:r>
      <w:r w:rsidR="006177FA" w:rsidRPr="001F63DD">
        <w:rPr>
          <w:rFonts w:ascii="Times New Roman" w:hAnsi="Times New Roman" w:cs="Times New Roman"/>
          <w:highlight w:val="yellow"/>
          <w:lang w:val="en-US"/>
        </w:rPr>
        <w:t>e</w:t>
      </w:r>
      <w:r w:rsidR="00600EAE" w:rsidRPr="001F63DD">
        <w:rPr>
          <w:rFonts w:ascii="Times New Roman" w:hAnsi="Times New Roman" w:cs="Times New Roman"/>
          <w:highlight w:val="yellow"/>
          <w:lang w:val="en-US"/>
        </w:rPr>
        <w:t xml:space="preserve"> reason</w:t>
      </w:r>
      <w:r w:rsidR="006177FA" w:rsidRPr="001F63DD">
        <w:rPr>
          <w:rFonts w:ascii="Times New Roman" w:hAnsi="Times New Roman" w:cs="Times New Roman"/>
          <w:highlight w:val="yellow"/>
          <w:lang w:val="en-US"/>
        </w:rPr>
        <w:t>s</w:t>
      </w:r>
      <w:r w:rsidR="00600EAE" w:rsidRPr="001F63DD">
        <w:rPr>
          <w:rFonts w:ascii="Times New Roman" w:hAnsi="Times New Roman" w:cs="Times New Roman"/>
          <w:highlight w:val="yellow"/>
          <w:lang w:val="en-US"/>
        </w:rPr>
        <w:t>, we</w:t>
      </w:r>
      <w:r w:rsidR="00FE119F" w:rsidRPr="001F63DD">
        <w:rPr>
          <w:rFonts w:ascii="Times New Roman" w:hAnsi="Times New Roman" w:cs="Times New Roman"/>
          <w:highlight w:val="yellow"/>
          <w:lang w:val="en-US"/>
        </w:rPr>
        <w:t xml:space="preserve"> expect </w:t>
      </w:r>
      <w:r w:rsidR="00600EAE" w:rsidRPr="001F63DD">
        <w:rPr>
          <w:rFonts w:ascii="Times New Roman" w:hAnsi="Times New Roman" w:cs="Times New Roman"/>
          <w:highlight w:val="yellow"/>
          <w:lang w:val="en-US"/>
        </w:rPr>
        <w:t xml:space="preserve">short term </w:t>
      </w:r>
      <w:r w:rsidR="00FE119F" w:rsidRPr="001F63DD">
        <w:rPr>
          <w:rFonts w:ascii="Times New Roman" w:hAnsi="Times New Roman" w:cs="Times New Roman"/>
          <w:highlight w:val="yellow"/>
          <w:lang w:val="en-US"/>
        </w:rPr>
        <w:t xml:space="preserve">interest rates </w:t>
      </w:r>
      <w:r w:rsidR="00974C0E" w:rsidRPr="001F63DD">
        <w:rPr>
          <w:rFonts w:ascii="Times New Roman" w:hAnsi="Times New Roman" w:cs="Times New Roman"/>
          <w:highlight w:val="yellow"/>
          <w:lang w:val="en-US"/>
        </w:rPr>
        <w:t xml:space="preserve">also </w:t>
      </w:r>
      <w:r w:rsidR="00FE119F" w:rsidRPr="001F63DD">
        <w:rPr>
          <w:rFonts w:ascii="Times New Roman" w:hAnsi="Times New Roman" w:cs="Times New Roman"/>
          <w:highlight w:val="yellow"/>
          <w:lang w:val="en-US"/>
        </w:rPr>
        <w:t>to positively affect</w:t>
      </w:r>
      <w:r w:rsidR="00600EAE" w:rsidRPr="001F63DD">
        <w:rPr>
          <w:rFonts w:ascii="Times New Roman" w:hAnsi="Times New Roman" w:cs="Times New Roman"/>
          <w:highlight w:val="yellow"/>
          <w:lang w:val="en-US"/>
        </w:rPr>
        <w:t xml:space="preserve"> profitability studied in this article</w:t>
      </w:r>
      <w:r w:rsidR="00600EAE" w:rsidRPr="001F63DD">
        <w:rPr>
          <w:rFonts w:ascii="Times New Roman" w:hAnsi="Times New Roman" w:cs="Times New Roman"/>
          <w:lang w:val="en-US"/>
        </w:rPr>
        <w:t>.</w:t>
      </w:r>
    </w:p>
    <w:p w14:paraId="31F6E1B5" w14:textId="6254B612" w:rsidR="00B31112" w:rsidRPr="001F63DD" w:rsidRDefault="008E399B" w:rsidP="00E87065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>Bank specific characteristics</w:t>
      </w:r>
    </w:p>
    <w:p w14:paraId="6AD3CE17" w14:textId="5AAFBEA2" w:rsidR="00DD3ECA" w:rsidRPr="001F63DD" w:rsidRDefault="00DD3ECA" w:rsidP="00E8706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F63DD">
        <w:rPr>
          <w:rFonts w:ascii="Times New Roman" w:hAnsi="Times New Roman" w:cs="Times New Roman"/>
          <w:b/>
          <w:bCs/>
          <w:lang w:val="en-US"/>
        </w:rPr>
        <w:t xml:space="preserve">Bank </w:t>
      </w:r>
      <w:r w:rsidR="00C90E11" w:rsidRPr="001F63DD">
        <w:rPr>
          <w:rFonts w:ascii="Times New Roman" w:hAnsi="Times New Roman" w:cs="Times New Roman"/>
          <w:b/>
          <w:bCs/>
          <w:lang w:val="en-US"/>
        </w:rPr>
        <w:t xml:space="preserve">size </w:t>
      </w:r>
    </w:p>
    <w:p w14:paraId="36A38685" w14:textId="43F7BA4F" w:rsidR="004A74AA" w:rsidRPr="001F63DD" w:rsidRDefault="003E0C93" w:rsidP="00E87065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highlight w:val="yellow"/>
          <w:lang w:val="en-US"/>
        </w:rPr>
        <w:t xml:space="preserve">Modern financial intermediary theory suggests </w:t>
      </w:r>
      <w:r w:rsidR="005030A0" w:rsidRPr="001F63DD">
        <w:rPr>
          <w:rFonts w:ascii="Times New Roman" w:hAnsi="Times New Roman" w:cs="Times New Roman"/>
          <w:highlight w:val="yellow"/>
          <w:lang w:val="en-US"/>
        </w:rPr>
        <w:t xml:space="preserve">that larger banks </w:t>
      </w:r>
      <w:r w:rsidR="008227C1" w:rsidRPr="001F63DD">
        <w:rPr>
          <w:rFonts w:ascii="Times New Roman" w:hAnsi="Times New Roman" w:cs="Times New Roman"/>
          <w:highlight w:val="yellow"/>
          <w:lang w:val="en-US"/>
        </w:rPr>
        <w:t>can greatly benefit from economies of scale</w:t>
      </w:r>
      <w:r w:rsidR="00A07ECF" w:rsidRPr="001F63DD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8227C1" w:rsidRPr="001F63DD">
        <w:rPr>
          <w:rFonts w:ascii="Times New Roman" w:hAnsi="Times New Roman" w:cs="Times New Roman"/>
          <w:highlight w:val="yellow"/>
          <w:lang w:val="en-US"/>
        </w:rPr>
        <w:t xml:space="preserve">when compared to </w:t>
      </w:r>
      <w:r w:rsidR="00877B61" w:rsidRPr="001F63DD">
        <w:rPr>
          <w:rFonts w:ascii="Times New Roman" w:hAnsi="Times New Roman" w:cs="Times New Roman"/>
          <w:highlight w:val="yellow"/>
          <w:lang w:val="en-US"/>
        </w:rPr>
        <w:t>smaller banks</w:t>
      </w:r>
      <w:r w:rsidR="00A07ECF" w:rsidRPr="001F63DD">
        <w:rPr>
          <w:rFonts w:ascii="Times New Roman" w:hAnsi="Times New Roman" w:cs="Times New Roman"/>
          <w:highlight w:val="yellow"/>
          <w:lang w:val="en-US"/>
        </w:rPr>
        <w:t xml:space="preserve">, as they can spread and lower their operational costs </w:t>
      </w:r>
      <w:r w:rsidR="00877B61" w:rsidRPr="001F63DD">
        <w:rPr>
          <w:rFonts w:ascii="Times New Roman" w:hAnsi="Times New Roman" w:cs="Times New Roman"/>
          <w:highlight w:val="yellow"/>
          <w:lang w:val="en-US"/>
        </w:rPr>
        <w:t>(Mashamba, 2018</w:t>
      </w:r>
      <w:r w:rsidR="00A07ECF" w:rsidRPr="001F63DD">
        <w:rPr>
          <w:rFonts w:ascii="Times New Roman" w:hAnsi="Times New Roman" w:cs="Times New Roman"/>
          <w:highlight w:val="yellow"/>
          <w:lang w:val="en-US"/>
        </w:rPr>
        <w:t>).</w:t>
      </w:r>
      <w:r w:rsidR="00663590" w:rsidRPr="001F63DD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921CC4" w:rsidRPr="001F63DD">
        <w:rPr>
          <w:rFonts w:ascii="Times New Roman" w:hAnsi="Times New Roman" w:cs="Times New Roman"/>
          <w:highlight w:val="yellow"/>
          <w:lang w:val="en-US"/>
        </w:rPr>
        <w:t>Chavarín</w:t>
      </w:r>
      <w:proofErr w:type="spellEnd"/>
      <w:r w:rsidR="00921CC4" w:rsidRPr="001F63DD">
        <w:rPr>
          <w:rFonts w:ascii="Times New Roman" w:hAnsi="Times New Roman" w:cs="Times New Roman"/>
          <w:highlight w:val="yellow"/>
          <w:lang w:val="en-US"/>
        </w:rPr>
        <w:t xml:space="preserve">-Rodríguez (2015) has previously </w:t>
      </w:r>
      <w:r w:rsidR="004A74AA" w:rsidRPr="001F63DD">
        <w:rPr>
          <w:rFonts w:ascii="Times New Roman" w:hAnsi="Times New Roman" w:cs="Times New Roman"/>
          <w:highlight w:val="yellow"/>
          <w:lang w:val="en-US"/>
        </w:rPr>
        <w:t xml:space="preserve">found a positive and significant relationship between </w:t>
      </w:r>
      <w:r w:rsidR="00DD17D7" w:rsidRPr="001F63DD">
        <w:rPr>
          <w:rFonts w:ascii="Times New Roman" w:hAnsi="Times New Roman" w:cs="Times New Roman"/>
          <w:highlight w:val="yellow"/>
          <w:lang w:val="en-US"/>
        </w:rPr>
        <w:t>banks’ assets and profitability, supporting previous assumptions.</w:t>
      </w:r>
      <w:r w:rsidR="007817FD" w:rsidRPr="001F63DD">
        <w:rPr>
          <w:rFonts w:ascii="Times New Roman" w:hAnsi="Times New Roman" w:cs="Times New Roman"/>
          <w:lang w:val="en-US"/>
        </w:rPr>
        <w:t xml:space="preserve"> </w:t>
      </w:r>
    </w:p>
    <w:p w14:paraId="22344848" w14:textId="3A747C9D" w:rsidR="00FB41FD" w:rsidRPr="001F63DD" w:rsidRDefault="00B818D3" w:rsidP="00E87065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>However,</w:t>
      </w:r>
      <w:r w:rsidR="00D52FB5" w:rsidRPr="001F63DD">
        <w:rPr>
          <w:rFonts w:ascii="Times New Roman" w:hAnsi="Times New Roman" w:cs="Times New Roman"/>
          <w:lang w:val="en-US"/>
        </w:rPr>
        <w:t xml:space="preserve"> </w:t>
      </w:r>
      <w:r w:rsidR="00FB41FD" w:rsidRPr="001F63DD">
        <w:rPr>
          <w:rFonts w:ascii="Times New Roman" w:hAnsi="Times New Roman" w:cs="Times New Roman"/>
          <w:lang w:val="en-US"/>
        </w:rPr>
        <w:t xml:space="preserve">bank size has </w:t>
      </w:r>
    </w:p>
    <w:p w14:paraId="2EEE2E40" w14:textId="0F5A9C8B" w:rsidR="00C90E11" w:rsidRPr="001F63DD" w:rsidRDefault="006D6652" w:rsidP="00E8706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1F63DD">
        <w:rPr>
          <w:rFonts w:ascii="Times New Roman" w:hAnsi="Times New Roman" w:cs="Times New Roman"/>
          <w:lang w:val="en-US"/>
        </w:rPr>
        <w:t>Adelopo</w:t>
      </w:r>
      <w:proofErr w:type="spellEnd"/>
      <w:r w:rsidRPr="001F63DD">
        <w:rPr>
          <w:rFonts w:ascii="Times New Roman" w:hAnsi="Times New Roman" w:cs="Times New Roman"/>
          <w:lang w:val="en-US"/>
        </w:rPr>
        <w:t xml:space="preserve"> et Al. (2021) found a negative relationship between European banks and profitability</w:t>
      </w:r>
      <w:r w:rsidR="00F8545F" w:rsidRPr="001F63DD">
        <w:rPr>
          <w:rFonts w:ascii="Times New Roman" w:hAnsi="Times New Roman" w:cs="Times New Roman"/>
          <w:lang w:val="en-US"/>
        </w:rPr>
        <w:t xml:space="preserve">, </w:t>
      </w:r>
      <w:r w:rsidR="00663590" w:rsidRPr="001F63DD">
        <w:rPr>
          <w:rFonts w:ascii="Times New Roman" w:hAnsi="Times New Roman" w:cs="Times New Roman"/>
          <w:lang w:val="en-US"/>
        </w:rPr>
        <w:t xml:space="preserve">suggesting that bank size </w:t>
      </w:r>
    </w:p>
    <w:p w14:paraId="57B9ADC8" w14:textId="558545BD" w:rsidR="00145B2A" w:rsidRPr="001F63DD" w:rsidRDefault="00B818D3" w:rsidP="00E87065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>size as a liability for big banks</w:t>
      </w:r>
    </w:p>
    <w:p w14:paraId="0A24C64C" w14:textId="77777777" w:rsidR="00B818D3" w:rsidRPr="001F63DD" w:rsidRDefault="00B818D3" w:rsidP="00E8706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9D4FC2C" w14:textId="11561E9A" w:rsidR="001D1178" w:rsidRPr="001F63DD" w:rsidRDefault="001D1178" w:rsidP="00E87065">
      <w:pPr>
        <w:jc w:val="both"/>
        <w:rPr>
          <w:rFonts w:ascii="Times New Roman" w:hAnsi="Times New Roman" w:cs="Times New Roman"/>
          <w:lang w:val="en-US"/>
        </w:rPr>
      </w:pPr>
    </w:p>
    <w:p w14:paraId="5A00AE25" w14:textId="5B9E6937" w:rsidR="001D1178" w:rsidRPr="001F63DD" w:rsidRDefault="001D1178" w:rsidP="00E87065">
      <w:pPr>
        <w:jc w:val="both"/>
        <w:rPr>
          <w:rFonts w:ascii="Times New Roman" w:hAnsi="Times New Roman" w:cs="Times New Roman"/>
          <w:b/>
          <w:bCs/>
          <w:lang w:val="en-US"/>
        </w:rPr>
      </w:pPr>
      <w:hyperlink r:id="rId12" w:history="1">
        <w:r w:rsidRPr="001F63DD">
          <w:rPr>
            <w:rStyle w:val="Hipervnculo"/>
            <w:rFonts w:ascii="Times New Roman" w:hAnsi="Times New Roman" w:cs="Times New Roman"/>
            <w:b/>
            <w:bCs/>
            <w:lang w:val="en-US"/>
          </w:rPr>
          <w:t>https://www.jstor.org/stable/pdf/20857201.pdf?refreqid=fastly-default%3Af80d850b0655ccc17abc72d07fbe7e45&amp;ab_segments=&amp;initiator=recommender&amp;acceptTC=z</w:t>
        </w:r>
      </w:hyperlink>
      <w:r w:rsidRPr="001F63DD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1BF0721" w14:textId="77777777" w:rsidR="001D1178" w:rsidRPr="001F63DD" w:rsidRDefault="001D1178" w:rsidP="00E8706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8B35803" w14:textId="77777777" w:rsidR="00BA2D87" w:rsidRPr="001F63DD" w:rsidRDefault="008E399B" w:rsidP="00BA2D87">
      <w:pPr>
        <w:ind w:left="706" w:hanging="706"/>
        <w:jc w:val="both"/>
        <w:rPr>
          <w:rFonts w:ascii="Times New Roman" w:hAnsi="Times New Roman" w:cs="Times New Roman"/>
          <w:b/>
          <w:bCs/>
          <w:lang w:val="en-US"/>
        </w:rPr>
      </w:pPr>
      <w:r w:rsidRPr="001F63DD">
        <w:rPr>
          <w:rFonts w:ascii="Times New Roman" w:hAnsi="Times New Roman" w:cs="Times New Roman"/>
          <w:b/>
          <w:bCs/>
          <w:lang w:val="en-US"/>
        </w:rPr>
        <w:t>Capitalization</w:t>
      </w:r>
    </w:p>
    <w:p w14:paraId="000568EF" w14:textId="2FE0AAE0" w:rsidR="00A31BC3" w:rsidRPr="001F63DD" w:rsidRDefault="00190AFF" w:rsidP="004D09D4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>Traditional literature suggests that at higher capitalization ratio, profitability diminishes as a result of low levels of resources to lend</w:t>
      </w:r>
      <w:r w:rsidR="00370AF0" w:rsidRPr="001F63DD">
        <w:rPr>
          <w:rFonts w:ascii="Times New Roman" w:hAnsi="Times New Roman" w:cs="Times New Roman"/>
          <w:lang w:val="en-US"/>
        </w:rPr>
        <w:t xml:space="preserve">. </w:t>
      </w:r>
      <w:r w:rsidR="002257F4" w:rsidRPr="001F63DD">
        <w:rPr>
          <w:rFonts w:ascii="Times New Roman" w:hAnsi="Times New Roman" w:cs="Times New Roman"/>
          <w:lang w:val="en-US"/>
        </w:rPr>
        <w:t xml:space="preserve">Recent articles that substantiate this view include </w:t>
      </w:r>
      <w:proofErr w:type="spellStart"/>
      <w:r w:rsidR="00E22067" w:rsidRPr="001F63DD">
        <w:rPr>
          <w:rFonts w:ascii="Times New Roman" w:hAnsi="Times New Roman" w:cs="Times New Roman"/>
          <w:lang w:val="en-US"/>
        </w:rPr>
        <w:t>Ayaydin</w:t>
      </w:r>
      <w:proofErr w:type="spellEnd"/>
      <w:r w:rsidR="00E22067" w:rsidRPr="001F63DD">
        <w:rPr>
          <w:rFonts w:ascii="Times New Roman" w:hAnsi="Times New Roman" w:cs="Times New Roman"/>
          <w:lang w:val="en-US"/>
        </w:rPr>
        <w:t xml:space="preserve"> and Karakaya (2014)</w:t>
      </w:r>
      <w:r w:rsidR="002257F4" w:rsidRPr="001F63DD">
        <w:rPr>
          <w:rFonts w:ascii="Times New Roman" w:hAnsi="Times New Roman" w:cs="Times New Roman"/>
          <w:lang w:val="en-US"/>
        </w:rPr>
        <w:t xml:space="preserve">, </w:t>
      </w:r>
    </w:p>
    <w:p w14:paraId="78360291" w14:textId="54A6DB2C" w:rsidR="00BA2D87" w:rsidRPr="001F63DD" w:rsidRDefault="00A31BC3" w:rsidP="00E87065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>However,</w:t>
      </w:r>
      <w:r w:rsidR="00BE3676" w:rsidRPr="001F63DD">
        <w:rPr>
          <w:rFonts w:ascii="Times New Roman" w:hAnsi="Times New Roman" w:cs="Times New Roman"/>
          <w:lang w:val="en-US"/>
        </w:rPr>
        <w:t xml:space="preserve"> </w:t>
      </w:r>
      <w:r w:rsidR="00E976C3" w:rsidRPr="001F63DD">
        <w:rPr>
          <w:rFonts w:ascii="Times New Roman" w:hAnsi="Times New Roman" w:cs="Times New Roman"/>
          <w:lang w:val="en-US"/>
        </w:rPr>
        <w:t xml:space="preserve">a positive relationship between capitalization and profitability may also </w:t>
      </w:r>
      <w:r w:rsidR="00062235" w:rsidRPr="001F63DD">
        <w:rPr>
          <w:rFonts w:ascii="Times New Roman" w:hAnsi="Times New Roman" w:cs="Times New Roman"/>
          <w:lang w:val="en-US"/>
        </w:rPr>
        <w:t xml:space="preserve">signal favorable demand conditions </w:t>
      </w:r>
      <w:r w:rsidR="00766521" w:rsidRPr="001F63DD">
        <w:rPr>
          <w:rFonts w:ascii="Times New Roman" w:hAnsi="Times New Roman" w:cs="Times New Roman"/>
          <w:lang w:val="en-US"/>
        </w:rPr>
        <w:t xml:space="preserve">for loans, which may also </w:t>
      </w:r>
      <w:r w:rsidR="00F33731" w:rsidRPr="001F63DD">
        <w:rPr>
          <w:rFonts w:ascii="Times New Roman" w:hAnsi="Times New Roman" w:cs="Times New Roman"/>
          <w:lang w:val="en-US"/>
        </w:rPr>
        <w:t>boost</w:t>
      </w:r>
      <w:r w:rsidR="00766521" w:rsidRPr="001F63DD">
        <w:rPr>
          <w:rFonts w:ascii="Times New Roman" w:hAnsi="Times New Roman" w:cs="Times New Roman"/>
          <w:lang w:val="en-US"/>
        </w:rPr>
        <w:t xml:space="preserve"> profits</w:t>
      </w:r>
      <w:r w:rsidR="000003A9" w:rsidRPr="001F63DD">
        <w:rPr>
          <w:rFonts w:ascii="Times New Roman" w:hAnsi="Times New Roman" w:cs="Times New Roman"/>
          <w:lang w:val="en-US"/>
        </w:rPr>
        <w:t xml:space="preserve">, as </w:t>
      </w:r>
      <w:r w:rsidR="00F979E4" w:rsidRPr="001F63DD">
        <w:rPr>
          <w:rFonts w:ascii="Times New Roman" w:hAnsi="Times New Roman" w:cs="Times New Roman"/>
          <w:lang w:val="en-US"/>
        </w:rPr>
        <w:t>found</w:t>
      </w:r>
      <w:r w:rsidR="000003A9" w:rsidRPr="001F63DD">
        <w:rPr>
          <w:rFonts w:ascii="Times New Roman" w:hAnsi="Times New Roman" w:cs="Times New Roman"/>
          <w:lang w:val="en-US"/>
        </w:rPr>
        <w:t xml:space="preserve"> by </w:t>
      </w:r>
      <w:r w:rsidR="00E815E7" w:rsidRPr="001F63DD">
        <w:rPr>
          <w:rFonts w:ascii="Times New Roman" w:hAnsi="Times New Roman" w:cs="Times New Roman"/>
          <w:lang w:val="en-US"/>
        </w:rPr>
        <w:t>Molyneux, et Al. (1998)</w:t>
      </w:r>
      <w:r w:rsidR="008D347D" w:rsidRPr="001F63DD">
        <w:rPr>
          <w:rFonts w:ascii="Times New Roman" w:hAnsi="Times New Roman" w:cs="Times New Roman"/>
          <w:lang w:val="en-US"/>
        </w:rPr>
        <w:t>.</w:t>
      </w:r>
    </w:p>
    <w:p w14:paraId="41DF5BC6" w14:textId="55D72FE2" w:rsidR="00034A40" w:rsidRPr="001F63DD" w:rsidRDefault="00034A40" w:rsidP="00034A40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High capital adequacy </w:t>
      </w:r>
    </w:p>
    <w:p w14:paraId="532FBA13" w14:textId="77777777" w:rsidR="007B04CC" w:rsidRPr="001F63DD" w:rsidRDefault="007B04CC" w:rsidP="007B04CC">
      <w:pPr>
        <w:pStyle w:val="Prrafodelista"/>
        <w:rPr>
          <w:rFonts w:ascii="Times New Roman" w:hAnsi="Times New Roman" w:cs="Times New Roman"/>
          <w:lang w:val="en-US"/>
        </w:rPr>
      </w:pPr>
    </w:p>
    <w:p w14:paraId="4F75397E" w14:textId="542BFAB6" w:rsidR="00215754" w:rsidRPr="001F63DD" w:rsidRDefault="00215754" w:rsidP="007B04CC">
      <w:pPr>
        <w:pStyle w:val="Prrafodelista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() found that </w:t>
      </w:r>
    </w:p>
    <w:p w14:paraId="4063FCAC" w14:textId="42583569" w:rsidR="00532BBE" w:rsidRPr="001F63DD" w:rsidRDefault="00532BBE" w:rsidP="00532BBE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Is measured via the </w:t>
      </w:r>
      <w:r w:rsidR="0065371C" w:rsidRPr="001F63DD">
        <w:rPr>
          <w:rFonts w:ascii="Times New Roman" w:hAnsi="Times New Roman" w:cs="Times New Roman"/>
          <w:lang w:val="en-US"/>
        </w:rPr>
        <w:t>Capital</w:t>
      </w:r>
      <w:r w:rsidRPr="001F63DD">
        <w:rPr>
          <w:rFonts w:ascii="Times New Roman" w:hAnsi="Times New Roman" w:cs="Times New Roman"/>
          <w:lang w:val="en-US"/>
        </w:rPr>
        <w:t xml:space="preserve"> Adequacy Ratio (CAR)</w:t>
      </w:r>
    </w:p>
    <w:p w14:paraId="6A4DC876" w14:textId="75F2CC49" w:rsidR="00E22067" w:rsidRPr="001F63DD" w:rsidRDefault="004D09D4" w:rsidP="00E22067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>Rec</w:t>
      </w:r>
      <w:r w:rsidR="00253CA8" w:rsidRPr="001F63DD">
        <w:rPr>
          <w:rFonts w:ascii="Times New Roman" w:hAnsi="Times New Roman" w:cs="Times New Roman"/>
          <w:lang w:val="en-US"/>
        </w:rPr>
        <w:t xml:space="preserve">ently, </w:t>
      </w:r>
      <w:r w:rsidRPr="001F63DD">
        <w:rPr>
          <w:rFonts w:ascii="Times New Roman" w:hAnsi="Times New Roman" w:cs="Times New Roman"/>
          <w:lang w:val="en-US"/>
        </w:rPr>
        <w:t xml:space="preserve">Esquivel found a negative relationship between capital and lending, </w:t>
      </w:r>
    </w:p>
    <w:p w14:paraId="7A1713E0" w14:textId="5B1B3A58" w:rsidR="00C51A64" w:rsidRPr="001F63DD" w:rsidRDefault="00DD6E8C" w:rsidP="00E8706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F63DD">
        <w:rPr>
          <w:rFonts w:ascii="Times New Roman" w:hAnsi="Times New Roman" w:cs="Times New Roman"/>
          <w:b/>
          <w:bCs/>
          <w:lang w:val="en-US"/>
        </w:rPr>
        <w:t>Asset quality</w:t>
      </w:r>
    </w:p>
    <w:p w14:paraId="2761A122" w14:textId="5115FF3F" w:rsidR="00DD6E8C" w:rsidRPr="001F63DD" w:rsidRDefault="00DD6E8C" w:rsidP="00145B2A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1F63DD">
        <w:rPr>
          <w:rFonts w:ascii="Times New Roman" w:hAnsi="Times New Roman" w:cs="Times New Roman"/>
          <w:b/>
          <w:bCs/>
          <w:lang w:val="en-US"/>
        </w:rPr>
        <w:t>Credit/Total Assets</w:t>
      </w:r>
    </w:p>
    <w:p w14:paraId="2B91D4DA" w14:textId="3E46FE73" w:rsidR="00EE76BB" w:rsidRPr="001F63DD" w:rsidRDefault="008E399B" w:rsidP="00E8706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F63DD">
        <w:rPr>
          <w:rFonts w:ascii="Times New Roman" w:hAnsi="Times New Roman" w:cs="Times New Roman"/>
          <w:b/>
          <w:bCs/>
          <w:lang w:val="en-US"/>
        </w:rPr>
        <w:t>Liquidity</w:t>
      </w:r>
    </w:p>
    <w:p w14:paraId="5AE9C1DA" w14:textId="364A845B" w:rsidR="002632A3" w:rsidRPr="001F63DD" w:rsidRDefault="000D7B7B" w:rsidP="00E87065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Liquidity is defined as the </w:t>
      </w:r>
    </w:p>
    <w:p w14:paraId="5B545AA4" w14:textId="50E9688B" w:rsidR="009C4A99" w:rsidRPr="001F63DD" w:rsidRDefault="007B3060" w:rsidP="00E87065">
      <w:pPr>
        <w:jc w:val="both"/>
        <w:rPr>
          <w:rFonts w:ascii="Times New Roman" w:hAnsi="Times New Roman" w:cs="Times New Roman"/>
          <w:lang w:val="en-US"/>
        </w:rPr>
      </w:pPr>
      <w:r w:rsidRPr="001E1C80">
        <w:rPr>
          <w:rFonts w:ascii="Times New Roman" w:hAnsi="Times New Roman" w:cs="Times New Roman"/>
          <w:highlight w:val="yellow"/>
          <w:lang w:val="en-US"/>
        </w:rPr>
        <w:t xml:space="preserve">Contrary to conventional bank profitability literature, </w:t>
      </w:r>
      <w:r w:rsidR="0016021E" w:rsidRPr="001E1C80">
        <w:rPr>
          <w:rFonts w:ascii="Times New Roman" w:hAnsi="Times New Roman" w:cs="Times New Roman"/>
          <w:highlight w:val="yellow"/>
          <w:lang w:val="en-US"/>
        </w:rPr>
        <w:t xml:space="preserve">Mashamba </w:t>
      </w:r>
      <w:r w:rsidR="00F94BDD" w:rsidRPr="001E1C80">
        <w:rPr>
          <w:rFonts w:ascii="Times New Roman" w:hAnsi="Times New Roman" w:cs="Times New Roman"/>
          <w:highlight w:val="yellow"/>
          <w:lang w:val="en-US"/>
        </w:rPr>
        <w:t>(</w:t>
      </w:r>
      <w:r w:rsidR="0016021E" w:rsidRPr="001E1C80">
        <w:rPr>
          <w:rFonts w:ascii="Times New Roman" w:hAnsi="Times New Roman" w:cs="Times New Roman"/>
          <w:highlight w:val="yellow"/>
          <w:lang w:val="en-US"/>
        </w:rPr>
        <w:t>2018)</w:t>
      </w:r>
      <w:r w:rsidR="00EE76BB" w:rsidRPr="001E1C80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16021E" w:rsidRPr="001E1C80">
        <w:rPr>
          <w:rFonts w:ascii="Times New Roman" w:hAnsi="Times New Roman" w:cs="Times New Roman"/>
          <w:highlight w:val="yellow"/>
          <w:lang w:val="en-US"/>
        </w:rPr>
        <w:t xml:space="preserve">found that liquidity </w:t>
      </w:r>
      <w:r w:rsidR="00457DD8" w:rsidRPr="001E1C80">
        <w:rPr>
          <w:rFonts w:ascii="Times New Roman" w:hAnsi="Times New Roman" w:cs="Times New Roman"/>
          <w:highlight w:val="yellow"/>
          <w:lang w:val="en-US"/>
        </w:rPr>
        <w:t>positively affect bank profitability</w:t>
      </w:r>
      <w:r w:rsidR="000208E0" w:rsidRPr="001E1C80">
        <w:rPr>
          <w:rFonts w:ascii="Times New Roman" w:hAnsi="Times New Roman" w:cs="Times New Roman"/>
          <w:highlight w:val="yellow"/>
          <w:lang w:val="en-US"/>
        </w:rPr>
        <w:t xml:space="preserve"> in banks</w:t>
      </w:r>
      <w:r w:rsidR="00DB6B74" w:rsidRPr="001E1C80">
        <w:rPr>
          <w:rFonts w:ascii="Times New Roman" w:hAnsi="Times New Roman" w:cs="Times New Roman"/>
          <w:highlight w:val="yellow"/>
          <w:lang w:val="en-US"/>
        </w:rPr>
        <w:t xml:space="preserve"> operating in emerging countries</w:t>
      </w:r>
      <w:r w:rsidRPr="001E1C80">
        <w:rPr>
          <w:rFonts w:ascii="Times New Roman" w:hAnsi="Times New Roman" w:cs="Times New Roman"/>
          <w:highlight w:val="yellow"/>
          <w:lang w:val="en-US"/>
        </w:rPr>
        <w:t xml:space="preserve">. One explanation of such deviation is that </w:t>
      </w:r>
      <w:r w:rsidR="00753612" w:rsidRPr="001E1C80">
        <w:rPr>
          <w:rFonts w:ascii="Times New Roman" w:hAnsi="Times New Roman" w:cs="Times New Roman"/>
          <w:highlight w:val="yellow"/>
          <w:lang w:val="en-US"/>
        </w:rPr>
        <w:t>some banks</w:t>
      </w:r>
      <w:r w:rsidRPr="001E1C80">
        <w:rPr>
          <w:rFonts w:ascii="Times New Roman" w:hAnsi="Times New Roman" w:cs="Times New Roman"/>
          <w:highlight w:val="yellow"/>
          <w:lang w:val="en-US"/>
        </w:rPr>
        <w:t xml:space="preserve"> from inefficient emerging markets</w:t>
      </w:r>
      <w:r w:rsidR="00753612" w:rsidRPr="001E1C80">
        <w:rPr>
          <w:rFonts w:ascii="Times New Roman" w:hAnsi="Times New Roman" w:cs="Times New Roman"/>
          <w:highlight w:val="yellow"/>
          <w:lang w:val="en-US"/>
        </w:rPr>
        <w:t xml:space="preserve"> may </w:t>
      </w:r>
      <w:r w:rsidR="002F146F" w:rsidRPr="001E1C80">
        <w:rPr>
          <w:rFonts w:ascii="Times New Roman" w:hAnsi="Times New Roman" w:cs="Times New Roman"/>
          <w:highlight w:val="yellow"/>
          <w:lang w:val="en-US"/>
        </w:rPr>
        <w:t>prefer</w:t>
      </w:r>
      <w:r w:rsidR="00753612" w:rsidRPr="001E1C80">
        <w:rPr>
          <w:rFonts w:ascii="Times New Roman" w:hAnsi="Times New Roman" w:cs="Times New Roman"/>
          <w:highlight w:val="yellow"/>
          <w:lang w:val="en-US"/>
        </w:rPr>
        <w:t xml:space="preserve"> to invest</w:t>
      </w:r>
      <w:r w:rsidR="00D61035" w:rsidRPr="001E1C80">
        <w:rPr>
          <w:rFonts w:ascii="Times New Roman" w:hAnsi="Times New Roman" w:cs="Times New Roman"/>
          <w:highlight w:val="yellow"/>
          <w:lang w:val="en-US"/>
        </w:rPr>
        <w:t xml:space="preserve"> to keep a conservative portfolio of </w:t>
      </w:r>
      <w:r w:rsidR="002E6458" w:rsidRPr="001E1C80">
        <w:rPr>
          <w:rFonts w:ascii="Times New Roman" w:hAnsi="Times New Roman" w:cs="Times New Roman"/>
          <w:highlight w:val="yellow"/>
          <w:lang w:val="en-US"/>
        </w:rPr>
        <w:t>liquid</w:t>
      </w:r>
      <w:r w:rsidR="009F395D" w:rsidRPr="001E1C80">
        <w:rPr>
          <w:rFonts w:ascii="Times New Roman" w:hAnsi="Times New Roman" w:cs="Times New Roman"/>
          <w:highlight w:val="yellow"/>
          <w:lang w:val="en-US"/>
        </w:rPr>
        <w:t xml:space="preserve">, </w:t>
      </w:r>
      <w:r w:rsidR="003854A6" w:rsidRPr="001E1C80">
        <w:rPr>
          <w:rFonts w:ascii="Times New Roman" w:hAnsi="Times New Roman" w:cs="Times New Roman"/>
          <w:highlight w:val="yellow"/>
          <w:lang w:val="en-US"/>
        </w:rPr>
        <w:t>low-risk</w:t>
      </w:r>
      <w:r w:rsidR="009F395D" w:rsidRPr="001E1C80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520B10" w:rsidRPr="001E1C80">
        <w:rPr>
          <w:rFonts w:ascii="Times New Roman" w:hAnsi="Times New Roman" w:cs="Times New Roman"/>
          <w:highlight w:val="yellow"/>
          <w:lang w:val="en-US"/>
        </w:rPr>
        <w:t xml:space="preserve">government bonds, as </w:t>
      </w:r>
      <w:r w:rsidR="005F4E8A" w:rsidRPr="001E1C80">
        <w:rPr>
          <w:rFonts w:ascii="Times New Roman" w:hAnsi="Times New Roman" w:cs="Times New Roman"/>
          <w:highlight w:val="yellow"/>
          <w:lang w:val="en-US"/>
        </w:rPr>
        <w:t>supposed to</w:t>
      </w:r>
      <w:r w:rsidR="007D1B61" w:rsidRPr="001E1C80">
        <w:rPr>
          <w:rFonts w:ascii="Times New Roman" w:hAnsi="Times New Roman" w:cs="Times New Roman"/>
          <w:highlight w:val="yellow"/>
          <w:lang w:val="en-US"/>
        </w:rPr>
        <w:t xml:space="preserve"> lending to the private sector</w:t>
      </w:r>
      <w:r w:rsidR="00EB73EF" w:rsidRPr="001E1C80">
        <w:rPr>
          <w:rFonts w:ascii="Times New Roman" w:hAnsi="Times New Roman" w:cs="Times New Roman"/>
          <w:highlight w:val="yellow"/>
          <w:lang w:val="en-US"/>
        </w:rPr>
        <w:t>.</w:t>
      </w:r>
    </w:p>
    <w:p w14:paraId="61A93125" w14:textId="05D426B7" w:rsidR="0016021E" w:rsidRPr="001F63DD" w:rsidRDefault="0016021E" w:rsidP="00E87065">
      <w:pPr>
        <w:jc w:val="both"/>
        <w:rPr>
          <w:rFonts w:ascii="Times New Roman" w:hAnsi="Times New Roman" w:cs="Times New Roman"/>
          <w:lang w:val="en-US"/>
        </w:rPr>
      </w:pPr>
    </w:p>
    <w:p w14:paraId="7D580550" w14:textId="6D4DB2F9" w:rsidR="00A72317" w:rsidRPr="001F63DD" w:rsidRDefault="00D843B4" w:rsidP="00E8706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F63DD">
        <w:rPr>
          <w:rFonts w:ascii="Times New Roman" w:hAnsi="Times New Roman" w:cs="Times New Roman"/>
          <w:b/>
          <w:bCs/>
          <w:lang w:val="en-US"/>
        </w:rPr>
        <w:t>Asset quality</w:t>
      </w:r>
      <w:r w:rsidR="00FD48A5">
        <w:rPr>
          <w:rFonts w:ascii="Times New Roman" w:hAnsi="Times New Roman" w:cs="Times New Roman"/>
          <w:b/>
          <w:bCs/>
          <w:lang w:val="en-US"/>
        </w:rPr>
        <w:t xml:space="preserve"> (morosity)</w:t>
      </w:r>
    </w:p>
    <w:p w14:paraId="06F6C8F7" w14:textId="36966CCE" w:rsidR="004227DC" w:rsidRPr="001F63DD" w:rsidRDefault="004227DC" w:rsidP="00E87065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Asset quality, that is the risk of </w:t>
      </w:r>
      <w:proofErr w:type="spellStart"/>
      <w:r w:rsidRPr="001F63DD">
        <w:rPr>
          <w:rFonts w:ascii="Times New Roman" w:hAnsi="Times New Roman" w:cs="Times New Roman"/>
          <w:lang w:val="en-US"/>
        </w:rPr>
        <w:t>non performance</w:t>
      </w:r>
      <w:proofErr w:type="spellEnd"/>
      <w:r w:rsidRPr="001F63DD">
        <w:rPr>
          <w:rFonts w:ascii="Times New Roman" w:hAnsi="Times New Roman" w:cs="Times New Roman"/>
          <w:lang w:val="en-US"/>
        </w:rPr>
        <w:t xml:space="preserve"> of loans</w:t>
      </w:r>
      <w:r w:rsidR="0047532F" w:rsidRPr="001F63DD">
        <w:rPr>
          <w:rFonts w:ascii="Times New Roman" w:hAnsi="Times New Roman" w:cs="Times New Roman"/>
          <w:lang w:val="en-US"/>
        </w:rPr>
        <w:t>.</w:t>
      </w:r>
    </w:p>
    <w:p w14:paraId="054776A3" w14:textId="568F670A" w:rsidR="00BD4B0A" w:rsidRPr="001F63DD" w:rsidRDefault="00BD4B0A" w:rsidP="00E8706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1F63DD">
        <w:rPr>
          <w:rFonts w:ascii="Times New Roman" w:hAnsi="Times New Roman" w:cs="Times New Roman"/>
          <w:highlight w:val="yellow"/>
          <w:lang w:val="en-US"/>
        </w:rPr>
        <w:t>Chavarín</w:t>
      </w:r>
      <w:proofErr w:type="spellEnd"/>
      <w:r w:rsidRPr="001F63DD">
        <w:rPr>
          <w:rFonts w:ascii="Times New Roman" w:hAnsi="Times New Roman" w:cs="Times New Roman"/>
          <w:highlight w:val="yellow"/>
          <w:lang w:val="en-US"/>
        </w:rPr>
        <w:t xml:space="preserve">-Rodríguez </w:t>
      </w:r>
      <w:r w:rsidR="00764051" w:rsidRPr="001F63DD">
        <w:rPr>
          <w:rFonts w:ascii="Times New Roman" w:hAnsi="Times New Roman" w:cs="Times New Roman"/>
          <w:highlight w:val="yellow"/>
          <w:lang w:val="en-US"/>
        </w:rPr>
        <w:t xml:space="preserve">(2015) </w:t>
      </w:r>
      <w:r w:rsidRPr="001F63DD">
        <w:rPr>
          <w:rFonts w:ascii="Times New Roman" w:hAnsi="Times New Roman" w:cs="Times New Roman"/>
          <w:highlight w:val="yellow"/>
          <w:lang w:val="en-US"/>
        </w:rPr>
        <w:t>previously found</w:t>
      </w:r>
      <w:r w:rsidR="00D504E1" w:rsidRPr="001F63DD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3D095A" w:rsidRPr="001F63DD">
        <w:rPr>
          <w:rFonts w:ascii="Times New Roman" w:hAnsi="Times New Roman" w:cs="Times New Roman"/>
          <w:highlight w:val="yellow"/>
          <w:lang w:val="en-US"/>
        </w:rPr>
        <w:t xml:space="preserve">morosity </w:t>
      </w:r>
      <w:r w:rsidR="004D3AE1" w:rsidRPr="001F63DD">
        <w:rPr>
          <w:rFonts w:ascii="Times New Roman" w:hAnsi="Times New Roman" w:cs="Times New Roman"/>
          <w:highlight w:val="yellow"/>
          <w:lang w:val="en-US"/>
        </w:rPr>
        <w:t xml:space="preserve">not to be a </w:t>
      </w:r>
      <w:r w:rsidR="00323496" w:rsidRPr="001F63DD">
        <w:rPr>
          <w:rFonts w:ascii="Times New Roman" w:hAnsi="Times New Roman" w:cs="Times New Roman"/>
          <w:highlight w:val="yellow"/>
          <w:lang w:val="en-US"/>
        </w:rPr>
        <w:t xml:space="preserve">significant </w:t>
      </w:r>
      <w:r w:rsidR="004D3AE1" w:rsidRPr="001F63DD">
        <w:rPr>
          <w:rFonts w:ascii="Times New Roman" w:hAnsi="Times New Roman" w:cs="Times New Roman"/>
          <w:highlight w:val="yellow"/>
          <w:lang w:val="en-US"/>
        </w:rPr>
        <w:t xml:space="preserve">factor </w:t>
      </w:r>
      <w:r w:rsidR="00323496" w:rsidRPr="001F63DD">
        <w:rPr>
          <w:rFonts w:ascii="Times New Roman" w:hAnsi="Times New Roman" w:cs="Times New Roman"/>
          <w:highlight w:val="yellow"/>
          <w:lang w:val="en-US"/>
        </w:rPr>
        <w:t>driving profitability</w:t>
      </w:r>
      <w:r w:rsidR="00D504E1" w:rsidRPr="001F63DD">
        <w:rPr>
          <w:rFonts w:ascii="Times New Roman" w:hAnsi="Times New Roman" w:cs="Times New Roman"/>
          <w:highlight w:val="yellow"/>
          <w:lang w:val="en-US"/>
        </w:rPr>
        <w:t xml:space="preserve"> for Mexican commercial banks</w:t>
      </w:r>
      <w:r w:rsidR="00A31BC3" w:rsidRPr="001F63DD">
        <w:rPr>
          <w:rFonts w:ascii="Times New Roman" w:hAnsi="Times New Roman" w:cs="Times New Roman"/>
          <w:lang w:val="en-US"/>
        </w:rPr>
        <w:t>.</w:t>
      </w:r>
    </w:p>
    <w:p w14:paraId="283FF1E1" w14:textId="189BB9F7" w:rsidR="00BC2D5D" w:rsidRPr="001F63DD" w:rsidRDefault="00FD48A5" w:rsidP="00FD48A5">
      <w:pPr>
        <w:pStyle w:val="Comentario"/>
        <w:rPr>
          <w:lang w:val="en-US"/>
        </w:rPr>
      </w:pPr>
      <w:r>
        <w:rPr>
          <w:lang w:val="en-US"/>
        </w:rPr>
        <w:t xml:space="preserve"># </w:t>
      </w:r>
      <w:r w:rsidR="007553E6" w:rsidRPr="001F63DD">
        <w:rPr>
          <w:lang w:val="en-US"/>
        </w:rPr>
        <w:t>Accessibility to services</w:t>
      </w:r>
    </w:p>
    <w:p w14:paraId="450F8D94" w14:textId="2939EC5C" w:rsidR="007E4F57" w:rsidRPr="001F63DD" w:rsidRDefault="00FD48A5" w:rsidP="00FD48A5">
      <w:pPr>
        <w:pStyle w:val="Comentario"/>
        <w:rPr>
          <w:lang w:val="en-US"/>
        </w:rPr>
      </w:pPr>
      <w:r>
        <w:rPr>
          <w:lang w:val="en-US"/>
        </w:rPr>
        <w:t xml:space="preserve"># </w:t>
      </w:r>
      <w:proofErr w:type="spellStart"/>
      <w:r w:rsidR="0089313D" w:rsidRPr="001F63DD">
        <w:rPr>
          <w:lang w:val="en-US"/>
        </w:rPr>
        <w:t>Ayaydin</w:t>
      </w:r>
      <w:proofErr w:type="spellEnd"/>
      <w:r w:rsidR="0089313D" w:rsidRPr="001F63DD">
        <w:rPr>
          <w:lang w:val="en-US"/>
        </w:rPr>
        <w:t xml:space="preserve"> &amp; Karakaya (2014) found that </w:t>
      </w:r>
      <w:r w:rsidR="002B6DFA" w:rsidRPr="001F63DD">
        <w:rPr>
          <w:lang w:val="en-US"/>
        </w:rPr>
        <w:t>technology-based</w:t>
      </w:r>
      <w:r w:rsidR="0089313D" w:rsidRPr="001F63DD">
        <w:rPr>
          <w:lang w:val="en-US"/>
        </w:rPr>
        <w:t xml:space="preserve"> methods of service, such as the number of ATMs available and credit cards issued </w:t>
      </w:r>
      <w:r w:rsidR="00A85AC5" w:rsidRPr="001F63DD">
        <w:rPr>
          <w:lang w:val="en-US"/>
        </w:rPr>
        <w:t xml:space="preserve">can </w:t>
      </w:r>
      <w:r w:rsidR="0089313D" w:rsidRPr="001F63DD">
        <w:rPr>
          <w:lang w:val="en-US"/>
        </w:rPr>
        <w:t>improve bank profitability</w:t>
      </w:r>
      <w:r w:rsidR="00A85AC5" w:rsidRPr="001F63DD">
        <w:rPr>
          <w:lang w:val="en-US"/>
        </w:rPr>
        <w:t>.</w:t>
      </w:r>
    </w:p>
    <w:p w14:paraId="73DE0E73" w14:textId="77777777" w:rsidR="003D3BB5" w:rsidRPr="001F63DD" w:rsidRDefault="003D3BB5" w:rsidP="003D3BB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F63DD">
        <w:rPr>
          <w:rFonts w:ascii="Times New Roman" w:hAnsi="Times New Roman" w:cs="Times New Roman"/>
          <w:b/>
          <w:bCs/>
          <w:lang w:val="en-US"/>
        </w:rPr>
        <w:t>Operational efficiency</w:t>
      </w:r>
    </w:p>
    <w:p w14:paraId="28DD53B4" w14:textId="77777777" w:rsidR="003D3BB5" w:rsidRPr="001F63DD" w:rsidRDefault="003D3BB5" w:rsidP="003D3BB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1F63DD">
        <w:rPr>
          <w:rFonts w:ascii="Times New Roman" w:hAnsi="Times New Roman" w:cs="Times New Roman"/>
          <w:lang w:val="en-US"/>
        </w:rPr>
        <w:t>Efficience</w:t>
      </w:r>
      <w:proofErr w:type="spellEnd"/>
      <w:r w:rsidRPr="001F63DD">
        <w:rPr>
          <w:rFonts w:ascii="Times New Roman" w:hAnsi="Times New Roman" w:cs="Times New Roman"/>
          <w:lang w:val="en-US"/>
        </w:rPr>
        <w:t xml:space="preserve"> of asset management</w:t>
      </w:r>
    </w:p>
    <w:p w14:paraId="36BCAF07" w14:textId="2374EB2F" w:rsidR="007E4F57" w:rsidRPr="001F63DD" w:rsidRDefault="00AC02CA">
      <w:pPr>
        <w:ind w:left="357" w:hanging="357"/>
        <w:rPr>
          <w:rFonts w:ascii="Times New Roman" w:hAnsi="Times New Roman" w:cs="Times New Roman"/>
          <w:lang w:val="en-US"/>
        </w:rPr>
      </w:pPr>
      <w:r w:rsidRPr="00AC02CA">
        <w:rPr>
          <w:rFonts w:ascii="Times New Roman" w:hAnsi="Times New Roman" w:cs="Times New Roman"/>
        </w:rPr>
        <w:t>Al-</w:t>
      </w:r>
      <w:proofErr w:type="spellStart"/>
      <w:r w:rsidRPr="00AC02CA">
        <w:rPr>
          <w:rFonts w:ascii="Times New Roman" w:hAnsi="Times New Roman" w:cs="Times New Roman"/>
        </w:rPr>
        <w:t>Homaidi</w:t>
      </w:r>
      <w:proofErr w:type="spellEnd"/>
      <w:r>
        <w:rPr>
          <w:rFonts w:ascii="Times New Roman" w:hAnsi="Times New Roman" w:cs="Times New Roman"/>
        </w:rPr>
        <w:t xml:space="preserve"> et Al. (2018). </w:t>
      </w:r>
      <w:r w:rsidR="007E4F57" w:rsidRPr="001F63DD">
        <w:rPr>
          <w:rFonts w:ascii="Times New Roman" w:hAnsi="Times New Roman" w:cs="Times New Roman"/>
          <w:lang w:val="en-US"/>
        </w:rPr>
        <w:br w:type="page"/>
      </w:r>
    </w:p>
    <w:p w14:paraId="25B0E9E2" w14:textId="09E695C7" w:rsidR="001A4939" w:rsidRPr="001F63DD" w:rsidRDefault="00EB6013" w:rsidP="00EB6013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lastRenderedPageBreak/>
        <w:t>DATA</w:t>
      </w:r>
    </w:p>
    <w:p w14:paraId="55F5323B" w14:textId="7EA3A44E" w:rsidR="00A77B20" w:rsidRPr="001F63DD" w:rsidRDefault="001A4939" w:rsidP="00A756FA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The data used for this article comprise </w:t>
      </w:r>
      <w:r w:rsidR="00561373" w:rsidRPr="001F63DD">
        <w:rPr>
          <w:rFonts w:ascii="Times New Roman" w:hAnsi="Times New Roman" w:cs="Times New Roman"/>
          <w:lang w:val="en-US"/>
        </w:rPr>
        <w:t xml:space="preserve">a balanced panel </w:t>
      </w:r>
      <w:r w:rsidRPr="001F63DD">
        <w:rPr>
          <w:rFonts w:ascii="Times New Roman" w:hAnsi="Times New Roman" w:cs="Times New Roman"/>
          <w:lang w:val="en-US"/>
        </w:rPr>
        <w:t xml:space="preserve">of </w:t>
      </w:r>
      <w:r w:rsidR="007571BC" w:rsidRPr="001F63DD">
        <w:rPr>
          <w:rFonts w:ascii="Times New Roman" w:hAnsi="Times New Roman" w:cs="Times New Roman"/>
          <w:lang w:val="en-US"/>
        </w:rPr>
        <w:t>2,470</w:t>
      </w:r>
      <w:r w:rsidR="00561373" w:rsidRPr="001F63DD">
        <w:rPr>
          <w:rFonts w:ascii="Times New Roman" w:hAnsi="Times New Roman" w:cs="Times New Roman"/>
          <w:lang w:val="en-US"/>
        </w:rPr>
        <w:t xml:space="preserve"> </w:t>
      </w:r>
      <w:r w:rsidR="00DA3F1E" w:rsidRPr="001F63DD">
        <w:rPr>
          <w:rFonts w:ascii="Times New Roman" w:hAnsi="Times New Roman" w:cs="Times New Roman"/>
          <w:lang w:val="en-US"/>
        </w:rPr>
        <w:t xml:space="preserve">observations </w:t>
      </w:r>
      <w:r w:rsidR="008F7E36" w:rsidRPr="001F63DD">
        <w:rPr>
          <w:rFonts w:ascii="Times New Roman" w:hAnsi="Times New Roman" w:cs="Times New Roman"/>
          <w:lang w:val="en-US"/>
        </w:rPr>
        <w:t>from the</w:t>
      </w:r>
      <w:r w:rsidR="00561373" w:rsidRPr="001F63DD">
        <w:rPr>
          <w:rFonts w:ascii="Times New Roman" w:hAnsi="Times New Roman" w:cs="Times New Roman"/>
          <w:lang w:val="en-US"/>
        </w:rPr>
        <w:t xml:space="preserve"> </w:t>
      </w:r>
      <w:r w:rsidRPr="001F63DD">
        <w:rPr>
          <w:rFonts w:ascii="Times New Roman" w:hAnsi="Times New Roman" w:cs="Times New Roman"/>
          <w:lang w:val="en-US"/>
        </w:rPr>
        <w:t>ten largest commercial banks operating in Mexico</w:t>
      </w:r>
      <w:r w:rsidR="00474592" w:rsidRPr="001F63DD">
        <w:rPr>
          <w:rFonts w:ascii="Times New Roman" w:hAnsi="Times New Roman" w:cs="Times New Roman"/>
          <w:lang w:val="en-US"/>
        </w:rPr>
        <w:t xml:space="preserve">, </w:t>
      </w:r>
      <w:r w:rsidRPr="001F63DD">
        <w:rPr>
          <w:rFonts w:ascii="Times New Roman" w:hAnsi="Times New Roman" w:cs="Times New Roman"/>
          <w:lang w:val="en-US"/>
        </w:rPr>
        <w:t>which include</w:t>
      </w:r>
      <w:r w:rsidR="00075E18" w:rsidRPr="001F63DD">
        <w:rPr>
          <w:rFonts w:ascii="Times New Roman" w:hAnsi="Times New Roman" w:cs="Times New Roman"/>
          <w:lang w:val="en-US"/>
        </w:rPr>
        <w:t xml:space="preserve"> </w:t>
      </w:r>
      <w:r w:rsidR="007A059A" w:rsidRPr="001F63DD">
        <w:rPr>
          <w:rFonts w:ascii="Times New Roman" w:hAnsi="Times New Roman" w:cs="Times New Roman"/>
          <w:lang w:val="en-US"/>
        </w:rPr>
        <w:t xml:space="preserve">Banamex, BBVA México, Santander, HSBC, </w:t>
      </w:r>
      <w:proofErr w:type="spellStart"/>
      <w:r w:rsidR="007A059A" w:rsidRPr="001F63DD">
        <w:rPr>
          <w:rFonts w:ascii="Times New Roman" w:hAnsi="Times New Roman" w:cs="Times New Roman"/>
          <w:lang w:val="en-US"/>
        </w:rPr>
        <w:t>Inbursa</w:t>
      </w:r>
      <w:proofErr w:type="spellEnd"/>
      <w:r w:rsidR="007A059A" w:rsidRPr="001F63DD">
        <w:rPr>
          <w:rFonts w:ascii="Times New Roman" w:hAnsi="Times New Roman" w:cs="Times New Roman"/>
          <w:lang w:val="en-US"/>
        </w:rPr>
        <w:t xml:space="preserve">, Scotiabank, </w:t>
      </w:r>
      <w:proofErr w:type="spellStart"/>
      <w:r w:rsidR="007A059A" w:rsidRPr="001F63DD">
        <w:rPr>
          <w:rFonts w:ascii="Times New Roman" w:hAnsi="Times New Roman" w:cs="Times New Roman"/>
          <w:lang w:val="en-US"/>
        </w:rPr>
        <w:t>Banorte</w:t>
      </w:r>
      <w:proofErr w:type="spellEnd"/>
      <w:r w:rsidR="007A059A" w:rsidRPr="001F63DD">
        <w:rPr>
          <w:rFonts w:ascii="Times New Roman" w:hAnsi="Times New Roman" w:cs="Times New Roman"/>
          <w:lang w:val="en-US"/>
        </w:rPr>
        <w:t xml:space="preserve">, Banco del Bajío, </w:t>
      </w:r>
      <w:proofErr w:type="spellStart"/>
      <w:r w:rsidR="007A059A" w:rsidRPr="001F63DD">
        <w:rPr>
          <w:rFonts w:ascii="Times New Roman" w:hAnsi="Times New Roman" w:cs="Times New Roman"/>
          <w:lang w:val="en-US"/>
        </w:rPr>
        <w:t>Banregio</w:t>
      </w:r>
      <w:proofErr w:type="spellEnd"/>
      <w:r w:rsidR="007A059A" w:rsidRPr="001F63DD">
        <w:rPr>
          <w:rFonts w:ascii="Times New Roman" w:hAnsi="Times New Roman" w:cs="Times New Roman"/>
          <w:lang w:val="en-US"/>
        </w:rPr>
        <w:t>, and Banco Azteca.</w:t>
      </w:r>
      <w:r w:rsidR="000F48AF" w:rsidRPr="001F63DD">
        <w:rPr>
          <w:rFonts w:ascii="Times New Roman" w:hAnsi="Times New Roman" w:cs="Times New Roman"/>
          <w:lang w:val="en-US"/>
        </w:rPr>
        <w:t xml:space="preserve"> </w:t>
      </w:r>
      <w:r w:rsidR="007A77C6" w:rsidRPr="001F63DD">
        <w:rPr>
          <w:rFonts w:ascii="Times New Roman" w:hAnsi="Times New Roman" w:cs="Times New Roman"/>
          <w:lang w:val="en-US"/>
        </w:rPr>
        <w:t>As of June 2024, t</w:t>
      </w:r>
      <w:r w:rsidR="000F48AF" w:rsidRPr="001F63DD">
        <w:rPr>
          <w:rFonts w:ascii="Times New Roman" w:hAnsi="Times New Roman" w:cs="Times New Roman"/>
          <w:lang w:val="en-US"/>
        </w:rPr>
        <w:t xml:space="preserve">hese </w:t>
      </w:r>
      <w:r w:rsidR="007A77C6" w:rsidRPr="001F63DD">
        <w:rPr>
          <w:rFonts w:ascii="Times New Roman" w:hAnsi="Times New Roman" w:cs="Times New Roman"/>
          <w:lang w:val="en-US"/>
        </w:rPr>
        <w:t xml:space="preserve">banks </w:t>
      </w:r>
      <w:r w:rsidRPr="001F63DD">
        <w:rPr>
          <w:rFonts w:ascii="Times New Roman" w:hAnsi="Times New Roman" w:cs="Times New Roman"/>
          <w:lang w:val="en-US"/>
        </w:rPr>
        <w:t>capture</w:t>
      </w:r>
      <w:r w:rsidR="007A77C6" w:rsidRPr="001F63DD">
        <w:rPr>
          <w:rFonts w:ascii="Times New Roman" w:hAnsi="Times New Roman" w:cs="Times New Roman"/>
          <w:lang w:val="en-US"/>
        </w:rPr>
        <w:t>d</w:t>
      </w:r>
      <w:r w:rsidR="000F48AF" w:rsidRPr="001F63DD">
        <w:rPr>
          <w:rFonts w:ascii="Times New Roman" w:hAnsi="Times New Roman" w:cs="Times New Roman"/>
          <w:lang w:val="en-US"/>
        </w:rPr>
        <w:t xml:space="preserve"> </w:t>
      </w:r>
      <w:r w:rsidRPr="00F334EF">
        <w:rPr>
          <w:rFonts w:ascii="Times New Roman" w:hAnsi="Times New Roman" w:cs="Times New Roman"/>
          <w:highlight w:val="cyan"/>
          <w:lang w:val="en-US"/>
        </w:rPr>
        <w:t xml:space="preserve">% of </w:t>
      </w:r>
      <w:r w:rsidR="008F7E36" w:rsidRPr="00F334EF">
        <w:rPr>
          <w:rFonts w:ascii="Times New Roman" w:hAnsi="Times New Roman" w:cs="Times New Roman"/>
          <w:highlight w:val="cyan"/>
          <w:lang w:val="en-US"/>
        </w:rPr>
        <w:t xml:space="preserve">total earnings </w:t>
      </w:r>
      <w:r w:rsidRPr="00F334EF">
        <w:rPr>
          <w:rFonts w:ascii="Times New Roman" w:hAnsi="Times New Roman" w:cs="Times New Roman"/>
          <w:highlight w:val="cyan"/>
          <w:lang w:val="en-US"/>
        </w:rPr>
        <w:t>and</w:t>
      </w:r>
      <w:r w:rsidR="000F48AF" w:rsidRPr="00F334EF">
        <w:rPr>
          <w:rFonts w:ascii="Times New Roman" w:hAnsi="Times New Roman" w:cs="Times New Roman"/>
          <w:highlight w:val="cyan"/>
          <w:lang w:val="en-US"/>
        </w:rPr>
        <w:t xml:space="preserve"> %</w:t>
      </w:r>
      <w:r w:rsidRPr="001F63DD">
        <w:rPr>
          <w:rFonts w:ascii="Times New Roman" w:hAnsi="Times New Roman" w:cs="Times New Roman"/>
          <w:lang w:val="en-US"/>
        </w:rPr>
        <w:t xml:space="preserve"> </w:t>
      </w:r>
      <w:r w:rsidR="000F48AF" w:rsidRPr="001F63DD">
        <w:rPr>
          <w:rFonts w:ascii="Times New Roman" w:hAnsi="Times New Roman" w:cs="Times New Roman"/>
          <w:lang w:val="en-US"/>
        </w:rPr>
        <w:t xml:space="preserve">of </w:t>
      </w:r>
      <w:r w:rsidRPr="001F63DD">
        <w:rPr>
          <w:rFonts w:ascii="Times New Roman" w:hAnsi="Times New Roman" w:cs="Times New Roman"/>
          <w:lang w:val="en-US"/>
        </w:rPr>
        <w:t>assets</w:t>
      </w:r>
      <w:r w:rsidR="000F48AF" w:rsidRPr="001F63DD">
        <w:rPr>
          <w:rFonts w:ascii="Times New Roman" w:hAnsi="Times New Roman" w:cs="Times New Roman"/>
          <w:lang w:val="en-US"/>
        </w:rPr>
        <w:t xml:space="preserve"> in the </w:t>
      </w:r>
      <w:r w:rsidR="008F7E36" w:rsidRPr="001F63DD">
        <w:rPr>
          <w:rFonts w:ascii="Times New Roman" w:hAnsi="Times New Roman" w:cs="Times New Roman"/>
          <w:lang w:val="en-US"/>
        </w:rPr>
        <w:t>Mexican Banking system</w:t>
      </w:r>
      <w:r w:rsidR="00207AFE" w:rsidRPr="001F63DD">
        <w:rPr>
          <w:rFonts w:ascii="Times New Roman" w:hAnsi="Times New Roman" w:cs="Times New Roman"/>
          <w:lang w:val="en-US"/>
        </w:rPr>
        <w:t xml:space="preserve">, </w:t>
      </w:r>
      <w:r w:rsidR="008F7E36" w:rsidRPr="001F63DD">
        <w:rPr>
          <w:rFonts w:ascii="Times New Roman" w:hAnsi="Times New Roman" w:cs="Times New Roman"/>
          <w:lang w:val="en-US"/>
        </w:rPr>
        <w:t xml:space="preserve">therefore reflecting their </w:t>
      </w:r>
      <w:r w:rsidR="00207AFE" w:rsidRPr="001F63DD">
        <w:rPr>
          <w:rFonts w:ascii="Times New Roman" w:hAnsi="Times New Roman" w:cs="Times New Roman"/>
          <w:lang w:val="en-US"/>
        </w:rPr>
        <w:t xml:space="preserve">overall dominance in </w:t>
      </w:r>
      <w:r w:rsidR="008F7E36" w:rsidRPr="001F63DD">
        <w:rPr>
          <w:rFonts w:ascii="Times New Roman" w:hAnsi="Times New Roman" w:cs="Times New Roman"/>
          <w:lang w:val="en-US"/>
        </w:rPr>
        <w:t>the sector.</w:t>
      </w:r>
      <w:r w:rsidR="00A17CCF" w:rsidRPr="001F63DD">
        <w:rPr>
          <w:rFonts w:ascii="Times New Roman" w:hAnsi="Times New Roman" w:cs="Times New Roman"/>
          <w:lang w:val="en-US"/>
        </w:rPr>
        <w:t xml:space="preserve"> </w:t>
      </w:r>
    </w:p>
    <w:p w14:paraId="7722B772" w14:textId="4FC62BFC" w:rsidR="005D1389" w:rsidRPr="001F63DD" w:rsidRDefault="005D1389" w:rsidP="005D138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</w:pPr>
      <w:r w:rsidRPr="001F63DD">
        <w:rPr>
          <w:rFonts w:ascii="Times New Roman" w:hAnsi="Times New Roman" w:cs="Times New Roman"/>
          <w:b/>
          <w:bCs/>
          <w:lang w:val="en-US"/>
        </w:rPr>
        <w:t xml:space="preserve">Table 1. Statistical Summary </w:t>
      </w:r>
      <w:r w:rsidRPr="001F63DD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 xml:space="preserve">of individual </w:t>
      </w:r>
      <w:r w:rsidRPr="001F63DD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banks</w:t>
      </w:r>
    </w:p>
    <w:tbl>
      <w:tblPr>
        <w:tblW w:w="95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2"/>
        <w:gridCol w:w="879"/>
        <w:gridCol w:w="1018"/>
        <w:gridCol w:w="879"/>
        <w:gridCol w:w="879"/>
        <w:gridCol w:w="879"/>
        <w:gridCol w:w="879"/>
        <w:gridCol w:w="879"/>
        <w:gridCol w:w="879"/>
        <w:gridCol w:w="879"/>
      </w:tblGrid>
      <w:tr w:rsidR="00A17CCF" w:rsidRPr="001F63DD" w14:paraId="12224350" w14:textId="77777777" w:rsidTr="007F6A36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240AFB" w14:textId="77777777" w:rsidR="00A17CCF" w:rsidRPr="001F63DD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  <w:p w14:paraId="6DB8ED1F" w14:textId="77777777" w:rsidR="005D1389" w:rsidRPr="00A17CCF" w:rsidRDefault="005D1389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6DADE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ROE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B569A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GROWTH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A2493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INF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DF82E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INT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AD62B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LNAS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B0999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CAR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00F58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LIQ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D8BE7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IMORA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0FEDC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AM</w:t>
            </w:r>
          </w:p>
        </w:tc>
      </w:tr>
      <w:tr w:rsidR="00A17CCF" w:rsidRPr="001F63DD" w14:paraId="1291EA21" w14:textId="77777777" w:rsidTr="005D1389">
        <w:trPr>
          <w:gridAfter w:val="1"/>
          <w:wAfter w:w="879" w:type="dxa"/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7D213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Bank: Banamex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70FE7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DE3AB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7FA6D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308BE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74ECA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A859B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86125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7AD6D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A17CCF" w:rsidRPr="001F63DD" w14:paraId="43B6EE5E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CFA18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Mean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753C1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11.805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9036F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1.698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98CFF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4.447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6FC9D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6.166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A022E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13.870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67451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15.593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D363E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20.992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AC137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5.903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74B7A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0.979</w:t>
            </w:r>
          </w:p>
        </w:tc>
      </w:tr>
      <w:tr w:rsidR="00A17CCF" w:rsidRPr="001F63DD" w14:paraId="50E39A65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E35E6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Std. Dev.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AA19A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A6A28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B73D0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AE64F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64C6A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26BE6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6444D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B300C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32473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</w:tr>
      <w:tr w:rsidR="00A17CCF" w:rsidRPr="001F63DD" w14:paraId="7B6ACD02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A6E71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FD15E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3D4A7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5F202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627A3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F6C92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90843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2DD72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A4A9F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197A0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</w:tr>
      <w:tr w:rsidR="00A17CCF" w:rsidRPr="001F63DD" w14:paraId="74421D07" w14:textId="77777777" w:rsidTr="005D1389">
        <w:trPr>
          <w:gridAfter w:val="1"/>
          <w:wAfter w:w="879" w:type="dxa"/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47B29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Bank: BBVA México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9B6E9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EDD2D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BD9ED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82EB0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7E63D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C9578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3055E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5D243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A17CCF" w:rsidRPr="001F63DD" w14:paraId="127299E7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607C5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Mean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8F1DE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21.754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7AE9E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1.698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6C2B9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4.447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D1369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6.166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29216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14.184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F3CD6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15.565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1CBA5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14.890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25A39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5.191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02187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1.422</w:t>
            </w:r>
          </w:p>
        </w:tc>
      </w:tr>
      <w:tr w:rsidR="00A17CCF" w:rsidRPr="001F63DD" w14:paraId="1FD68B72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86FD9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Std. Dev.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BC9A4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773D4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76C26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0DD68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C719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CE27E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DEEE9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74E15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F68EF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</w:tr>
      <w:tr w:rsidR="00A17CCF" w:rsidRPr="001F63DD" w14:paraId="6760C6B4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B04A5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21A33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7FF94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8B19E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6D3ED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1046A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731CE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28B88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3B575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91EDE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</w:tr>
      <w:tr w:rsidR="00A17CCF" w:rsidRPr="001F63DD" w14:paraId="16A767BD" w14:textId="77777777" w:rsidTr="005D1389">
        <w:trPr>
          <w:gridAfter w:val="1"/>
          <w:wAfter w:w="879" w:type="dxa"/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B3D70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Bank: Santander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4D407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AF316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0644C2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889D52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081A4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E4ADD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EE1D12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DE211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A17CCF" w:rsidRPr="001F63DD" w14:paraId="25DAEAD5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9D324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Mean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9DB35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16.902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F6E92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1.698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5A518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4.447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F5BCC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6.166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56C10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13.743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381AF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15.682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700F8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16.422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10DA7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4.840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996C4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0.955</w:t>
            </w:r>
          </w:p>
        </w:tc>
      </w:tr>
      <w:tr w:rsidR="00A17CCF" w:rsidRPr="001F63DD" w14:paraId="1C7A331D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6FB28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Std. Dev.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2124B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8A260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E167B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55499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F461A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53D21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AF5E3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BE8E7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6B67C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</w:tr>
      <w:tr w:rsidR="00A17CCF" w:rsidRPr="001F63DD" w14:paraId="29554AB8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079AF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D05E0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B509A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3FA82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22B642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B6F6D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2963E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EAC38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5AE7E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7E8F8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A17CCF" w:rsidRPr="001F63DD" w14:paraId="1306F405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20476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Bank: HSBC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08DC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2C67E2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9A195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CB59C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3FF71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F7185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6E1D3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63D61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192E02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A17CCF" w:rsidRPr="001F63DD" w14:paraId="4A2D5685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CC2FD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Mean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553F8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9.476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71E1E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1.698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F40A92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4.447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4670F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6.166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6852D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13.155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3E511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14.132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BA343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23.091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72707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6.956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520F9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0.519</w:t>
            </w:r>
          </w:p>
        </w:tc>
      </w:tr>
      <w:tr w:rsidR="00A17CCF" w:rsidRPr="001F63DD" w14:paraId="6F5B66EF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5D026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Std. Dev.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3244A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813BC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DDF03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565CE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36F6B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A39A6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68408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8081B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FC267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</w:tr>
      <w:tr w:rsidR="00A17CCF" w:rsidRPr="001F63DD" w14:paraId="0AD09C35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88CD4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37A00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028C0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C2A27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DF725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33506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A0212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240B8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DA8B9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29E20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</w:tr>
      <w:tr w:rsidR="00A17CCF" w:rsidRPr="001F63DD" w14:paraId="2EBF5C44" w14:textId="77777777" w:rsidTr="005D1389">
        <w:trPr>
          <w:gridAfter w:val="1"/>
          <w:wAfter w:w="879" w:type="dxa"/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054E3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 xml:space="preserve">Bank: </w:t>
            </w:r>
            <w:proofErr w:type="spellStart"/>
            <w:r w:rsidRPr="00A17CC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Inbursa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952C0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C5EE6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584E3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BDA1E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F8A91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7B4AC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F02DA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1326A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A17CCF" w:rsidRPr="001F63DD" w14:paraId="25A09DCF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4376F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Mean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38C36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10.796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ACBA5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1.698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76059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4.447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C1EF4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6.166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04C30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12.468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BA5CF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20.376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8CB0B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17.180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643F8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3.395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E6498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1.271</w:t>
            </w:r>
          </w:p>
        </w:tc>
      </w:tr>
      <w:tr w:rsidR="00A17CCF" w:rsidRPr="001F63DD" w14:paraId="29B6634A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D2E42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Std. Dev.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87200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E49C6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51494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7405A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0A872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EEC95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AEEBF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9F492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C668F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</w:tr>
      <w:tr w:rsidR="00A17CCF" w:rsidRPr="001F63DD" w14:paraId="54EF42E5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0BDC5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10898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7932B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9CAB6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680BA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939D7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0DED5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56D67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6E14A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1B35E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</w:tr>
      <w:tr w:rsidR="00A17CCF" w:rsidRPr="001F63DD" w14:paraId="420451BF" w14:textId="77777777" w:rsidTr="005D1389">
        <w:trPr>
          <w:gridAfter w:val="1"/>
          <w:wAfter w:w="879" w:type="dxa"/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E6279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Bank: Scotiabank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89312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30987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54DBA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7B5CC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A3003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4CAB4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53A67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25539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A17CCF" w:rsidRPr="001F63DD" w14:paraId="5534E0D5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C0E55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Mean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2A924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14.961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3B2BB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1.698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09484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4.447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27819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6.166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A48DD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12.600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E1B90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15.263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85536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15.302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DCB5C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4.135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35C78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0.924</w:t>
            </w:r>
          </w:p>
        </w:tc>
      </w:tr>
      <w:tr w:rsidR="00A17CCF" w:rsidRPr="001F63DD" w14:paraId="40DD5A4F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A2343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Std. Dev.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B98D2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68D7F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325E3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567B3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C1CF3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37298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41E562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09AE4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70A7A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</w:tr>
      <w:tr w:rsidR="00A17CCF" w:rsidRPr="001F63DD" w14:paraId="762836DF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DE66F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20B22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6034C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D5744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D9EA22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F7F23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1510D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33B33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6E234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4C821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</w:tr>
      <w:tr w:rsidR="00A17CCF" w:rsidRPr="001F63DD" w14:paraId="20F04CD4" w14:textId="77777777" w:rsidTr="005D1389">
        <w:trPr>
          <w:gridAfter w:val="1"/>
          <w:wAfter w:w="879" w:type="dxa"/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CE0CE2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 xml:space="preserve">Bank: </w:t>
            </w:r>
            <w:proofErr w:type="spellStart"/>
            <w:r w:rsidRPr="00A17CC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Banorte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D12E5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EAA8C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599B7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AE989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1FFF8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9B3D8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95440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60B44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A17CCF" w:rsidRPr="001F63DD" w14:paraId="14B2FDAC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C0165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Mean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26D43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19.906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A80112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1.698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3DE722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4.447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D8C3C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6.166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DBFE5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13.531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B82C6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16.862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8CA0D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11.773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02689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3.654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741E1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1.063</w:t>
            </w:r>
          </w:p>
        </w:tc>
      </w:tr>
      <w:tr w:rsidR="00A17CCF" w:rsidRPr="001F63DD" w14:paraId="15311F6E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BA747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Std. Dev.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13EAC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22A86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A4A9D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14F00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49229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C10A3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B0E5F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744C9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AA23E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</w:tr>
      <w:tr w:rsidR="00A17CCF" w:rsidRPr="001F63DD" w14:paraId="1ADD2275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8F7AC2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65160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0A00A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C8BE4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392E1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AA294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FF865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D11B0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07E06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395E2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</w:tr>
      <w:tr w:rsidR="00A17CCF" w:rsidRPr="001F63DD" w14:paraId="1DDB5BC7" w14:textId="77777777" w:rsidTr="005D1389">
        <w:trPr>
          <w:gridAfter w:val="1"/>
          <w:wAfter w:w="879" w:type="dxa"/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7FAFC2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Bank: Banco del Bajío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86635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9EE85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44074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D7248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A20A3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6DD2E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404D8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EBA9B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A17CCF" w:rsidRPr="001F63DD" w14:paraId="755B5A5E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5CA9E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Mean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EEB6C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13.729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E671B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1.698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A564A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4.447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12449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6.166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DE0F0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11.673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F24B0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15.127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35A8E1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11.620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9CAF4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2.410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FE2EE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0.982</w:t>
            </w:r>
          </w:p>
        </w:tc>
      </w:tr>
      <w:tr w:rsidR="00A17CCF" w:rsidRPr="001F63DD" w14:paraId="4909B439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A6B64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Std. Dev.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AC35B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945DA2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D8C84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87F6A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0E3A9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EB59A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DA18A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EFB99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AFE5A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</w:tr>
      <w:tr w:rsidR="00A17CCF" w:rsidRPr="001F63DD" w14:paraId="1787483C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53BB1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3C0BC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9DEA7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3921E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D6CE8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BDAD3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AAFC3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9A664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538B2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0D9E8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</w:tr>
      <w:tr w:rsidR="00A17CCF" w:rsidRPr="001F63DD" w14:paraId="1D722F62" w14:textId="77777777" w:rsidTr="005D1389">
        <w:trPr>
          <w:gridAfter w:val="1"/>
          <w:wAfter w:w="879" w:type="dxa"/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EAD93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 xml:space="preserve">Bank: </w:t>
            </w:r>
            <w:proofErr w:type="spellStart"/>
            <w:r w:rsidRPr="00A17CC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Banregio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9B443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9568F2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E7D9C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9A037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843FE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945FE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30ED3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0993A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A17CCF" w:rsidRPr="001F63DD" w14:paraId="676B5665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90818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Mean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C67B2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17.368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6F4FD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1.698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57190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4.447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678F7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6.166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F86A8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11.162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1AA44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14.497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1C908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6.466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E1845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1.995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9F4D7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1.141</w:t>
            </w:r>
          </w:p>
        </w:tc>
      </w:tr>
      <w:tr w:rsidR="00A17CCF" w:rsidRPr="001F63DD" w14:paraId="56219821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DE592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Std. Dev.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0FF02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7E16F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42C33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46E5A6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E4E9A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E43EB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46381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E3774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63578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</w:tr>
      <w:tr w:rsidR="00A17CCF" w:rsidRPr="001F63DD" w14:paraId="7B3FA05C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D60BC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8E5FF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04EAB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AE244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B3C7C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034E3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DD888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CB5B0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6F763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177DBE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 w:eastAsia="es-MX"/>
                <w14:ligatures w14:val="none"/>
              </w:rPr>
            </w:pPr>
          </w:p>
        </w:tc>
      </w:tr>
      <w:tr w:rsidR="00A17CCF" w:rsidRPr="001F63DD" w14:paraId="4E9589AD" w14:textId="77777777" w:rsidTr="005D1389">
        <w:trPr>
          <w:gridAfter w:val="1"/>
          <w:wAfter w:w="879" w:type="dxa"/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F7EE6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Bank: Banco Azteca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826899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F3746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C4429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3B922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62669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067DD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16191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CD507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A17CCF" w:rsidRPr="001F63DD" w14:paraId="551B92E0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CF898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Mean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DB545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13.433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402B3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1.698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C7602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4.447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C0C3B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6.166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1FF2A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11.495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ACE7F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14.340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4B731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33.820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8A8E6C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11.334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869C00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0.749</w:t>
            </w:r>
          </w:p>
        </w:tc>
      </w:tr>
      <w:tr w:rsidR="00A17CCF" w:rsidRPr="001F63DD" w14:paraId="1E09554B" w14:textId="77777777" w:rsidTr="005D1389">
        <w:trPr>
          <w:trHeight w:val="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DE8447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Std. Dev.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8556A8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5A5415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587694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C9FA8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9C390D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4569CF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F90BFB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4D779A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F1F323" w14:textId="77777777" w:rsidR="00A17CCF" w:rsidRPr="00A17CCF" w:rsidRDefault="00A17CCF" w:rsidP="00A17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A17CC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#N/D</w:t>
            </w:r>
          </w:p>
        </w:tc>
      </w:tr>
    </w:tbl>
    <w:p w14:paraId="4B4CD158" w14:textId="77777777" w:rsidR="00DB4C7B" w:rsidRPr="001F63DD" w:rsidRDefault="00DB4C7B" w:rsidP="00A756FA">
      <w:pPr>
        <w:jc w:val="both"/>
        <w:rPr>
          <w:rFonts w:ascii="Times New Roman" w:hAnsi="Times New Roman" w:cs="Times New Roman"/>
          <w:lang w:val="en-US"/>
        </w:rPr>
      </w:pPr>
    </w:p>
    <w:p w14:paraId="6C9496B1" w14:textId="000E2539" w:rsidR="003708D0" w:rsidRPr="001F63DD" w:rsidRDefault="00D7105A" w:rsidP="000A41B5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sz w:val="20"/>
          <w:szCs w:val="20"/>
          <w:lang w:val="en-US"/>
        </w:rPr>
        <w:t xml:space="preserve">Own with data from CNBV, BANXICO, and INEGI. </w:t>
      </w:r>
      <w:r w:rsidR="003708D0" w:rsidRPr="001F63DD">
        <w:rPr>
          <w:rFonts w:ascii="Times New Roman" w:hAnsi="Times New Roman" w:cs="Times New Roman"/>
          <w:lang w:val="en-US"/>
        </w:rPr>
        <w:br w:type="page"/>
      </w:r>
    </w:p>
    <w:p w14:paraId="26E8DE54" w14:textId="36BCC8BD" w:rsidR="003708D0" w:rsidRPr="001F63DD" w:rsidRDefault="003708D0" w:rsidP="00CE0E2D">
      <w:pPr>
        <w:jc w:val="both"/>
        <w:rPr>
          <w:rFonts w:ascii="Times New Roman" w:hAnsi="Times New Roman" w:cs="Times New Roman"/>
          <w:lang w:val="en-US"/>
        </w:rPr>
      </w:pPr>
      <w:r w:rsidRPr="00616351">
        <w:rPr>
          <w:rFonts w:ascii="Times New Roman" w:hAnsi="Times New Roman" w:cs="Times New Roman"/>
          <w:highlight w:val="yellow"/>
          <w:lang w:val="en-US"/>
        </w:rPr>
        <w:lastRenderedPageBreak/>
        <w:t>Data is evaluated from December 2003 to June 2024, compiled in a monthly frequency.</w:t>
      </w:r>
      <w:r w:rsidR="00616351">
        <w:rPr>
          <w:rFonts w:ascii="Times New Roman" w:hAnsi="Times New Roman" w:cs="Times New Roman"/>
          <w:lang w:val="en-US"/>
        </w:rPr>
        <w:t xml:space="preserve"> In total there were 2,470 observations.</w:t>
      </w:r>
      <w:r w:rsidRPr="001F63DD">
        <w:rPr>
          <w:rFonts w:ascii="Times New Roman" w:hAnsi="Times New Roman" w:cs="Times New Roman"/>
          <w:lang w:val="en-US"/>
        </w:rPr>
        <w:t xml:space="preserve"> </w:t>
      </w:r>
    </w:p>
    <w:p w14:paraId="4F7412F6" w14:textId="1022ECF3" w:rsidR="00CE0E2D" w:rsidRPr="001F63DD" w:rsidRDefault="00CE0E2D" w:rsidP="00CE0E2D">
      <w:pPr>
        <w:jc w:val="both"/>
        <w:rPr>
          <w:rFonts w:ascii="Times New Roman" w:hAnsi="Times New Roman" w:cs="Times New Roman"/>
          <w:highlight w:val="cyan"/>
          <w:lang w:val="en-US"/>
        </w:rPr>
      </w:pPr>
      <w:r w:rsidRPr="001F63DD">
        <w:rPr>
          <w:rFonts w:ascii="Times New Roman" w:hAnsi="Times New Roman" w:cs="Times New Roman"/>
          <w:highlight w:val="cyan"/>
          <w:lang w:val="en-US"/>
        </w:rPr>
        <w:t xml:space="preserve">Profitability is measured using </w:t>
      </w:r>
      <w:r w:rsidR="00DB4C7B" w:rsidRPr="001F63DD">
        <w:rPr>
          <w:rFonts w:ascii="Times New Roman" w:hAnsi="Times New Roman" w:cs="Times New Roman"/>
          <w:highlight w:val="cyan"/>
          <w:lang w:val="en-US"/>
        </w:rPr>
        <w:t xml:space="preserve">a </w:t>
      </w:r>
      <w:r w:rsidR="00174958" w:rsidRPr="001F63DD">
        <w:rPr>
          <w:rFonts w:ascii="Times New Roman" w:hAnsi="Times New Roman" w:cs="Times New Roman"/>
          <w:highlight w:val="cyan"/>
          <w:lang w:val="en-US"/>
        </w:rPr>
        <w:t>common variable</w:t>
      </w:r>
      <w:r w:rsidRPr="001F63DD">
        <w:rPr>
          <w:rFonts w:ascii="Times New Roman" w:hAnsi="Times New Roman" w:cs="Times New Roman"/>
          <w:highlight w:val="cyan"/>
          <w:lang w:val="en-US"/>
        </w:rPr>
        <w:t xml:space="preserve"> in literature</w:t>
      </w:r>
      <w:r w:rsidR="00DB4C7B" w:rsidRPr="001F63DD">
        <w:rPr>
          <w:rFonts w:ascii="Times New Roman" w:hAnsi="Times New Roman" w:cs="Times New Roman"/>
          <w:highlight w:val="cyan"/>
          <w:lang w:val="en-US"/>
        </w:rPr>
        <w:t xml:space="preserve">: </w:t>
      </w:r>
      <w:r w:rsidRPr="001F63DD">
        <w:rPr>
          <w:rFonts w:ascii="Times New Roman" w:hAnsi="Times New Roman" w:cs="Times New Roman"/>
          <w:highlight w:val="cyan"/>
          <w:lang w:val="en-US"/>
        </w:rPr>
        <w:t xml:space="preserve">the </w:t>
      </w:r>
      <w:r w:rsidR="00C207F5" w:rsidRPr="001F63DD">
        <w:rPr>
          <w:rFonts w:ascii="Times New Roman" w:hAnsi="Times New Roman" w:cs="Times New Roman"/>
          <w:highlight w:val="cyan"/>
          <w:lang w:val="en-US"/>
        </w:rPr>
        <w:t xml:space="preserve">average </w:t>
      </w:r>
      <w:r w:rsidRPr="001F63DD">
        <w:rPr>
          <w:rFonts w:ascii="Times New Roman" w:hAnsi="Times New Roman" w:cs="Times New Roman"/>
          <w:highlight w:val="cyan"/>
          <w:lang w:val="en-US"/>
        </w:rPr>
        <w:t>return over equity.</w:t>
      </w:r>
    </w:p>
    <w:p w14:paraId="5C0ADA2F" w14:textId="32B2D090" w:rsidR="003E2C6E" w:rsidRDefault="00C47D83" w:rsidP="009A3447">
      <w:pPr>
        <w:ind w:left="706" w:hanging="706"/>
        <w:jc w:val="both"/>
        <w:rPr>
          <w:rFonts w:ascii="Times New Roman" w:hAnsi="Times New Roman" w:cs="Times New Roman"/>
          <w:b/>
          <w:bCs/>
          <w:lang w:val="en-US"/>
        </w:rPr>
      </w:pPr>
      <w:r w:rsidRPr="001F63DD">
        <w:rPr>
          <w:rFonts w:ascii="Times New Roman" w:hAnsi="Times New Roman" w:cs="Times New Roman"/>
          <w:b/>
          <w:bCs/>
          <w:highlight w:val="cyan"/>
          <w:lang w:val="en-US"/>
        </w:rPr>
        <w:t>Arguments in favor and against ROE</w:t>
      </w:r>
    </w:p>
    <w:p w14:paraId="1907CE4D" w14:textId="351DFCC9" w:rsidR="005123B9" w:rsidRPr="001F63DD" w:rsidRDefault="005123B9" w:rsidP="009A3447">
      <w:pPr>
        <w:ind w:left="706" w:hanging="706"/>
        <w:jc w:val="both"/>
        <w:rPr>
          <w:rFonts w:ascii="Times New Roman" w:hAnsi="Times New Roman" w:cs="Times New Roman"/>
          <w:b/>
          <w:bCs/>
          <w:lang w:val="en-US"/>
        </w:rPr>
      </w:pPr>
      <w:r w:rsidRPr="005123B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F8B5896" wp14:editId="30DD4E9F">
            <wp:extent cx="5111750" cy="3746500"/>
            <wp:effectExtent l="0" t="0" r="0" b="6350"/>
            <wp:docPr id="767436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B06A" w14:textId="6C69A067" w:rsidR="00B2251D" w:rsidRPr="00616351" w:rsidRDefault="00B2251D" w:rsidP="00A756FA">
      <w:pPr>
        <w:jc w:val="both"/>
        <w:rPr>
          <w:rFonts w:ascii="Times New Roman" w:hAnsi="Times New Roman" w:cs="Times New Roman"/>
          <w:highlight w:val="yellow"/>
          <w:lang w:val="en-US"/>
        </w:rPr>
      </w:pPr>
      <w:r w:rsidRPr="00616351">
        <w:rPr>
          <w:rFonts w:ascii="Times New Roman" w:hAnsi="Times New Roman" w:cs="Times New Roman"/>
          <w:highlight w:val="yellow"/>
          <w:lang w:val="en-US"/>
        </w:rPr>
        <w:t xml:space="preserve">Bank-specific </w:t>
      </w:r>
      <w:r w:rsidR="00972375" w:rsidRPr="00616351">
        <w:rPr>
          <w:rFonts w:ascii="Times New Roman" w:hAnsi="Times New Roman" w:cs="Times New Roman"/>
          <w:highlight w:val="yellow"/>
          <w:lang w:val="en-US"/>
        </w:rPr>
        <w:t>indicators</w:t>
      </w:r>
      <w:r w:rsidRPr="00616351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972375" w:rsidRPr="00616351">
        <w:rPr>
          <w:rFonts w:ascii="Times New Roman" w:hAnsi="Times New Roman" w:cs="Times New Roman"/>
          <w:highlight w:val="yellow"/>
          <w:lang w:val="en-US"/>
        </w:rPr>
        <w:t xml:space="preserve">related to their </w:t>
      </w:r>
      <w:r w:rsidRPr="00616351">
        <w:rPr>
          <w:rFonts w:ascii="Times New Roman" w:hAnsi="Times New Roman" w:cs="Times New Roman"/>
          <w:highlight w:val="yellow"/>
          <w:lang w:val="en-US"/>
        </w:rPr>
        <w:t xml:space="preserve">financial </w:t>
      </w:r>
      <w:r w:rsidR="00484F8E" w:rsidRPr="00616351">
        <w:rPr>
          <w:rFonts w:ascii="Times New Roman" w:hAnsi="Times New Roman" w:cs="Times New Roman"/>
          <w:highlight w:val="yellow"/>
          <w:lang w:val="en-US"/>
        </w:rPr>
        <w:t>situation and strength</w:t>
      </w:r>
      <w:r w:rsidR="00612027" w:rsidRPr="00616351">
        <w:rPr>
          <w:rFonts w:ascii="Times New Roman" w:hAnsi="Times New Roman" w:cs="Times New Roman"/>
          <w:highlight w:val="yellow"/>
          <w:lang w:val="en-US"/>
        </w:rPr>
        <w:t xml:space="preserve"> used in the model include the following variables:</w:t>
      </w:r>
    </w:p>
    <w:p w14:paraId="65FE879C" w14:textId="207D9661" w:rsidR="00612027" w:rsidRPr="00616351" w:rsidRDefault="00C43A56" w:rsidP="001C1571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highlight w:val="yellow"/>
          <w:lang w:val="en-US"/>
        </w:rPr>
      </w:pPr>
      <w:r w:rsidRPr="00616351">
        <w:rPr>
          <w:rFonts w:ascii="Times New Roman" w:hAnsi="Times New Roman" w:cs="Times New Roman"/>
          <w:highlight w:val="yellow"/>
          <w:lang w:val="en-US"/>
        </w:rPr>
        <w:t>Bank size</w:t>
      </w:r>
      <w:r w:rsidR="00FC68C2" w:rsidRPr="00616351">
        <w:rPr>
          <w:rFonts w:ascii="Times New Roman" w:hAnsi="Times New Roman" w:cs="Times New Roman"/>
          <w:highlight w:val="yellow"/>
          <w:lang w:val="en-US"/>
        </w:rPr>
        <w:t xml:space="preserve"> (</w:t>
      </w:r>
      <w:bookmarkStart w:id="0" w:name="_Hlk208158445"/>
      <w:r w:rsidR="00DA01B5" w:rsidRPr="00616351">
        <w:rPr>
          <w:rFonts w:ascii="Times New Roman" w:hAnsi="Times New Roman" w:cs="Times New Roman"/>
          <w:highlight w:val="yellow"/>
          <w:lang w:val="en-US"/>
        </w:rPr>
        <w:t>LNAS</w:t>
      </w:r>
      <w:bookmarkEnd w:id="0"/>
      <w:r w:rsidR="00FC68C2" w:rsidRPr="00616351">
        <w:rPr>
          <w:rFonts w:ascii="Times New Roman" w:hAnsi="Times New Roman" w:cs="Times New Roman"/>
          <w:highlight w:val="yellow"/>
          <w:lang w:val="en-US"/>
        </w:rPr>
        <w:t>)</w:t>
      </w:r>
      <w:r w:rsidRPr="00616351">
        <w:rPr>
          <w:rFonts w:ascii="Times New Roman" w:hAnsi="Times New Roman" w:cs="Times New Roman"/>
          <w:highlight w:val="yellow"/>
          <w:lang w:val="en-US"/>
        </w:rPr>
        <w:t xml:space="preserve">, measured as the </w:t>
      </w:r>
      <w:r w:rsidR="00DA01B5" w:rsidRPr="00616351">
        <w:rPr>
          <w:rFonts w:ascii="Times New Roman" w:hAnsi="Times New Roman" w:cs="Times New Roman"/>
          <w:highlight w:val="yellow"/>
          <w:lang w:val="en-US"/>
        </w:rPr>
        <w:t xml:space="preserve">natural </w:t>
      </w:r>
      <w:r w:rsidRPr="00616351">
        <w:rPr>
          <w:rFonts w:ascii="Times New Roman" w:hAnsi="Times New Roman" w:cs="Times New Roman"/>
          <w:highlight w:val="yellow"/>
          <w:lang w:val="en-US"/>
        </w:rPr>
        <w:t xml:space="preserve">logarithmic value of </w:t>
      </w:r>
      <w:r w:rsidR="00465ED4" w:rsidRPr="00616351">
        <w:rPr>
          <w:rFonts w:ascii="Times New Roman" w:hAnsi="Times New Roman" w:cs="Times New Roman"/>
          <w:highlight w:val="yellow"/>
          <w:lang w:val="en-US"/>
        </w:rPr>
        <w:t xml:space="preserve">total </w:t>
      </w:r>
      <w:r w:rsidRPr="00616351">
        <w:rPr>
          <w:rFonts w:ascii="Times New Roman" w:hAnsi="Times New Roman" w:cs="Times New Roman"/>
          <w:highlight w:val="yellow"/>
          <w:lang w:val="en-US"/>
        </w:rPr>
        <w:t>assets</w:t>
      </w:r>
      <w:r w:rsidR="00590C8F" w:rsidRPr="00616351">
        <w:rPr>
          <w:rFonts w:ascii="Times New Roman" w:hAnsi="Times New Roman" w:cs="Times New Roman"/>
          <w:highlight w:val="yellow"/>
          <w:lang w:val="en-US"/>
        </w:rPr>
        <w:t>.</w:t>
      </w:r>
    </w:p>
    <w:p w14:paraId="1F25961D" w14:textId="477A2221" w:rsidR="00FC193C" w:rsidRPr="00616351" w:rsidRDefault="00EB7B66" w:rsidP="001C1571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highlight w:val="yellow"/>
          <w:lang w:val="en-US"/>
        </w:rPr>
      </w:pPr>
      <w:r w:rsidRPr="00616351">
        <w:rPr>
          <w:rFonts w:ascii="Times New Roman" w:hAnsi="Times New Roman" w:cs="Times New Roman"/>
          <w:highlight w:val="yellow"/>
          <w:lang w:val="en-US"/>
        </w:rPr>
        <w:t>Capital adequacy ratio</w:t>
      </w:r>
      <w:r w:rsidR="000D4CED" w:rsidRPr="00616351">
        <w:rPr>
          <w:rFonts w:ascii="Times New Roman" w:hAnsi="Times New Roman" w:cs="Times New Roman"/>
          <w:highlight w:val="yellow"/>
          <w:lang w:val="en-US"/>
        </w:rPr>
        <w:t xml:space="preserve"> (CAR)</w:t>
      </w:r>
      <w:r w:rsidR="004209D5" w:rsidRPr="00616351">
        <w:rPr>
          <w:rFonts w:ascii="Times New Roman" w:hAnsi="Times New Roman" w:cs="Times New Roman"/>
          <w:highlight w:val="yellow"/>
          <w:lang w:val="en-US"/>
        </w:rPr>
        <w:t xml:space="preserve">, </w:t>
      </w:r>
      <w:r w:rsidRPr="00616351">
        <w:rPr>
          <w:rFonts w:ascii="Times New Roman" w:hAnsi="Times New Roman" w:cs="Times New Roman"/>
          <w:highlight w:val="yellow"/>
          <w:lang w:val="en-US"/>
        </w:rPr>
        <w:t xml:space="preserve">measured as the bank’s capital </w:t>
      </w:r>
      <w:r w:rsidR="00D35141" w:rsidRPr="00616351">
        <w:rPr>
          <w:rFonts w:ascii="Times New Roman" w:hAnsi="Times New Roman" w:cs="Times New Roman"/>
          <w:highlight w:val="yellow"/>
          <w:lang w:val="en-US"/>
        </w:rPr>
        <w:t>relative to their risk-weighted assets.</w:t>
      </w:r>
    </w:p>
    <w:p w14:paraId="6DE2B4D6" w14:textId="6F2BABBA" w:rsidR="00657BF2" w:rsidRPr="00616351" w:rsidRDefault="00E105E0" w:rsidP="00A35849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highlight w:val="yellow"/>
          <w:lang w:val="en-US"/>
        </w:rPr>
      </w:pPr>
      <w:r w:rsidRPr="00616351">
        <w:rPr>
          <w:rFonts w:ascii="Times New Roman" w:hAnsi="Times New Roman" w:cs="Times New Roman"/>
          <w:highlight w:val="yellow"/>
          <w:lang w:val="en-US"/>
        </w:rPr>
        <w:t xml:space="preserve">Liquidity (LIQ), measured as </w:t>
      </w:r>
      <w:r w:rsidR="00933BCC" w:rsidRPr="00616351">
        <w:rPr>
          <w:rFonts w:ascii="Times New Roman" w:hAnsi="Times New Roman" w:cs="Times New Roman"/>
          <w:highlight w:val="yellow"/>
          <w:lang w:val="en-US"/>
        </w:rPr>
        <w:t xml:space="preserve">the ratio between total </w:t>
      </w:r>
      <w:r w:rsidR="004A0942" w:rsidRPr="00616351">
        <w:rPr>
          <w:rFonts w:ascii="Times New Roman" w:hAnsi="Times New Roman" w:cs="Times New Roman"/>
          <w:highlight w:val="yellow"/>
          <w:lang w:val="en-US"/>
        </w:rPr>
        <w:t>liquid assets and total assets</w:t>
      </w:r>
      <w:r w:rsidR="0076479D" w:rsidRPr="00616351">
        <w:rPr>
          <w:rFonts w:ascii="Times New Roman" w:hAnsi="Times New Roman" w:cs="Times New Roman"/>
          <w:highlight w:val="yellow"/>
          <w:lang w:val="en-US"/>
        </w:rPr>
        <w:t>.</w:t>
      </w:r>
    </w:p>
    <w:p w14:paraId="3876A700" w14:textId="08A70663" w:rsidR="00973239" w:rsidRPr="00616351" w:rsidRDefault="00CE0E2D" w:rsidP="001C1571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highlight w:val="yellow"/>
          <w:lang w:val="en-US"/>
        </w:rPr>
      </w:pPr>
      <w:r w:rsidRPr="00616351">
        <w:rPr>
          <w:rFonts w:ascii="Times New Roman" w:hAnsi="Times New Roman" w:cs="Times New Roman"/>
          <w:highlight w:val="yellow"/>
          <w:lang w:val="en-US"/>
        </w:rPr>
        <w:t>Morosity</w:t>
      </w:r>
      <w:r w:rsidR="000D4CED" w:rsidRPr="00616351">
        <w:rPr>
          <w:rFonts w:ascii="Times New Roman" w:hAnsi="Times New Roman" w:cs="Times New Roman"/>
          <w:highlight w:val="yellow"/>
          <w:lang w:val="en-US"/>
        </w:rPr>
        <w:t xml:space="preserve"> (IMORA)</w:t>
      </w:r>
      <w:r w:rsidR="00917324" w:rsidRPr="00616351">
        <w:rPr>
          <w:rFonts w:ascii="Times New Roman" w:hAnsi="Times New Roman" w:cs="Times New Roman"/>
          <w:highlight w:val="yellow"/>
          <w:lang w:val="en-US"/>
        </w:rPr>
        <w:t xml:space="preserve">, calculated as </w:t>
      </w:r>
      <w:r w:rsidR="007D63BF" w:rsidRPr="00616351">
        <w:rPr>
          <w:rFonts w:ascii="Times New Roman" w:hAnsi="Times New Roman" w:cs="Times New Roman"/>
          <w:highlight w:val="yellow"/>
          <w:lang w:val="en-US"/>
        </w:rPr>
        <w:t xml:space="preserve">Adjusted </w:t>
      </w:r>
      <w:proofErr w:type="spellStart"/>
      <w:r w:rsidR="007D63BF" w:rsidRPr="00616351">
        <w:rPr>
          <w:rFonts w:ascii="Times New Roman" w:hAnsi="Times New Roman" w:cs="Times New Roman"/>
          <w:highlight w:val="yellow"/>
          <w:lang w:val="en-US"/>
        </w:rPr>
        <w:t>Deliquency</w:t>
      </w:r>
      <w:proofErr w:type="spellEnd"/>
      <w:r w:rsidR="007D63BF" w:rsidRPr="00616351">
        <w:rPr>
          <w:rFonts w:ascii="Times New Roman" w:hAnsi="Times New Roman" w:cs="Times New Roman"/>
          <w:highlight w:val="yellow"/>
          <w:lang w:val="en-US"/>
        </w:rPr>
        <w:t xml:space="preserve"> Index, defined as the </w:t>
      </w:r>
      <w:r w:rsidR="00917324" w:rsidRPr="00616351">
        <w:rPr>
          <w:rFonts w:ascii="Times New Roman" w:hAnsi="Times New Roman" w:cs="Times New Roman"/>
          <w:highlight w:val="yellow"/>
          <w:lang w:val="en-US"/>
        </w:rPr>
        <w:t xml:space="preserve">ratio of </w:t>
      </w:r>
      <w:r w:rsidR="007D63BF" w:rsidRPr="00616351">
        <w:rPr>
          <w:rFonts w:ascii="Times New Roman" w:hAnsi="Times New Roman" w:cs="Times New Roman"/>
          <w:highlight w:val="yellow"/>
          <w:lang w:val="en-US"/>
        </w:rPr>
        <w:t>loans at Stage 3</w:t>
      </w:r>
      <w:r w:rsidR="00D3070C" w:rsidRPr="00616351">
        <w:rPr>
          <w:rStyle w:val="Refdenotaalpie"/>
          <w:rFonts w:ascii="Times New Roman" w:hAnsi="Times New Roman" w:cs="Times New Roman"/>
          <w:highlight w:val="yellow"/>
          <w:lang w:val="en-US"/>
        </w:rPr>
        <w:footnoteReference w:id="1"/>
      </w:r>
      <w:r w:rsidR="00E67F6B" w:rsidRPr="00616351">
        <w:rPr>
          <w:rFonts w:ascii="Times New Roman" w:hAnsi="Times New Roman" w:cs="Times New Roman"/>
          <w:highlight w:val="yellow"/>
          <w:lang w:val="en-US"/>
        </w:rPr>
        <w:t xml:space="preserve"> plus accumulated write-offs and debt forgiveness, to total </w:t>
      </w:r>
      <w:r w:rsidR="00917324" w:rsidRPr="00616351">
        <w:rPr>
          <w:rFonts w:ascii="Times New Roman" w:hAnsi="Times New Roman" w:cs="Times New Roman"/>
          <w:highlight w:val="yellow"/>
          <w:lang w:val="en-US"/>
        </w:rPr>
        <w:t xml:space="preserve">credit </w:t>
      </w:r>
      <w:proofErr w:type="spellStart"/>
      <w:r w:rsidR="00917324" w:rsidRPr="00616351">
        <w:rPr>
          <w:rFonts w:ascii="Times New Roman" w:hAnsi="Times New Roman" w:cs="Times New Roman"/>
          <w:highlight w:val="yellow"/>
          <w:lang w:val="en-US"/>
        </w:rPr>
        <w:t>portafolio</w:t>
      </w:r>
      <w:proofErr w:type="spellEnd"/>
      <w:r w:rsidR="00E67F6B" w:rsidRPr="00616351">
        <w:rPr>
          <w:rFonts w:ascii="Times New Roman" w:hAnsi="Times New Roman" w:cs="Times New Roman"/>
          <w:highlight w:val="yellow"/>
          <w:lang w:val="en-US"/>
        </w:rPr>
        <w:t xml:space="preserve"> at risk</w:t>
      </w:r>
      <w:r w:rsidR="0048464E" w:rsidRPr="00616351">
        <w:rPr>
          <w:rFonts w:ascii="Times New Roman" w:hAnsi="Times New Roman" w:cs="Times New Roman"/>
          <w:highlight w:val="yellow"/>
          <w:lang w:val="en-US"/>
        </w:rPr>
        <w:t xml:space="preserve">, including the </w:t>
      </w:r>
      <w:r w:rsidR="00CA276E" w:rsidRPr="00616351">
        <w:rPr>
          <w:rFonts w:ascii="Times New Roman" w:hAnsi="Times New Roman" w:cs="Times New Roman"/>
          <w:highlight w:val="yellow"/>
          <w:lang w:val="en-US"/>
        </w:rPr>
        <w:t>aforementioned write-offs</w:t>
      </w:r>
      <w:r w:rsidR="0048464E" w:rsidRPr="00616351">
        <w:rPr>
          <w:rFonts w:ascii="Times New Roman" w:hAnsi="Times New Roman" w:cs="Times New Roman"/>
          <w:highlight w:val="yellow"/>
          <w:lang w:val="en-US"/>
        </w:rPr>
        <w:t xml:space="preserve"> and debt forgiveness</w:t>
      </w:r>
      <w:r w:rsidR="00917324" w:rsidRPr="00616351">
        <w:rPr>
          <w:rFonts w:ascii="Times New Roman" w:hAnsi="Times New Roman" w:cs="Times New Roman"/>
          <w:highlight w:val="yellow"/>
          <w:lang w:val="en-US"/>
        </w:rPr>
        <w:t>.</w:t>
      </w:r>
    </w:p>
    <w:p w14:paraId="5CD5B10C" w14:textId="24604DC2" w:rsidR="00973239" w:rsidRPr="00616351" w:rsidRDefault="00973239" w:rsidP="001C1571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highlight w:val="yellow"/>
          <w:lang w:val="en-US"/>
        </w:rPr>
      </w:pPr>
      <w:r w:rsidRPr="00616351">
        <w:rPr>
          <w:rFonts w:ascii="Times New Roman" w:hAnsi="Times New Roman" w:cs="Times New Roman"/>
          <w:highlight w:val="yellow"/>
          <w:lang w:val="en-US"/>
        </w:rPr>
        <w:t>Operational efficiency</w:t>
      </w:r>
      <w:r w:rsidR="000D4CED" w:rsidRPr="00616351">
        <w:rPr>
          <w:rFonts w:ascii="Times New Roman" w:hAnsi="Times New Roman" w:cs="Times New Roman"/>
          <w:highlight w:val="yellow"/>
          <w:lang w:val="en-US"/>
        </w:rPr>
        <w:t xml:space="preserve"> (AM)</w:t>
      </w:r>
      <w:r w:rsidRPr="00616351">
        <w:rPr>
          <w:rFonts w:ascii="Times New Roman" w:hAnsi="Times New Roman" w:cs="Times New Roman"/>
          <w:highlight w:val="yellow"/>
          <w:lang w:val="en-US"/>
        </w:rPr>
        <w:t xml:space="preserve">, calculated as </w:t>
      </w:r>
      <w:r w:rsidR="001143C6" w:rsidRPr="00616351">
        <w:rPr>
          <w:rFonts w:ascii="Times New Roman" w:hAnsi="Times New Roman" w:cs="Times New Roman"/>
          <w:highlight w:val="yellow"/>
          <w:lang w:val="en-US"/>
        </w:rPr>
        <w:t xml:space="preserve">the </w:t>
      </w:r>
      <w:r w:rsidR="00C534A2" w:rsidRPr="00616351">
        <w:rPr>
          <w:rFonts w:ascii="Times New Roman" w:hAnsi="Times New Roman" w:cs="Times New Roman"/>
          <w:highlight w:val="yellow"/>
          <w:lang w:val="en-US"/>
        </w:rPr>
        <w:t>percentage</w:t>
      </w:r>
      <w:r w:rsidR="001143C6" w:rsidRPr="00616351">
        <w:rPr>
          <w:rFonts w:ascii="Times New Roman" w:hAnsi="Times New Roman" w:cs="Times New Roman"/>
          <w:highlight w:val="yellow"/>
          <w:lang w:val="en-US"/>
        </w:rPr>
        <w:t xml:space="preserve"> of</w:t>
      </w:r>
      <w:r w:rsidR="00F941DF" w:rsidRPr="00616351">
        <w:rPr>
          <w:rFonts w:ascii="Times New Roman" w:hAnsi="Times New Roman" w:cs="Times New Roman"/>
          <w:highlight w:val="yellow"/>
          <w:lang w:val="en-US"/>
        </w:rPr>
        <w:t xml:space="preserve"> the</w:t>
      </w:r>
      <w:r w:rsidR="001143C6" w:rsidRPr="00616351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616351">
        <w:rPr>
          <w:rFonts w:ascii="Times New Roman" w:hAnsi="Times New Roman" w:cs="Times New Roman"/>
          <w:highlight w:val="yellow"/>
          <w:lang w:val="en-US"/>
        </w:rPr>
        <w:t xml:space="preserve">operating </w:t>
      </w:r>
      <w:r w:rsidR="00C14736" w:rsidRPr="00616351">
        <w:rPr>
          <w:rFonts w:ascii="Times New Roman" w:hAnsi="Times New Roman" w:cs="Times New Roman"/>
          <w:highlight w:val="yellow"/>
          <w:lang w:val="en-US"/>
        </w:rPr>
        <w:t>profit</w:t>
      </w:r>
      <w:r w:rsidRPr="00616351">
        <w:rPr>
          <w:rFonts w:ascii="Times New Roman" w:hAnsi="Times New Roman" w:cs="Times New Roman"/>
          <w:highlight w:val="yellow"/>
          <w:lang w:val="en-US"/>
        </w:rPr>
        <w:t xml:space="preserve"> divided by total assets</w:t>
      </w:r>
      <w:r w:rsidR="00BD70F0" w:rsidRPr="00616351">
        <w:rPr>
          <w:rFonts w:ascii="Times New Roman" w:hAnsi="Times New Roman" w:cs="Times New Roman"/>
          <w:highlight w:val="yellow"/>
          <w:lang w:val="en-US"/>
        </w:rPr>
        <w:t>.</w:t>
      </w:r>
    </w:p>
    <w:p w14:paraId="5FFD9827" w14:textId="299EADD9" w:rsidR="00C93F73" w:rsidRPr="001F63DD" w:rsidRDefault="00A47F26" w:rsidP="0019201C">
      <w:pPr>
        <w:jc w:val="both"/>
        <w:rPr>
          <w:rFonts w:ascii="Times New Roman" w:hAnsi="Times New Roman" w:cs="Times New Roman"/>
          <w:highlight w:val="yellow"/>
          <w:lang w:val="en-US"/>
        </w:rPr>
      </w:pPr>
      <w:r w:rsidRPr="001F63DD">
        <w:rPr>
          <w:rFonts w:ascii="Times New Roman" w:hAnsi="Times New Roman" w:cs="Times New Roman"/>
          <w:highlight w:val="yellow"/>
          <w:lang w:val="en-US"/>
        </w:rPr>
        <w:t xml:space="preserve">Under the Credit Institutions Law, commercial banks are required to periodically publish their financial and operational information, which is made publicly available by the Comisión Nacional </w:t>
      </w:r>
      <w:proofErr w:type="spellStart"/>
      <w:r w:rsidRPr="001F63DD">
        <w:rPr>
          <w:rFonts w:ascii="Times New Roman" w:hAnsi="Times New Roman" w:cs="Times New Roman"/>
          <w:highlight w:val="yellow"/>
          <w:lang w:val="en-US"/>
        </w:rPr>
        <w:t>Bancaria</w:t>
      </w:r>
      <w:proofErr w:type="spellEnd"/>
      <w:r w:rsidRPr="001F63DD">
        <w:rPr>
          <w:rFonts w:ascii="Times New Roman" w:hAnsi="Times New Roman" w:cs="Times New Roman"/>
          <w:highlight w:val="yellow"/>
          <w:lang w:val="en-US"/>
        </w:rPr>
        <w:t xml:space="preserve"> y de Valores (CNBV) via </w:t>
      </w:r>
      <w:r w:rsidR="003C012D" w:rsidRPr="001F63DD">
        <w:rPr>
          <w:rFonts w:ascii="Times New Roman" w:hAnsi="Times New Roman" w:cs="Times New Roman"/>
          <w:highlight w:val="yellow"/>
          <w:lang w:val="en-US"/>
        </w:rPr>
        <w:t>their</w:t>
      </w:r>
      <w:r w:rsidRPr="001F63DD">
        <w:rPr>
          <w:rFonts w:ascii="Times New Roman" w:hAnsi="Times New Roman" w:cs="Times New Roman"/>
          <w:highlight w:val="yellow"/>
          <w:lang w:val="en-US"/>
        </w:rPr>
        <w:t xml:space="preserve"> information portal. In Mexico, the CNBV acts as the regulatory body responsible for supervising and regulating financial institutions.</w:t>
      </w:r>
      <w:r w:rsidR="00803579" w:rsidRPr="001F63DD">
        <w:rPr>
          <w:rFonts w:ascii="Times New Roman" w:hAnsi="Times New Roman" w:cs="Times New Roman"/>
          <w:highlight w:val="yellow"/>
          <w:lang w:val="en-US"/>
        </w:rPr>
        <w:t xml:space="preserve"> In this article, we </w:t>
      </w:r>
      <w:r w:rsidR="00803579" w:rsidRPr="001F63DD">
        <w:rPr>
          <w:rFonts w:ascii="Times New Roman" w:hAnsi="Times New Roman" w:cs="Times New Roman"/>
          <w:highlight w:val="yellow"/>
          <w:lang w:val="en-US"/>
        </w:rPr>
        <w:lastRenderedPageBreak/>
        <w:t xml:space="preserve">utilize this statistical data to construct the profitability indicators (ROA and ROE), as well as bank-specific </w:t>
      </w:r>
      <w:r w:rsidR="00803579" w:rsidRPr="00616351">
        <w:rPr>
          <w:rFonts w:ascii="Times New Roman" w:hAnsi="Times New Roman" w:cs="Times New Roman"/>
          <w:highlight w:val="yellow"/>
          <w:lang w:val="en-US"/>
        </w:rPr>
        <w:t>characteristics</w:t>
      </w:r>
      <w:r w:rsidR="00030C95" w:rsidRPr="00616351">
        <w:rPr>
          <w:rFonts w:ascii="Times New Roman" w:hAnsi="Times New Roman" w:cs="Times New Roman"/>
          <w:highlight w:val="yellow"/>
          <w:lang w:val="en-US"/>
        </w:rPr>
        <w:t xml:space="preserve"> (</w:t>
      </w:r>
      <w:r w:rsidR="00DA01B5" w:rsidRPr="00616351">
        <w:rPr>
          <w:rFonts w:ascii="Times New Roman" w:hAnsi="Times New Roman" w:cs="Times New Roman"/>
          <w:highlight w:val="yellow"/>
          <w:lang w:val="en-US"/>
        </w:rPr>
        <w:t>LNAS</w:t>
      </w:r>
      <w:r w:rsidR="00030C95" w:rsidRPr="00616351">
        <w:rPr>
          <w:rFonts w:ascii="Times New Roman" w:hAnsi="Times New Roman" w:cs="Times New Roman"/>
          <w:highlight w:val="yellow"/>
          <w:lang w:val="en-US"/>
        </w:rPr>
        <w:t>,</w:t>
      </w:r>
      <w:r w:rsidR="00E105E0" w:rsidRPr="00616351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E105E0" w:rsidRPr="001F63DD">
        <w:rPr>
          <w:rFonts w:ascii="Times New Roman" w:hAnsi="Times New Roman" w:cs="Times New Roman"/>
          <w:highlight w:val="yellow"/>
          <w:lang w:val="en-US"/>
        </w:rPr>
        <w:t>LIQ</w:t>
      </w:r>
      <w:r w:rsidR="00030C95" w:rsidRPr="001F63DD">
        <w:rPr>
          <w:rFonts w:ascii="Times New Roman" w:hAnsi="Times New Roman" w:cs="Times New Roman"/>
          <w:highlight w:val="yellow"/>
          <w:lang w:val="en-US"/>
        </w:rPr>
        <w:t>, IMORA, AM)</w:t>
      </w:r>
      <w:r w:rsidR="00803579" w:rsidRPr="001F63DD">
        <w:rPr>
          <w:rFonts w:ascii="Times New Roman" w:hAnsi="Times New Roman" w:cs="Times New Roman"/>
          <w:highlight w:val="yellow"/>
          <w:lang w:val="en-US"/>
        </w:rPr>
        <w:t>.</w:t>
      </w:r>
    </w:p>
    <w:p w14:paraId="36498D58" w14:textId="60DB8179" w:rsidR="00F86E01" w:rsidRPr="001F63DD" w:rsidRDefault="00E9506F" w:rsidP="0019201C">
      <w:pPr>
        <w:jc w:val="both"/>
        <w:rPr>
          <w:rFonts w:ascii="Times New Roman" w:hAnsi="Times New Roman" w:cs="Times New Roman"/>
          <w:highlight w:val="yellow"/>
          <w:lang w:val="en-US"/>
        </w:rPr>
      </w:pPr>
      <w:r w:rsidRPr="001F63DD">
        <w:rPr>
          <w:rFonts w:ascii="Times New Roman" w:hAnsi="Times New Roman" w:cs="Times New Roman"/>
          <w:highlight w:val="yellow"/>
          <w:lang w:val="en-US"/>
        </w:rPr>
        <w:t xml:space="preserve">Data for </w:t>
      </w:r>
      <w:r w:rsidR="00030C95" w:rsidRPr="001F63DD">
        <w:rPr>
          <w:rFonts w:ascii="Times New Roman" w:hAnsi="Times New Roman" w:cs="Times New Roman"/>
          <w:highlight w:val="yellow"/>
          <w:lang w:val="en-US"/>
        </w:rPr>
        <w:t>CAR</w:t>
      </w:r>
      <w:r w:rsidR="00FF4535" w:rsidRPr="001F63DD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030C95" w:rsidRPr="001F63DD">
        <w:rPr>
          <w:rFonts w:ascii="Times New Roman" w:hAnsi="Times New Roman" w:cs="Times New Roman"/>
          <w:highlight w:val="yellow"/>
          <w:lang w:val="en-US"/>
        </w:rPr>
        <w:t>is</w:t>
      </w:r>
      <w:r w:rsidR="00FF4535" w:rsidRPr="001F63DD">
        <w:rPr>
          <w:rFonts w:ascii="Times New Roman" w:hAnsi="Times New Roman" w:cs="Times New Roman"/>
          <w:highlight w:val="yellow"/>
          <w:lang w:val="en-US"/>
        </w:rPr>
        <w:t xml:space="preserve"> calculated and</w:t>
      </w:r>
      <w:r w:rsidR="00F86E01" w:rsidRPr="001F63DD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FF4535" w:rsidRPr="001F63DD">
        <w:rPr>
          <w:rFonts w:ascii="Times New Roman" w:hAnsi="Times New Roman" w:cs="Times New Roman"/>
          <w:highlight w:val="yellow"/>
          <w:lang w:val="en-US"/>
        </w:rPr>
        <w:t xml:space="preserve">made </w:t>
      </w:r>
      <w:r w:rsidR="00F86E01" w:rsidRPr="001F63DD">
        <w:rPr>
          <w:rFonts w:ascii="Times New Roman" w:hAnsi="Times New Roman" w:cs="Times New Roman"/>
          <w:highlight w:val="yellow"/>
          <w:lang w:val="en-US"/>
        </w:rPr>
        <w:t>publicly available by Bank of Mexico (</w:t>
      </w:r>
      <w:proofErr w:type="spellStart"/>
      <w:r w:rsidR="00F86E01" w:rsidRPr="001F63DD">
        <w:rPr>
          <w:rFonts w:ascii="Times New Roman" w:hAnsi="Times New Roman" w:cs="Times New Roman"/>
          <w:highlight w:val="yellow"/>
          <w:lang w:val="en-US"/>
        </w:rPr>
        <w:t>Banxico</w:t>
      </w:r>
      <w:proofErr w:type="spellEnd"/>
      <w:r w:rsidR="00F86E01" w:rsidRPr="001F63DD">
        <w:rPr>
          <w:rFonts w:ascii="Times New Roman" w:hAnsi="Times New Roman" w:cs="Times New Roman"/>
          <w:highlight w:val="yellow"/>
          <w:lang w:val="en-US"/>
        </w:rPr>
        <w:t>)</w:t>
      </w:r>
      <w:r w:rsidR="00FF4535" w:rsidRPr="001F63DD">
        <w:rPr>
          <w:rFonts w:ascii="Times New Roman" w:hAnsi="Times New Roman" w:cs="Times New Roman"/>
          <w:highlight w:val="yellow"/>
          <w:lang w:val="en-US"/>
        </w:rPr>
        <w:t>.</w:t>
      </w:r>
    </w:p>
    <w:p w14:paraId="0581DB55" w14:textId="204A5DCF" w:rsidR="0019201C" w:rsidRPr="00616351" w:rsidRDefault="0019201C" w:rsidP="0019201C">
      <w:pPr>
        <w:jc w:val="both"/>
        <w:rPr>
          <w:rFonts w:ascii="Times New Roman" w:hAnsi="Times New Roman" w:cs="Times New Roman"/>
          <w:highlight w:val="yellow"/>
          <w:lang w:val="en-US"/>
        </w:rPr>
      </w:pPr>
      <w:r w:rsidRPr="00616351">
        <w:rPr>
          <w:rFonts w:ascii="Times New Roman" w:hAnsi="Times New Roman" w:cs="Times New Roman"/>
          <w:highlight w:val="yellow"/>
          <w:lang w:val="en-US"/>
        </w:rPr>
        <w:t>Following common literature practices, we also make use of control variables to account for macroeconomic conditions and other factor that may influence the results. We include the following variables:</w:t>
      </w:r>
    </w:p>
    <w:p w14:paraId="61C7F5C3" w14:textId="32C35B6E" w:rsidR="0019201C" w:rsidRPr="00616351" w:rsidRDefault="0019201C" w:rsidP="0019201C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highlight w:val="yellow"/>
          <w:lang w:val="en-US"/>
        </w:rPr>
      </w:pPr>
      <w:r w:rsidRPr="00616351">
        <w:rPr>
          <w:rFonts w:ascii="Times New Roman" w:hAnsi="Times New Roman" w:cs="Times New Roman"/>
          <w:highlight w:val="yellow"/>
          <w:lang w:val="en-US"/>
        </w:rPr>
        <w:t>Economic growth</w:t>
      </w:r>
      <w:r w:rsidR="00CB5E06" w:rsidRPr="00616351">
        <w:rPr>
          <w:rFonts w:ascii="Times New Roman" w:hAnsi="Times New Roman" w:cs="Times New Roman"/>
          <w:highlight w:val="yellow"/>
          <w:lang w:val="en-US"/>
        </w:rPr>
        <w:t xml:space="preserve"> (</w:t>
      </w:r>
      <w:r w:rsidR="00CB5E06" w:rsidRPr="0017223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highlight w:val="yellow"/>
          <w:lang w:val="en-US" w:eastAsia="es-MX"/>
          <w14:ligatures w14:val="none"/>
        </w:rPr>
        <w:t>GROWTH</w:t>
      </w:r>
      <w:r w:rsidR="00CB5E06" w:rsidRPr="006163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highlight w:val="yellow"/>
          <w:lang w:val="en-US" w:eastAsia="es-MX"/>
          <w14:ligatures w14:val="none"/>
        </w:rPr>
        <w:t>)</w:t>
      </w:r>
      <w:r w:rsidRPr="00616351">
        <w:rPr>
          <w:rFonts w:ascii="Times New Roman" w:hAnsi="Times New Roman" w:cs="Times New Roman"/>
          <w:highlight w:val="yellow"/>
          <w:lang w:val="en-US"/>
        </w:rPr>
        <w:t>, which is calculated with the log differences of year-by-year preliminary Gross Domestic Product figures.</w:t>
      </w:r>
    </w:p>
    <w:p w14:paraId="4F2C2849" w14:textId="72F705DE" w:rsidR="0019201C" w:rsidRPr="00616351" w:rsidRDefault="0019201C" w:rsidP="0019201C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highlight w:val="yellow"/>
          <w:lang w:val="en-US"/>
        </w:rPr>
      </w:pPr>
      <w:r w:rsidRPr="00616351">
        <w:rPr>
          <w:rFonts w:ascii="Times New Roman" w:hAnsi="Times New Roman" w:cs="Times New Roman"/>
          <w:highlight w:val="yellow"/>
          <w:lang w:val="en-US"/>
        </w:rPr>
        <w:t>Inflation rate</w:t>
      </w:r>
      <w:r w:rsidR="00535C8E" w:rsidRPr="00616351">
        <w:rPr>
          <w:rFonts w:ascii="Times New Roman" w:hAnsi="Times New Roman" w:cs="Times New Roman"/>
          <w:highlight w:val="yellow"/>
          <w:lang w:val="en-US"/>
        </w:rPr>
        <w:t xml:space="preserve"> (INF)</w:t>
      </w:r>
      <w:r w:rsidRPr="00616351">
        <w:rPr>
          <w:rFonts w:ascii="Times New Roman" w:hAnsi="Times New Roman" w:cs="Times New Roman"/>
          <w:highlight w:val="yellow"/>
          <w:lang w:val="en-US"/>
        </w:rPr>
        <w:t>, which is calculated with the log differences of year-by-year Consumer Price Index.</w:t>
      </w:r>
    </w:p>
    <w:p w14:paraId="6C124851" w14:textId="71BB6E11" w:rsidR="0019201C" w:rsidRPr="00616351" w:rsidRDefault="0019201C" w:rsidP="0019201C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highlight w:val="yellow"/>
          <w:lang w:val="en-US"/>
        </w:rPr>
      </w:pPr>
      <w:r w:rsidRPr="00616351">
        <w:rPr>
          <w:rFonts w:ascii="Times New Roman" w:hAnsi="Times New Roman" w:cs="Times New Roman"/>
          <w:highlight w:val="yellow"/>
          <w:lang w:val="en-US"/>
        </w:rPr>
        <w:t>Short term interest rate</w:t>
      </w:r>
      <w:r w:rsidR="00535C8E" w:rsidRPr="00616351">
        <w:rPr>
          <w:rFonts w:ascii="Times New Roman" w:hAnsi="Times New Roman" w:cs="Times New Roman"/>
          <w:highlight w:val="yellow"/>
          <w:lang w:val="en-US"/>
        </w:rPr>
        <w:t xml:space="preserve"> (</w:t>
      </w:r>
      <w:r w:rsidR="00535C8E" w:rsidRPr="00616351">
        <w:rPr>
          <w:rFonts w:ascii="Times New Roman" w:hAnsi="Times New Roman" w:cs="Times New Roman"/>
          <w:highlight w:val="yellow"/>
          <w:lang w:val="en-US"/>
        </w:rPr>
        <w:t>IN</w:t>
      </w:r>
      <w:r w:rsidR="00535C8E" w:rsidRPr="00616351">
        <w:rPr>
          <w:rFonts w:ascii="Times New Roman" w:hAnsi="Times New Roman" w:cs="Times New Roman"/>
          <w:highlight w:val="yellow"/>
          <w:lang w:val="en-US"/>
        </w:rPr>
        <w:t>T)</w:t>
      </w:r>
      <w:r w:rsidRPr="00616351">
        <w:rPr>
          <w:rFonts w:ascii="Times New Roman" w:hAnsi="Times New Roman" w:cs="Times New Roman"/>
          <w:highlight w:val="yellow"/>
          <w:lang w:val="en-US"/>
        </w:rPr>
        <w:t>, which capture</w:t>
      </w:r>
      <w:r w:rsidR="00074F40" w:rsidRPr="00616351">
        <w:rPr>
          <w:rFonts w:ascii="Times New Roman" w:hAnsi="Times New Roman" w:cs="Times New Roman"/>
          <w:highlight w:val="yellow"/>
          <w:lang w:val="en-US"/>
        </w:rPr>
        <w:t>s</w:t>
      </w:r>
      <w:r w:rsidRPr="00616351">
        <w:rPr>
          <w:rFonts w:ascii="Times New Roman" w:hAnsi="Times New Roman" w:cs="Times New Roman"/>
          <w:highlight w:val="yellow"/>
          <w:lang w:val="en-US"/>
        </w:rPr>
        <w:t xml:space="preserve"> monetary policy.</w:t>
      </w:r>
    </w:p>
    <w:p w14:paraId="146D366D" w14:textId="26C32BEF" w:rsidR="0019201C" w:rsidRPr="001F63DD" w:rsidRDefault="0019201C" w:rsidP="0019201C">
      <w:pPr>
        <w:jc w:val="both"/>
        <w:rPr>
          <w:rFonts w:ascii="Times New Roman" w:hAnsi="Times New Roman" w:cs="Times New Roman"/>
          <w:highlight w:val="yellow"/>
          <w:lang w:val="en-US"/>
        </w:rPr>
      </w:pPr>
      <w:r w:rsidRPr="001F63DD">
        <w:rPr>
          <w:rFonts w:ascii="Times New Roman" w:hAnsi="Times New Roman" w:cs="Times New Roman"/>
          <w:highlight w:val="yellow"/>
          <w:lang w:val="en-US"/>
        </w:rPr>
        <w:t xml:space="preserve">Data used to account for macroeconomic indicators include the Global Index of Economic Activity (IGAE) which provides a monthly measure of economic activity, and the Consumer Price Index (CPI) which measure the variation of prices of a basket of goods and services representative of household consumption in Mexico. </w:t>
      </w:r>
      <w:r w:rsidR="00B814EC" w:rsidRPr="001F63DD">
        <w:rPr>
          <w:rFonts w:ascii="Times New Roman" w:hAnsi="Times New Roman" w:cs="Times New Roman"/>
          <w:highlight w:val="yellow"/>
          <w:lang w:val="en-US"/>
        </w:rPr>
        <w:t>The s</w:t>
      </w:r>
      <w:r w:rsidRPr="001F63DD">
        <w:rPr>
          <w:rFonts w:ascii="Times New Roman" w:hAnsi="Times New Roman" w:cs="Times New Roman"/>
          <w:highlight w:val="yellow"/>
          <w:lang w:val="en-US"/>
        </w:rPr>
        <w:t>hort-term interest rate</w:t>
      </w:r>
      <w:r w:rsidR="006F575B" w:rsidRPr="001F63DD">
        <w:rPr>
          <w:rFonts w:ascii="Times New Roman" w:hAnsi="Times New Roman" w:cs="Times New Roman"/>
          <w:highlight w:val="yellow"/>
          <w:lang w:val="en-US"/>
        </w:rPr>
        <w:t xml:space="preserve"> used to capture monetary policy </w:t>
      </w:r>
      <w:r w:rsidR="007C2C9E" w:rsidRPr="001F63DD">
        <w:rPr>
          <w:rFonts w:ascii="Times New Roman" w:hAnsi="Times New Roman" w:cs="Times New Roman"/>
          <w:highlight w:val="yellow"/>
          <w:lang w:val="en-US"/>
        </w:rPr>
        <w:t>was</w:t>
      </w:r>
      <w:r w:rsidR="006F575B" w:rsidRPr="001F63DD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1F63DD">
        <w:rPr>
          <w:rFonts w:ascii="Times New Roman" w:hAnsi="Times New Roman" w:cs="Times New Roman"/>
          <w:highlight w:val="yellow"/>
          <w:lang w:val="en-US"/>
        </w:rPr>
        <w:t>the 28-day Federal Treasury Certificates (CETES 28).</w:t>
      </w:r>
    </w:p>
    <w:p w14:paraId="14DDEFD8" w14:textId="20D7E32F" w:rsidR="009A3447" w:rsidRPr="001F63DD" w:rsidRDefault="0019201C" w:rsidP="0061635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F63DD">
        <w:rPr>
          <w:rFonts w:ascii="Times New Roman" w:hAnsi="Times New Roman" w:cs="Times New Roman"/>
          <w:highlight w:val="yellow"/>
          <w:lang w:val="en-US"/>
        </w:rPr>
        <w:t xml:space="preserve">Statistical data for IGAE and CPI are publicly released by the Instituto Nacional de </w:t>
      </w:r>
      <w:proofErr w:type="spellStart"/>
      <w:r w:rsidRPr="001F63DD">
        <w:rPr>
          <w:rFonts w:ascii="Times New Roman" w:hAnsi="Times New Roman" w:cs="Times New Roman"/>
          <w:highlight w:val="yellow"/>
          <w:lang w:val="en-US"/>
        </w:rPr>
        <w:t>Estadística</w:t>
      </w:r>
      <w:proofErr w:type="spellEnd"/>
      <w:r w:rsidRPr="001F63DD">
        <w:rPr>
          <w:rFonts w:ascii="Times New Roman" w:hAnsi="Times New Roman" w:cs="Times New Roman"/>
          <w:highlight w:val="yellow"/>
          <w:lang w:val="en-US"/>
        </w:rPr>
        <w:t xml:space="preserve"> y </w:t>
      </w:r>
      <w:proofErr w:type="spellStart"/>
      <w:r w:rsidRPr="001F63DD">
        <w:rPr>
          <w:rFonts w:ascii="Times New Roman" w:hAnsi="Times New Roman" w:cs="Times New Roman"/>
          <w:highlight w:val="yellow"/>
          <w:lang w:val="en-US"/>
        </w:rPr>
        <w:t>Geografía</w:t>
      </w:r>
      <w:proofErr w:type="spellEnd"/>
      <w:r w:rsidRPr="001F63DD">
        <w:rPr>
          <w:rFonts w:ascii="Times New Roman" w:hAnsi="Times New Roman" w:cs="Times New Roman"/>
          <w:highlight w:val="yellow"/>
          <w:lang w:val="en-US"/>
        </w:rPr>
        <w:t xml:space="preserve"> (INEGI), while CETES</w:t>
      </w:r>
      <w:r w:rsidR="00F86E01" w:rsidRPr="001F63DD">
        <w:rPr>
          <w:rFonts w:ascii="Times New Roman" w:hAnsi="Times New Roman" w:cs="Times New Roman"/>
          <w:highlight w:val="yellow"/>
          <w:lang w:val="en-US"/>
        </w:rPr>
        <w:t xml:space="preserve"> 28</w:t>
      </w:r>
      <w:r w:rsidRPr="001F63DD">
        <w:rPr>
          <w:rFonts w:ascii="Times New Roman" w:hAnsi="Times New Roman" w:cs="Times New Roman"/>
          <w:highlight w:val="yellow"/>
          <w:lang w:val="en-US"/>
        </w:rPr>
        <w:t xml:space="preserve"> data </w:t>
      </w:r>
      <w:r w:rsidR="001C1571" w:rsidRPr="001F63DD">
        <w:rPr>
          <w:rFonts w:ascii="Times New Roman" w:hAnsi="Times New Roman" w:cs="Times New Roman"/>
          <w:highlight w:val="yellow"/>
          <w:lang w:val="en-US"/>
        </w:rPr>
        <w:t>is</w:t>
      </w:r>
      <w:r w:rsidRPr="001F63DD">
        <w:rPr>
          <w:rFonts w:ascii="Times New Roman" w:hAnsi="Times New Roman" w:cs="Times New Roman"/>
          <w:highlight w:val="yellow"/>
          <w:lang w:val="en-US"/>
        </w:rPr>
        <w:t xml:space="preserve"> published by the </w:t>
      </w:r>
      <w:proofErr w:type="spellStart"/>
      <w:r w:rsidR="004F6F68" w:rsidRPr="001F63DD">
        <w:rPr>
          <w:rFonts w:ascii="Times New Roman" w:hAnsi="Times New Roman" w:cs="Times New Roman"/>
          <w:highlight w:val="yellow"/>
          <w:lang w:val="en-US"/>
        </w:rPr>
        <w:t>Banxico</w:t>
      </w:r>
      <w:proofErr w:type="spellEnd"/>
      <w:r w:rsidRPr="001F63DD">
        <w:rPr>
          <w:rFonts w:ascii="Times New Roman" w:hAnsi="Times New Roman" w:cs="Times New Roman"/>
          <w:highlight w:val="yellow"/>
          <w:lang w:val="en-US"/>
        </w:rPr>
        <w:t>.</w:t>
      </w:r>
      <w:r w:rsidR="009A3447" w:rsidRPr="001F63DD">
        <w:rPr>
          <w:rFonts w:ascii="Times New Roman" w:hAnsi="Times New Roman" w:cs="Times New Roman"/>
          <w:b/>
          <w:bCs/>
          <w:lang w:val="en-US"/>
        </w:rPr>
        <w:br w:type="page"/>
      </w:r>
    </w:p>
    <w:p w14:paraId="2687AA14" w14:textId="42D9D5C5" w:rsidR="00F629C6" w:rsidRPr="0045603B" w:rsidRDefault="00F629C6" w:rsidP="00F629C6">
      <w:pPr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45603B">
        <w:rPr>
          <w:rFonts w:ascii="Times New Roman" w:hAnsi="Times New Roman" w:cs="Times New Roman"/>
          <w:b/>
          <w:bCs/>
          <w:highlight w:val="yellow"/>
          <w:lang w:val="en-US"/>
        </w:rPr>
        <w:lastRenderedPageBreak/>
        <w:t xml:space="preserve">Table 1. </w:t>
      </w:r>
      <w:r w:rsidR="000A41B5" w:rsidRPr="0045603B">
        <w:rPr>
          <w:rFonts w:ascii="Times New Roman" w:hAnsi="Times New Roman" w:cs="Times New Roman"/>
          <w:b/>
          <w:bCs/>
          <w:highlight w:val="yellow"/>
          <w:lang w:val="en-US"/>
        </w:rPr>
        <w:t>Statistical summary</w:t>
      </w:r>
      <w:r w:rsidRPr="0045603B">
        <w:rPr>
          <w:rFonts w:ascii="Times New Roman" w:hAnsi="Times New Roman" w:cs="Times New Roman"/>
          <w:b/>
          <w:bCs/>
          <w:highlight w:val="yellow"/>
          <w:lang w:val="en-US"/>
        </w:rPr>
        <w:t xml:space="preserve"> of variables used in the </w:t>
      </w:r>
      <w:r w:rsidR="003A76D7" w:rsidRPr="0045603B">
        <w:rPr>
          <w:rFonts w:ascii="Times New Roman" w:hAnsi="Times New Roman" w:cs="Times New Roman"/>
          <w:b/>
          <w:bCs/>
          <w:highlight w:val="yellow"/>
          <w:lang w:val="en-US"/>
        </w:rPr>
        <w:t>model</w:t>
      </w: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2054"/>
        <w:gridCol w:w="1240"/>
        <w:gridCol w:w="1240"/>
        <w:gridCol w:w="1240"/>
        <w:gridCol w:w="1240"/>
        <w:gridCol w:w="1240"/>
      </w:tblGrid>
      <w:tr w:rsidR="00F629C6" w:rsidRPr="00F629C6" w14:paraId="1F64EDE2" w14:textId="77777777" w:rsidTr="00F629C6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3DB13F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57317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DCEB7C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proofErr w:type="gramStart"/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.</w:t>
            </w:r>
            <w:proofErr w:type="spellStart"/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Obs</w:t>
            </w:r>
            <w:proofErr w:type="spellEnd"/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742BB61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Mean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61B4F15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Std. Dev.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0B5A01D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Min.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2CC36F3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Max.</w:t>
            </w:r>
          </w:p>
        </w:tc>
      </w:tr>
      <w:tr w:rsidR="00F629C6" w:rsidRPr="00F629C6" w14:paraId="01DCB789" w14:textId="77777777" w:rsidTr="00F629C6">
        <w:trPr>
          <w:trHeight w:val="288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06B643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Endogenous variable: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B2D43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54462C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14CFDE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772EE0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4DF5D5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</w:tr>
      <w:tr w:rsidR="00F629C6" w:rsidRPr="00F629C6" w14:paraId="7293E06B" w14:textId="77777777" w:rsidTr="00F629C6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79BD5E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627446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ROE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1389F2" w14:textId="515CF06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2</w:t>
            </w:r>
            <w:r w:rsidR="00B25919" w:rsidRPr="0045603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,</w:t>
            </w: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470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FE262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15.013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BC786E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7.724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6501F5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-23.953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08E05B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55.474</w:t>
            </w:r>
          </w:p>
        </w:tc>
      </w:tr>
      <w:tr w:rsidR="00F629C6" w:rsidRPr="00F629C6" w14:paraId="6B2D43AE" w14:textId="77777777" w:rsidTr="00F629C6">
        <w:trPr>
          <w:trHeight w:val="288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154F26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Macroeconomic controls: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8A3C66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3BD57F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A24B4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DF0DBB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1EB5B2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</w:tr>
      <w:tr w:rsidR="00F629C6" w:rsidRPr="00F629C6" w14:paraId="25458D05" w14:textId="77777777" w:rsidTr="00F629C6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8A5822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63D5CF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GROWTH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0E4EA7" w14:textId="757F9235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2</w:t>
            </w:r>
            <w:r w:rsidR="00B25919" w:rsidRPr="0045603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,</w:t>
            </w: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470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C1816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1.698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64DF68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4.469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DB6355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-26.522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EA9D1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24.464</w:t>
            </w:r>
          </w:p>
        </w:tc>
      </w:tr>
      <w:tr w:rsidR="00F629C6" w:rsidRPr="00F629C6" w14:paraId="275590B5" w14:textId="77777777" w:rsidTr="00F629C6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3FC757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CF3C3B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INF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46855D" w14:textId="3A18DF95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2</w:t>
            </w:r>
            <w:r w:rsidR="00B25919" w:rsidRPr="0045603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,</w:t>
            </w: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470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772A23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4.447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984306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1.333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033DE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2.130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E29AB4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8.700</w:t>
            </w:r>
          </w:p>
        </w:tc>
      </w:tr>
      <w:tr w:rsidR="00F629C6" w:rsidRPr="00F629C6" w14:paraId="09875641" w14:textId="77777777" w:rsidTr="00F629C6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9D34C4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FE01D7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998F9C" w14:textId="6746395C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2</w:t>
            </w:r>
            <w:r w:rsidR="00B25919" w:rsidRPr="0045603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,</w:t>
            </w: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470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75333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6.166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AFAB37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2.307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80EBC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2.670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6A0D27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11.320</w:t>
            </w:r>
          </w:p>
        </w:tc>
      </w:tr>
      <w:tr w:rsidR="00F629C6" w:rsidRPr="00F629C6" w14:paraId="239430A9" w14:textId="77777777" w:rsidTr="00F629C6">
        <w:trPr>
          <w:trHeight w:val="288"/>
        </w:trPr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04C139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Bank-specific characteristics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7577BB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7F1A7A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27701E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0518C7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</w:tr>
      <w:tr w:rsidR="00F629C6" w:rsidRPr="00F629C6" w14:paraId="0F5FBEB4" w14:textId="77777777" w:rsidTr="00F629C6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B76E0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AC1AAF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LNAS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8884F7" w14:textId="0C135D49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2</w:t>
            </w:r>
            <w:r w:rsidR="00B25919" w:rsidRPr="0045603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,</w:t>
            </w: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470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1C5F4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12.788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F413C2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1.174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A6C575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9.255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F1D406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14.924</w:t>
            </w:r>
          </w:p>
        </w:tc>
      </w:tr>
      <w:tr w:rsidR="00F629C6" w:rsidRPr="00F629C6" w14:paraId="65A287EC" w14:textId="77777777" w:rsidTr="00F629C6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3AEAB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F0C790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CAR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24B94D" w14:textId="5DEE6B58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2</w:t>
            </w:r>
            <w:r w:rsidR="00B25919" w:rsidRPr="0045603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,</w:t>
            </w: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470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E59E94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15.744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018B46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2.736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48F1C5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9.710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6FD747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29.260</w:t>
            </w:r>
          </w:p>
        </w:tc>
      </w:tr>
      <w:tr w:rsidR="00F629C6" w:rsidRPr="00F629C6" w14:paraId="7F7B4563" w14:textId="77777777" w:rsidTr="00F629C6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54D5D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B5C074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LIQ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A4E98C" w14:textId="1E990728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2</w:t>
            </w:r>
            <w:r w:rsidR="00B25919" w:rsidRPr="0045603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,</w:t>
            </w: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470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A07DAB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17.156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01F2D9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8.560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CE2D9F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2.438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B90ED8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50.560</w:t>
            </w:r>
          </w:p>
        </w:tc>
      </w:tr>
      <w:tr w:rsidR="00F629C6" w:rsidRPr="00F629C6" w14:paraId="17069A53" w14:textId="77777777" w:rsidTr="00F629C6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21EDC3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B22FD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IMORA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6A12E2" w14:textId="6FB44A7E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2</w:t>
            </w:r>
            <w:r w:rsidR="00B25919" w:rsidRPr="0045603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,</w:t>
            </w: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470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63532E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4.981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7AAE7B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3.383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8462F3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0.205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D4DBF2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24.168</w:t>
            </w:r>
          </w:p>
        </w:tc>
      </w:tr>
      <w:tr w:rsidR="00F629C6" w:rsidRPr="00F629C6" w14:paraId="583AB271" w14:textId="77777777" w:rsidTr="00F629C6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5B1999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F1EC4F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AM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035190" w14:textId="729AB01E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2</w:t>
            </w:r>
            <w:r w:rsidR="00B25919" w:rsidRPr="0045603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,</w:t>
            </w: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470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5CEA5D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1.001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97BE96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0.805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77614D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-3.616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DC9485" w14:textId="77777777" w:rsidR="00F629C6" w:rsidRPr="00F629C6" w:rsidRDefault="00F629C6" w:rsidP="00F62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F629C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val="en-US" w:eastAsia="es-MX"/>
                <w14:ligatures w14:val="none"/>
              </w:rPr>
              <w:t>5.816</w:t>
            </w:r>
          </w:p>
        </w:tc>
      </w:tr>
    </w:tbl>
    <w:p w14:paraId="20EA410E" w14:textId="77777777" w:rsidR="00151EF9" w:rsidRPr="001F63DD" w:rsidRDefault="00151EF9" w:rsidP="00151EF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E3F4D62" w14:textId="4698B000" w:rsidR="00EC4BD0" w:rsidRPr="001F63DD" w:rsidRDefault="00EC4BD0" w:rsidP="001A4939">
      <w:pPr>
        <w:jc w:val="both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1F63DD">
        <w:rPr>
          <w:rFonts w:ascii="Times New Roman" w:hAnsi="Times New Roman" w:cs="Times New Roman"/>
          <w:sz w:val="20"/>
          <w:szCs w:val="20"/>
          <w:lang w:val="en-US"/>
        </w:rPr>
        <w:t>Own with data from CNBV, BANXICO, and INEGI</w:t>
      </w:r>
      <w:r w:rsidR="00DB4C7B" w:rsidRPr="001F63DD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13D9CD98" w14:textId="18C6DEF6" w:rsidR="001A4939" w:rsidRPr="001F63DD" w:rsidRDefault="00EB6013" w:rsidP="00EB6013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>METHODOLOGY</w:t>
      </w:r>
    </w:p>
    <w:p w14:paraId="572CDC8B" w14:textId="77777777" w:rsidR="00120956" w:rsidRDefault="00B611B4" w:rsidP="001F63DD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For our model, we </w:t>
      </w:r>
      <w:r w:rsidR="00120956">
        <w:rPr>
          <w:rFonts w:ascii="Times New Roman" w:hAnsi="Times New Roman" w:cs="Times New Roman"/>
          <w:lang w:val="en-US"/>
        </w:rPr>
        <w:t xml:space="preserve">produce a </w:t>
      </w:r>
      <w:r w:rsidR="001F63DD" w:rsidRPr="001F63DD">
        <w:rPr>
          <w:rFonts w:ascii="Times New Roman" w:hAnsi="Times New Roman" w:cs="Times New Roman"/>
          <w:lang w:val="en-US"/>
        </w:rPr>
        <w:t>r</w:t>
      </w:r>
      <w:r w:rsidR="001F63DD" w:rsidRPr="001F63DD">
        <w:rPr>
          <w:rFonts w:ascii="Times New Roman" w:hAnsi="Times New Roman" w:cs="Times New Roman"/>
          <w:lang w:val="en-US"/>
        </w:rPr>
        <w:t>andom effects panel regression with cluster-robust standard errors</w:t>
      </w:r>
      <w:r w:rsidR="001F63DD" w:rsidRPr="001F63DD">
        <w:rPr>
          <w:rFonts w:ascii="Times New Roman" w:hAnsi="Times New Roman" w:cs="Times New Roman"/>
          <w:lang w:val="en-US"/>
        </w:rPr>
        <w:t>.</w:t>
      </w:r>
    </w:p>
    <w:p w14:paraId="6A8E2D6D" w14:textId="77777777" w:rsidR="00120956" w:rsidRDefault="00B611B4" w:rsidP="001F63DD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The first model provides insight into the effects of macroeconomic variables on </w:t>
      </w:r>
      <w:r w:rsidR="00120956">
        <w:rPr>
          <w:rFonts w:ascii="Times New Roman" w:hAnsi="Times New Roman" w:cs="Times New Roman"/>
          <w:lang w:val="en-US"/>
        </w:rPr>
        <w:t>bank profitability</w:t>
      </w:r>
    </w:p>
    <w:p w14:paraId="4F64D4B0" w14:textId="77777777" w:rsidR="00120956" w:rsidRDefault="00B611B4" w:rsidP="001F63DD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The second model includes </w:t>
      </w:r>
      <w:r w:rsidR="00120956">
        <w:rPr>
          <w:rFonts w:ascii="Times New Roman" w:hAnsi="Times New Roman" w:cs="Times New Roman"/>
          <w:lang w:val="en-US"/>
        </w:rPr>
        <w:t>the previously mentioned bank-specific variables</w:t>
      </w:r>
      <w:r w:rsidRPr="001F63DD">
        <w:rPr>
          <w:rFonts w:ascii="Times New Roman" w:hAnsi="Times New Roman" w:cs="Times New Roman"/>
          <w:lang w:val="en-US"/>
        </w:rPr>
        <w:t>.</w:t>
      </w:r>
    </w:p>
    <w:p w14:paraId="2E2E2C32" w14:textId="7C406699" w:rsidR="00B611B4" w:rsidRDefault="00B611B4" w:rsidP="00B92CED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The third model </w:t>
      </w:r>
      <w:r w:rsidR="00616256">
        <w:rPr>
          <w:rFonts w:ascii="Times New Roman" w:hAnsi="Times New Roman" w:cs="Times New Roman"/>
          <w:lang w:val="en-US"/>
        </w:rPr>
        <w:t xml:space="preserve">and final model only include </w:t>
      </w:r>
      <w:r w:rsidR="00DD12FE">
        <w:rPr>
          <w:rFonts w:ascii="Times New Roman" w:hAnsi="Times New Roman" w:cs="Times New Roman"/>
          <w:lang w:val="en-US"/>
        </w:rPr>
        <w:t>significant variables</w:t>
      </w:r>
    </w:p>
    <w:p w14:paraId="5989B2D3" w14:textId="77777777" w:rsidR="005B7428" w:rsidRDefault="005B7428" w:rsidP="00B92CED">
      <w:pPr>
        <w:jc w:val="both"/>
        <w:rPr>
          <w:rFonts w:ascii="Times New Roman" w:hAnsi="Times New Roman" w:cs="Times New Roman"/>
          <w:lang w:val="en-US"/>
        </w:rPr>
      </w:pPr>
    </w:p>
    <w:p w14:paraId="5B0AC600" w14:textId="539B93D8" w:rsidR="005B7428" w:rsidRDefault="005B7428" w:rsidP="00B92CED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Following </w:t>
      </w:r>
      <w:proofErr w:type="gramStart"/>
      <w:r w:rsidRPr="001F63DD">
        <w:rPr>
          <w:rFonts w:ascii="Times New Roman" w:hAnsi="Times New Roman" w:cs="Times New Roman"/>
          <w:lang w:val="en-US"/>
        </w:rPr>
        <w:t>()(</w:t>
      </w:r>
      <w:proofErr w:type="gramEnd"/>
      <w:r w:rsidRPr="001F63DD">
        <w:rPr>
          <w:rFonts w:ascii="Times New Roman" w:hAnsi="Times New Roman" w:cs="Times New Roman"/>
          <w:lang w:val="en-US"/>
        </w:rPr>
        <w:t xml:space="preserve">) and other similar articles, we </w:t>
      </w:r>
    </w:p>
    <w:p w14:paraId="011058ED" w14:textId="77777777" w:rsidR="007062A8" w:rsidRPr="001F63DD" w:rsidRDefault="007062A8" w:rsidP="007062A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63DD">
        <w:rPr>
          <w:rFonts w:ascii="Times New Roman" w:hAnsi="Times New Roman" w:cs="Times New Roman"/>
          <w:sz w:val="20"/>
          <w:szCs w:val="20"/>
          <w:lang w:val="en-US"/>
        </w:rPr>
        <w:t xml:space="preserve">Table of model all regressions with </w:t>
      </w:r>
    </w:p>
    <w:p w14:paraId="7AB4D50C" w14:textId="77777777" w:rsidR="007062A8" w:rsidRDefault="007062A8" w:rsidP="007062A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B303664" w14:textId="3BE9281E" w:rsidR="007062A8" w:rsidRPr="001F63DD" w:rsidRDefault="007062A8" w:rsidP="007062A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63DD">
        <w:rPr>
          <w:rFonts w:ascii="Times New Roman" w:hAnsi="Times New Roman" w:cs="Times New Roman"/>
          <w:sz w:val="20"/>
          <w:szCs w:val="20"/>
          <w:lang w:val="en-US"/>
        </w:rPr>
        <w:t>Hausmann Test used to determine whether using fixed-effects or random-effects in the model would be appropriate in the panel data model.</w:t>
      </w:r>
    </w:p>
    <w:p w14:paraId="5FC56B45" w14:textId="77777777" w:rsidR="005B7428" w:rsidRDefault="005B7428" w:rsidP="00B92CED">
      <w:pPr>
        <w:jc w:val="both"/>
        <w:rPr>
          <w:rFonts w:ascii="Times New Roman" w:hAnsi="Times New Roman" w:cs="Times New Roman"/>
          <w:lang w:val="en-US"/>
        </w:rPr>
      </w:pPr>
    </w:p>
    <w:p w14:paraId="62DF0379" w14:textId="0B7E0CF8" w:rsidR="007062A8" w:rsidRDefault="007062A8" w:rsidP="00B92C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All models showed autocorrelation and </w:t>
      </w:r>
      <w:proofErr w:type="spellStart"/>
      <w:r w:rsidR="00D7413A" w:rsidRPr="00D7413A">
        <w:rPr>
          <w:rFonts w:ascii="Times New Roman" w:hAnsi="Times New Roman" w:cs="Times New Roman"/>
        </w:rPr>
        <w:t>heteroskedasticity</w:t>
      </w:r>
      <w:proofErr w:type="spellEnd"/>
    </w:p>
    <w:p w14:paraId="35B72509" w14:textId="4E149546" w:rsidR="001B586C" w:rsidRDefault="001B586C">
      <w:pPr>
        <w:ind w:left="35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EFD4A2" w14:textId="2A1D7D5F" w:rsidR="003D0C05" w:rsidRPr="001F63DD" w:rsidRDefault="00BC5596" w:rsidP="00A965FA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63DD">
        <w:rPr>
          <w:rFonts w:ascii="Times New Roman" w:hAnsi="Times New Roman" w:cs="Times New Roman"/>
          <w:sz w:val="20"/>
          <w:szCs w:val="20"/>
          <w:lang w:val="en-US"/>
        </w:rPr>
        <w:lastRenderedPageBreak/>
        <w:t>RESULTS</w:t>
      </w:r>
    </w:p>
    <w:p w14:paraId="5B1D5DE8" w14:textId="77777777" w:rsidR="001B586C" w:rsidRDefault="001B586C" w:rsidP="00A965FA">
      <w:pPr>
        <w:jc w:val="both"/>
        <w:rPr>
          <w:rFonts w:ascii="Times New Roman" w:hAnsi="Times New Roman" w:cs="Times New Roman"/>
          <w:sz w:val="20"/>
          <w:szCs w:val="20"/>
          <w:lang w:val="en-US"/>
        </w:rPr>
        <w:sectPr w:rsidR="001B586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0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580"/>
        <w:gridCol w:w="1240"/>
        <w:gridCol w:w="1240"/>
        <w:gridCol w:w="1240"/>
        <w:gridCol w:w="1224"/>
        <w:gridCol w:w="1272"/>
        <w:gridCol w:w="1224"/>
        <w:gridCol w:w="146"/>
        <w:gridCol w:w="146"/>
        <w:gridCol w:w="146"/>
        <w:gridCol w:w="146"/>
        <w:gridCol w:w="146"/>
        <w:gridCol w:w="146"/>
      </w:tblGrid>
      <w:tr w:rsidR="001B586C" w:rsidRPr="001B586C" w14:paraId="488FE655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364A4E3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71677ED" w14:textId="77777777" w:rsidR="001B586C" w:rsidRPr="001B586C" w:rsidRDefault="001B586C" w:rsidP="001B5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403824E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Random</w:t>
            </w:r>
            <w:proofErr w:type="spellEnd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effects</w:t>
            </w:r>
            <w:proofErr w:type="spellEnd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panel </w:t>
            </w:r>
            <w:proofErr w:type="spellStart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regression</w:t>
            </w:r>
            <w:proofErr w:type="spellEnd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with</w:t>
            </w:r>
            <w:proofErr w:type="spellEnd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cluster-robust</w:t>
            </w:r>
            <w:proofErr w:type="spellEnd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standard </w:t>
            </w:r>
            <w:proofErr w:type="spellStart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errors</w:t>
            </w:r>
            <w:proofErr w:type="spellEnd"/>
          </w:p>
        </w:tc>
        <w:tc>
          <w:tcPr>
            <w:tcW w:w="3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5AAE7EA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GLS </w:t>
            </w:r>
            <w:proofErr w:type="spellStart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regression</w:t>
            </w:r>
            <w:proofErr w:type="spellEnd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allowing</w:t>
            </w:r>
            <w:proofErr w:type="spellEnd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for</w:t>
            </w:r>
            <w:proofErr w:type="spellEnd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heteroskedasticity</w:t>
            </w:r>
            <w:proofErr w:type="spellEnd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across</w:t>
            </w:r>
            <w:proofErr w:type="spellEnd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panels</w:t>
            </w:r>
            <w:proofErr w:type="spellEnd"/>
          </w:p>
        </w:tc>
      </w:tr>
      <w:tr w:rsidR="001B586C" w:rsidRPr="001B586C" w14:paraId="3EE7B05F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841B0D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0EA934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7DDD72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(1)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A54909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(2)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EFCA51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(3)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315C91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(1)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B90A07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(2)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C2A959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(3)</w:t>
            </w:r>
          </w:p>
        </w:tc>
      </w:tr>
      <w:tr w:rsidR="001B586C" w:rsidRPr="001B586C" w14:paraId="54533BBC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65FBB6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GROWTH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764EBB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B73F11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0.176*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FB2E90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0.0531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363DC6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0.0866*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CD19D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0.102***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32311B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0.0928***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928DB6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0.0587**</w:t>
            </w:r>
          </w:p>
        </w:tc>
      </w:tr>
      <w:tr w:rsidR="001B586C" w:rsidRPr="001B586C" w14:paraId="4E0FBAE5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7731E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77F4E1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FA314E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(0.0908)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4267CE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(0.0335)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54E50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(0.0492)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EA0BF0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(0.0250)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D8A47E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(0.0235)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2B595A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(0.0233)</w:t>
            </w:r>
          </w:p>
        </w:tc>
      </w:tr>
      <w:tr w:rsidR="001B586C" w:rsidRPr="001B586C" w14:paraId="33D0FFD0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81BDEE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INF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602C07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85D6D9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-0.779***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8FEF32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-0.389**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D7F2A7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-0.723***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84F849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-0.628***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360007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-0.536***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AC01E1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-0.603***</w:t>
            </w:r>
          </w:p>
        </w:tc>
      </w:tr>
      <w:tr w:rsidR="001B586C" w:rsidRPr="001B586C" w14:paraId="7F499E5C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297C4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B525CD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7FD05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(0.289)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327098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(0.192)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677E0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(0.268)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017B35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(0.0913)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E067E2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(0.0863)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FE3BD1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(0.0854)</w:t>
            </w:r>
          </w:p>
        </w:tc>
      </w:tr>
      <w:tr w:rsidR="001B586C" w:rsidRPr="001B586C" w14:paraId="35B4F71F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4D1CAB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INT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519FAB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672AE7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1.231***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5BA34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0.891***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5585F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0.868***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BC1B8A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1.174***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794D9A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1.002***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A3104C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0.918***</w:t>
            </w:r>
          </w:p>
        </w:tc>
      </w:tr>
      <w:tr w:rsidR="001B586C" w:rsidRPr="001B586C" w14:paraId="772D970C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792CFC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BFBFC1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2BFA7E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(0.312)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5BA7F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(0.234)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406465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(0.286)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582A64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(0.0524)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5F24E8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(0.0526)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17A550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(0.0505)</w:t>
            </w:r>
          </w:p>
        </w:tc>
      </w:tr>
      <w:tr w:rsidR="001B586C" w:rsidRPr="001B586C" w14:paraId="281EACB9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088EE9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LNAS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5F5BB0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4D16A7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6AC27C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-2.486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B3FA44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50036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35D4AF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0.689***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D18D6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1B586C" w:rsidRPr="001B586C" w14:paraId="08887B9E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D50D06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17485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C00E3F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EF7183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(1.857)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E2745A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96584B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C6068A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(0.0944)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F5DF69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1B586C" w:rsidRPr="001B586C" w14:paraId="71FE4D83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AFFE9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CAR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389199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36491E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9FAFA9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-0.172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229CDF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E8CC82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FA8B98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-0.366***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C9FD11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1B586C" w:rsidRPr="001B586C" w14:paraId="21756193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0A0B6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2455B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3B625D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396D5E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(0.192)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257D73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A7780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D7315B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(0.0425)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8D5151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1B586C" w:rsidRPr="001B586C" w14:paraId="6DD1D80B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2D1361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LIQ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4D34F2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F51767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8FD568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-0.0695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FAF4E3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9176E9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8BCFAA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-0.172***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AA92E3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1B586C" w:rsidRPr="001B586C" w14:paraId="69246C98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5A0613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A7C5EA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6098FE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A3333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(0.0859)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EAE6B9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A20DB6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F4FC65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(0.0207)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83A382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1B586C" w:rsidRPr="001B586C" w14:paraId="4498F9B6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66F02A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IMORA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185925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20AAC5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442899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-0.427***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D6580A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-0.504***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C4530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F6F5D6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-0.256***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4203D0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-0.503***</w:t>
            </w:r>
          </w:p>
        </w:tc>
      </w:tr>
      <w:tr w:rsidR="001B586C" w:rsidRPr="001B586C" w14:paraId="78508D80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B088F8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83615D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3B33BC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3C6C05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(0.103)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08C28C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(0.104)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1C60AE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5DBAA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(0.0601)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B8C454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(0.0428)</w:t>
            </w:r>
          </w:p>
        </w:tc>
      </w:tr>
      <w:tr w:rsidR="001B586C" w:rsidRPr="001B586C" w14:paraId="7F0F8466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51502D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AM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D9EBF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FDB67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D0EC57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3.461***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078B11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3.110***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6ECD43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C56520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2.299***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C531AD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2.450***</w:t>
            </w:r>
          </w:p>
        </w:tc>
      </w:tr>
      <w:tr w:rsidR="001B586C" w:rsidRPr="001B586C" w14:paraId="066356EA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5732FF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4C1084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22746A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8E5E5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(0.890)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83E6F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(0.842)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8003AA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196B58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(0.138)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37FFF6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(0.137)</w:t>
            </w:r>
          </w:p>
        </w:tc>
      </w:tr>
      <w:tr w:rsidR="001B586C" w:rsidRPr="001B586C" w14:paraId="7570B3A2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09FA9E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Constant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E04E4D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89DB6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10.59***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3742BC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45.51**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07E431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12.13***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9E09F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10.88***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BB3623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9.561***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18B8A6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11.80***</w:t>
            </w:r>
          </w:p>
        </w:tc>
      </w:tr>
      <w:tr w:rsidR="001B586C" w:rsidRPr="001B586C" w14:paraId="2887613D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A84D4D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AA821F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4EE8E9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(1.733)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9D9AF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(23.22)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30DA67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(1.966)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37745D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(0.420)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7F08D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(1.158)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53FFC0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(0.446)</w:t>
            </w:r>
          </w:p>
        </w:tc>
      </w:tr>
      <w:tr w:rsidR="001B586C" w:rsidRPr="001B586C" w14:paraId="780FFF5C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AA17A1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97DB6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38A3A2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EA42A2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0B3750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55D8A6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6510F3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482067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1B586C" w:rsidRPr="001B586C" w14:paraId="755A00D4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C45480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1B586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  <w:t>Observations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EA7184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11A593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2,470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09E354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2,470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62C8B5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2,470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BAB49F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2,470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0351F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2,470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F29565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2,470</w:t>
            </w:r>
          </w:p>
        </w:tc>
      </w:tr>
      <w:tr w:rsidR="001B586C" w:rsidRPr="001B586C" w14:paraId="6A6F92D7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DECD9D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1B586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  <w:t>Number</w:t>
            </w:r>
            <w:proofErr w:type="spellEnd"/>
            <w:r w:rsidRPr="001B586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1B586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  <w:t>of</w:t>
            </w:r>
            <w:proofErr w:type="spellEnd"/>
            <w:r w:rsidRPr="001B586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1B586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  <w:t>bank_id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82C425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AB9D8D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C80975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1FA22B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9D5590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E85E96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818247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10</w:t>
            </w:r>
          </w:p>
        </w:tc>
      </w:tr>
      <w:tr w:rsidR="001B586C" w:rsidRPr="001B586C" w14:paraId="64980159" w14:textId="77777777" w:rsidTr="001B586C">
        <w:trPr>
          <w:gridAfter w:val="6"/>
          <w:wAfter w:w="216" w:type="dxa"/>
          <w:trHeight w:val="288"/>
        </w:trPr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613305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  <w:t>R-</w:t>
            </w:r>
            <w:proofErr w:type="spellStart"/>
            <w:r w:rsidRPr="001B586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  <w:t>squared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EF3CC2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FA8E35" w14:textId="77777777" w:rsidR="001B586C" w:rsidRPr="001B586C" w:rsidRDefault="001B586C" w:rsidP="001B58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0.1219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2E55C8" w14:textId="77777777" w:rsidR="001B586C" w:rsidRPr="001B586C" w:rsidRDefault="001B586C" w:rsidP="001B58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0.2015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D9AEC" w14:textId="77777777" w:rsidR="001B586C" w:rsidRPr="001B586C" w:rsidRDefault="001B586C" w:rsidP="001B58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0.2796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4D0B3A" w14:textId="77777777" w:rsidR="001B586C" w:rsidRPr="001B586C" w:rsidRDefault="001B586C" w:rsidP="001B58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B49273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33292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1B586C" w:rsidRPr="001B586C" w14:paraId="5ECC11A4" w14:textId="77777777" w:rsidTr="001B586C">
        <w:trPr>
          <w:trHeight w:val="288"/>
        </w:trPr>
        <w:tc>
          <w:tcPr>
            <w:tcW w:w="10516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78AC44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1B586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  <w:t>Robust</w:t>
            </w:r>
            <w:proofErr w:type="spellEnd"/>
            <w:r w:rsidRPr="001B586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  <w:t xml:space="preserve"> standard </w:t>
            </w:r>
            <w:proofErr w:type="spellStart"/>
            <w:r w:rsidRPr="001B586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  <w:t>errors</w:t>
            </w:r>
            <w:proofErr w:type="spellEnd"/>
            <w:r w:rsidRPr="001B586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  <w:t xml:space="preserve"> in </w:t>
            </w:r>
            <w:proofErr w:type="spellStart"/>
            <w:r w:rsidRPr="001B586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  <w:t>parentheses</w:t>
            </w:r>
            <w:proofErr w:type="spellEnd"/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758CFC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AE890D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CC619B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C965C1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16CE9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1B586C" w:rsidRPr="001B586C" w14:paraId="153BAC01" w14:textId="77777777" w:rsidTr="001B586C">
        <w:trPr>
          <w:trHeight w:val="288"/>
        </w:trPr>
        <w:tc>
          <w:tcPr>
            <w:tcW w:w="1048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CDA91A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B586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  <w:t>*** p&lt;0.01, ** p&lt;0.05, * p&lt;0.1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D3332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01DC75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733F6E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555161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1FB7CD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DB0AD7" w14:textId="77777777" w:rsidR="001B586C" w:rsidRPr="001B586C" w:rsidRDefault="001B586C" w:rsidP="001B58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14:paraId="10A87C2E" w14:textId="77777777" w:rsidR="001B586C" w:rsidRDefault="001B586C" w:rsidP="00A965FA">
      <w:pPr>
        <w:jc w:val="both"/>
        <w:rPr>
          <w:rFonts w:ascii="Times New Roman" w:hAnsi="Times New Roman" w:cs="Times New Roman"/>
          <w:sz w:val="20"/>
          <w:szCs w:val="20"/>
          <w:lang w:val="en-US"/>
        </w:rPr>
        <w:sectPr w:rsidR="001B586C" w:rsidSect="001B586C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13E19E6F" w14:textId="77777777" w:rsidR="007B32C6" w:rsidRPr="001F63DD" w:rsidRDefault="007B32C6" w:rsidP="00A965F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901BE0C" w14:textId="144AC7D9" w:rsidR="003D0C05" w:rsidRDefault="006161ED" w:rsidP="00A965F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63DD">
        <w:rPr>
          <w:rFonts w:ascii="Times New Roman" w:hAnsi="Times New Roman" w:cs="Times New Roman"/>
          <w:sz w:val="20"/>
          <w:szCs w:val="20"/>
          <w:lang w:val="en-US"/>
        </w:rPr>
        <w:t>Robustness</w:t>
      </w:r>
    </w:p>
    <w:p w14:paraId="02D84801" w14:textId="3E4EFA7F" w:rsidR="001B586C" w:rsidRDefault="001B586C">
      <w:pPr>
        <w:ind w:left="357" w:hanging="35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00759188" w14:textId="662356E5" w:rsidR="0080709E" w:rsidRPr="001F63DD" w:rsidRDefault="00BC5596" w:rsidP="00326951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63DD">
        <w:rPr>
          <w:rFonts w:ascii="Times New Roman" w:hAnsi="Times New Roman" w:cs="Times New Roman"/>
          <w:sz w:val="20"/>
          <w:szCs w:val="20"/>
          <w:lang w:val="en-US"/>
        </w:rPr>
        <w:lastRenderedPageBreak/>
        <w:t>CONCLUSIONS</w:t>
      </w:r>
    </w:p>
    <w:p w14:paraId="74C98919" w14:textId="77777777" w:rsidR="0080709E" w:rsidRPr="001F63DD" w:rsidRDefault="0080709E">
      <w:pPr>
        <w:ind w:left="357" w:hanging="357"/>
        <w:rPr>
          <w:rFonts w:ascii="Times New Roman" w:hAnsi="Times New Roman" w:cs="Times New Roman"/>
          <w:sz w:val="20"/>
          <w:szCs w:val="20"/>
          <w:lang w:val="en-US"/>
        </w:rPr>
      </w:pPr>
      <w:r w:rsidRPr="001F63DD"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3E79021F" w14:textId="040AB2CC" w:rsidR="00BC5596" w:rsidRPr="001F63DD" w:rsidRDefault="00BC5596" w:rsidP="00326951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63DD">
        <w:rPr>
          <w:rFonts w:ascii="Times New Roman" w:hAnsi="Times New Roman" w:cs="Times New Roman"/>
          <w:sz w:val="20"/>
          <w:szCs w:val="20"/>
          <w:lang w:val="en-US"/>
        </w:rPr>
        <w:lastRenderedPageBreak/>
        <w:t>BIBLIOGRAPHY</w:t>
      </w:r>
    </w:p>
    <w:p w14:paraId="3E4E719C" w14:textId="77777777" w:rsidR="00F05579" w:rsidRPr="00F05579" w:rsidRDefault="00F05579" w:rsidP="00F05579">
      <w:pPr>
        <w:jc w:val="both"/>
        <w:rPr>
          <w:rFonts w:ascii="Times New Roman" w:hAnsi="Times New Roman" w:cs="Times New Roman"/>
          <w:lang w:val="en-US"/>
        </w:rPr>
      </w:pPr>
      <w:r w:rsidRPr="00F05579">
        <w:rPr>
          <w:rFonts w:ascii="Times New Roman" w:hAnsi="Times New Roman" w:cs="Times New Roman"/>
        </w:rPr>
        <w:t>Al-</w:t>
      </w:r>
      <w:proofErr w:type="spellStart"/>
      <w:r w:rsidRPr="00F05579">
        <w:rPr>
          <w:rFonts w:ascii="Times New Roman" w:hAnsi="Times New Roman" w:cs="Times New Roman"/>
        </w:rPr>
        <w:t>Homaidi</w:t>
      </w:r>
      <w:proofErr w:type="spellEnd"/>
      <w:r w:rsidRPr="00F05579">
        <w:rPr>
          <w:rFonts w:ascii="Times New Roman" w:hAnsi="Times New Roman" w:cs="Times New Roman"/>
        </w:rPr>
        <w:t xml:space="preserve">, E. A., </w:t>
      </w:r>
      <w:proofErr w:type="spellStart"/>
      <w:r w:rsidRPr="00F05579">
        <w:rPr>
          <w:rFonts w:ascii="Times New Roman" w:hAnsi="Times New Roman" w:cs="Times New Roman"/>
        </w:rPr>
        <w:t>Tabash</w:t>
      </w:r>
      <w:proofErr w:type="spellEnd"/>
      <w:r w:rsidRPr="00F05579">
        <w:rPr>
          <w:rFonts w:ascii="Times New Roman" w:hAnsi="Times New Roman" w:cs="Times New Roman"/>
        </w:rPr>
        <w:t xml:space="preserve">, M. I., </w:t>
      </w:r>
      <w:proofErr w:type="spellStart"/>
      <w:r w:rsidRPr="00F05579">
        <w:rPr>
          <w:rFonts w:ascii="Times New Roman" w:hAnsi="Times New Roman" w:cs="Times New Roman"/>
        </w:rPr>
        <w:t>Farhan</w:t>
      </w:r>
      <w:proofErr w:type="spellEnd"/>
      <w:r w:rsidRPr="00F05579">
        <w:rPr>
          <w:rFonts w:ascii="Times New Roman" w:hAnsi="Times New Roman" w:cs="Times New Roman"/>
        </w:rPr>
        <w:t xml:space="preserve">, N. H. S., &amp; </w:t>
      </w:r>
      <w:proofErr w:type="spellStart"/>
      <w:r w:rsidRPr="00F05579">
        <w:rPr>
          <w:rFonts w:ascii="Times New Roman" w:hAnsi="Times New Roman" w:cs="Times New Roman"/>
        </w:rPr>
        <w:t>Almaqtari</w:t>
      </w:r>
      <w:proofErr w:type="spellEnd"/>
      <w:r w:rsidRPr="00F05579">
        <w:rPr>
          <w:rFonts w:ascii="Times New Roman" w:hAnsi="Times New Roman" w:cs="Times New Roman"/>
        </w:rPr>
        <w:t>, F. A. (2018). Bank-</w:t>
      </w:r>
      <w:proofErr w:type="spellStart"/>
      <w:r w:rsidRPr="00F05579">
        <w:rPr>
          <w:rFonts w:ascii="Times New Roman" w:hAnsi="Times New Roman" w:cs="Times New Roman"/>
        </w:rPr>
        <w:t>specific</w:t>
      </w:r>
      <w:proofErr w:type="spellEnd"/>
      <w:r w:rsidRPr="00F05579">
        <w:rPr>
          <w:rFonts w:ascii="Times New Roman" w:hAnsi="Times New Roman" w:cs="Times New Roman"/>
        </w:rPr>
        <w:t xml:space="preserve"> and </w:t>
      </w:r>
      <w:proofErr w:type="spellStart"/>
      <w:r w:rsidRPr="00F05579">
        <w:rPr>
          <w:rFonts w:ascii="Times New Roman" w:hAnsi="Times New Roman" w:cs="Times New Roman"/>
        </w:rPr>
        <w:t>macro-economic</w:t>
      </w:r>
      <w:proofErr w:type="spellEnd"/>
      <w:r w:rsidRPr="00F05579">
        <w:rPr>
          <w:rFonts w:ascii="Times New Roman" w:hAnsi="Times New Roman" w:cs="Times New Roman"/>
        </w:rPr>
        <w:t xml:space="preserve"> </w:t>
      </w:r>
      <w:proofErr w:type="spellStart"/>
      <w:r w:rsidRPr="00F05579">
        <w:rPr>
          <w:rFonts w:ascii="Times New Roman" w:hAnsi="Times New Roman" w:cs="Times New Roman"/>
        </w:rPr>
        <w:t>determinants</w:t>
      </w:r>
      <w:proofErr w:type="spellEnd"/>
      <w:r w:rsidRPr="00F05579">
        <w:rPr>
          <w:rFonts w:ascii="Times New Roman" w:hAnsi="Times New Roman" w:cs="Times New Roman"/>
        </w:rPr>
        <w:t xml:space="preserve"> </w:t>
      </w:r>
      <w:proofErr w:type="spellStart"/>
      <w:r w:rsidRPr="00F05579">
        <w:rPr>
          <w:rFonts w:ascii="Times New Roman" w:hAnsi="Times New Roman" w:cs="Times New Roman"/>
        </w:rPr>
        <w:t>of</w:t>
      </w:r>
      <w:proofErr w:type="spellEnd"/>
      <w:r w:rsidRPr="00F05579">
        <w:rPr>
          <w:rFonts w:ascii="Times New Roman" w:hAnsi="Times New Roman" w:cs="Times New Roman"/>
        </w:rPr>
        <w:t xml:space="preserve"> </w:t>
      </w:r>
      <w:proofErr w:type="spellStart"/>
      <w:r w:rsidRPr="00F05579">
        <w:rPr>
          <w:rFonts w:ascii="Times New Roman" w:hAnsi="Times New Roman" w:cs="Times New Roman"/>
        </w:rPr>
        <w:t>profitability</w:t>
      </w:r>
      <w:proofErr w:type="spellEnd"/>
      <w:r w:rsidRPr="00F05579">
        <w:rPr>
          <w:rFonts w:ascii="Times New Roman" w:hAnsi="Times New Roman" w:cs="Times New Roman"/>
        </w:rPr>
        <w:t xml:space="preserve"> </w:t>
      </w:r>
      <w:proofErr w:type="spellStart"/>
      <w:r w:rsidRPr="00F05579">
        <w:rPr>
          <w:rFonts w:ascii="Times New Roman" w:hAnsi="Times New Roman" w:cs="Times New Roman"/>
        </w:rPr>
        <w:t>of</w:t>
      </w:r>
      <w:proofErr w:type="spellEnd"/>
      <w:r w:rsidRPr="00F05579">
        <w:rPr>
          <w:rFonts w:ascii="Times New Roman" w:hAnsi="Times New Roman" w:cs="Times New Roman"/>
        </w:rPr>
        <w:t xml:space="preserve"> </w:t>
      </w:r>
      <w:proofErr w:type="spellStart"/>
      <w:r w:rsidRPr="00F05579">
        <w:rPr>
          <w:rFonts w:ascii="Times New Roman" w:hAnsi="Times New Roman" w:cs="Times New Roman"/>
        </w:rPr>
        <w:t>Indian</w:t>
      </w:r>
      <w:proofErr w:type="spellEnd"/>
      <w:r w:rsidRPr="00F05579">
        <w:rPr>
          <w:rFonts w:ascii="Times New Roman" w:hAnsi="Times New Roman" w:cs="Times New Roman"/>
        </w:rPr>
        <w:t xml:space="preserve"> </w:t>
      </w:r>
      <w:proofErr w:type="spellStart"/>
      <w:r w:rsidRPr="00F05579">
        <w:rPr>
          <w:rFonts w:ascii="Times New Roman" w:hAnsi="Times New Roman" w:cs="Times New Roman"/>
        </w:rPr>
        <w:t>commercial</w:t>
      </w:r>
      <w:proofErr w:type="spellEnd"/>
      <w:r w:rsidRPr="00F05579">
        <w:rPr>
          <w:rFonts w:ascii="Times New Roman" w:hAnsi="Times New Roman" w:cs="Times New Roman"/>
        </w:rPr>
        <w:t xml:space="preserve"> </w:t>
      </w:r>
      <w:proofErr w:type="spellStart"/>
      <w:r w:rsidRPr="00F05579">
        <w:rPr>
          <w:rFonts w:ascii="Times New Roman" w:hAnsi="Times New Roman" w:cs="Times New Roman"/>
        </w:rPr>
        <w:t>banks</w:t>
      </w:r>
      <w:proofErr w:type="spellEnd"/>
      <w:r w:rsidRPr="00F05579">
        <w:rPr>
          <w:rFonts w:ascii="Times New Roman" w:hAnsi="Times New Roman" w:cs="Times New Roman"/>
        </w:rPr>
        <w:t xml:space="preserve">: A panel data </w:t>
      </w:r>
      <w:proofErr w:type="spellStart"/>
      <w:r w:rsidRPr="00F05579">
        <w:rPr>
          <w:rFonts w:ascii="Times New Roman" w:hAnsi="Times New Roman" w:cs="Times New Roman"/>
        </w:rPr>
        <w:t>approach</w:t>
      </w:r>
      <w:proofErr w:type="spellEnd"/>
      <w:r w:rsidRPr="00F05579">
        <w:rPr>
          <w:rFonts w:ascii="Times New Roman" w:hAnsi="Times New Roman" w:cs="Times New Roman"/>
        </w:rPr>
        <w:t>. </w:t>
      </w:r>
      <w:proofErr w:type="spellStart"/>
      <w:r w:rsidRPr="00F05579">
        <w:rPr>
          <w:rFonts w:ascii="Times New Roman" w:hAnsi="Times New Roman" w:cs="Times New Roman"/>
          <w:i/>
          <w:iCs/>
        </w:rPr>
        <w:t>Cogent</w:t>
      </w:r>
      <w:proofErr w:type="spellEnd"/>
      <w:r w:rsidRPr="00F0557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05579">
        <w:rPr>
          <w:rFonts w:ascii="Times New Roman" w:hAnsi="Times New Roman" w:cs="Times New Roman"/>
          <w:i/>
          <w:iCs/>
        </w:rPr>
        <w:t>Economics</w:t>
      </w:r>
      <w:proofErr w:type="spellEnd"/>
      <w:r w:rsidRPr="00F05579">
        <w:rPr>
          <w:rFonts w:ascii="Times New Roman" w:hAnsi="Times New Roman" w:cs="Times New Roman"/>
          <w:i/>
          <w:iCs/>
        </w:rPr>
        <w:t xml:space="preserve"> &amp; </w:t>
      </w:r>
      <w:proofErr w:type="spellStart"/>
      <w:r w:rsidRPr="00F05579">
        <w:rPr>
          <w:rFonts w:ascii="Times New Roman" w:hAnsi="Times New Roman" w:cs="Times New Roman"/>
          <w:i/>
          <w:iCs/>
        </w:rPr>
        <w:t>Finance</w:t>
      </w:r>
      <w:proofErr w:type="spellEnd"/>
      <w:r w:rsidRPr="00F05579">
        <w:rPr>
          <w:rFonts w:ascii="Times New Roman" w:hAnsi="Times New Roman" w:cs="Times New Roman"/>
        </w:rPr>
        <w:t>, </w:t>
      </w:r>
      <w:r w:rsidRPr="00F05579">
        <w:rPr>
          <w:rFonts w:ascii="Times New Roman" w:hAnsi="Times New Roman" w:cs="Times New Roman"/>
          <w:i/>
          <w:iCs/>
        </w:rPr>
        <w:t>6</w:t>
      </w:r>
      <w:r w:rsidRPr="00F05579">
        <w:rPr>
          <w:rFonts w:ascii="Times New Roman" w:hAnsi="Times New Roman" w:cs="Times New Roman"/>
        </w:rPr>
        <w:t>(1). https://doi.org/10.1080/23322039.2018.1548072</w:t>
      </w:r>
    </w:p>
    <w:p w14:paraId="67157C4D" w14:textId="77777777" w:rsidR="00F05579" w:rsidRDefault="00F05579" w:rsidP="00153AD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480C6629" w14:textId="09038517" w:rsidR="0080709E" w:rsidRPr="001F63DD" w:rsidRDefault="0080709E" w:rsidP="00153AD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1F63DD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Hancock, D. (1985). Bank Profitability, Interest Rates, and Monetary Policy. </w:t>
      </w:r>
      <w:r w:rsidRPr="001F63DD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Journal of Money, Credit and Banking</w:t>
      </w:r>
      <w:r w:rsidRPr="001F63DD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, </w:t>
      </w:r>
      <w:r w:rsidRPr="001F63DD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17</w:t>
      </w:r>
      <w:r w:rsidRPr="001F63DD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(2), 189–202. </w:t>
      </w:r>
      <w:hyperlink r:id="rId14" w:history="1">
        <w:r w:rsidR="00C61EEA" w:rsidRPr="001F63DD">
          <w:rPr>
            <w:rStyle w:val="Hipervnculo"/>
            <w:rFonts w:ascii="Times New Roman" w:eastAsia="Times New Roman" w:hAnsi="Times New Roman" w:cs="Times New Roman"/>
            <w:kern w:val="0"/>
            <w:lang w:val="en-US" w:eastAsia="es-MX"/>
            <w14:ligatures w14:val="none"/>
          </w:rPr>
          <w:t>https://doi.org/10.2307/1992333</w:t>
        </w:r>
      </w:hyperlink>
      <w:r w:rsidR="00C61EEA" w:rsidRPr="001F63DD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</w:p>
    <w:p w14:paraId="18FD4FCC" w14:textId="77777777" w:rsidR="00153AD1" w:rsidRPr="001F63DD" w:rsidRDefault="00153AD1" w:rsidP="00153AD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46FFF29F" w14:textId="24B17CC5" w:rsidR="00BC5596" w:rsidRPr="001F63DD" w:rsidRDefault="00BC5596" w:rsidP="00BC5596">
      <w:pPr>
        <w:jc w:val="both"/>
        <w:rPr>
          <w:rFonts w:ascii="Times New Roman" w:hAnsi="Times New Roman" w:cs="Times New Roman"/>
          <w:lang w:val="en-US"/>
        </w:rPr>
      </w:pPr>
      <w:r w:rsidRPr="001F63DD">
        <w:rPr>
          <w:rFonts w:ascii="Times New Roman" w:hAnsi="Times New Roman" w:cs="Times New Roman"/>
          <w:lang w:val="en-US"/>
        </w:rPr>
        <w:t xml:space="preserve">Morales Castro, José Antonio, &amp; Espinosa Jiménez, Patricia Margarita. (2024). Variables </w:t>
      </w:r>
      <w:proofErr w:type="spellStart"/>
      <w:r w:rsidRPr="001F63DD">
        <w:rPr>
          <w:rFonts w:ascii="Times New Roman" w:hAnsi="Times New Roman" w:cs="Times New Roman"/>
          <w:lang w:val="en-US"/>
        </w:rPr>
        <w:t>económicas</w:t>
      </w:r>
      <w:proofErr w:type="spellEnd"/>
      <w:r w:rsidRPr="001F63DD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1F63DD">
        <w:rPr>
          <w:rFonts w:ascii="Times New Roman" w:hAnsi="Times New Roman" w:cs="Times New Roman"/>
          <w:lang w:val="en-US"/>
        </w:rPr>
        <w:t>rentabilidad</w:t>
      </w:r>
      <w:proofErr w:type="spellEnd"/>
      <w:r w:rsidRPr="001F63D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1F63DD">
        <w:rPr>
          <w:rFonts w:ascii="Times New Roman" w:hAnsi="Times New Roman" w:cs="Times New Roman"/>
          <w:lang w:val="en-US"/>
        </w:rPr>
        <w:t>los</w:t>
      </w:r>
      <w:proofErr w:type="spellEnd"/>
      <w:r w:rsidRPr="001F63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63DD">
        <w:rPr>
          <w:rFonts w:ascii="Times New Roman" w:hAnsi="Times New Roman" w:cs="Times New Roman"/>
          <w:lang w:val="en-US"/>
        </w:rPr>
        <w:t>bancos</w:t>
      </w:r>
      <w:proofErr w:type="spellEnd"/>
      <w:r w:rsidRPr="001F63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63DD">
        <w:rPr>
          <w:rFonts w:ascii="Times New Roman" w:hAnsi="Times New Roman" w:cs="Times New Roman"/>
          <w:lang w:val="en-US"/>
        </w:rPr>
        <w:t>en</w:t>
      </w:r>
      <w:proofErr w:type="spellEnd"/>
      <w:r w:rsidRPr="001F63DD">
        <w:rPr>
          <w:rFonts w:ascii="Times New Roman" w:hAnsi="Times New Roman" w:cs="Times New Roman"/>
          <w:lang w:val="en-US"/>
        </w:rPr>
        <w:t xml:space="preserve"> México: </w:t>
      </w:r>
      <w:proofErr w:type="spellStart"/>
      <w:r w:rsidRPr="001F63DD">
        <w:rPr>
          <w:rFonts w:ascii="Times New Roman" w:hAnsi="Times New Roman" w:cs="Times New Roman"/>
          <w:lang w:val="en-US"/>
        </w:rPr>
        <w:t>periodo</w:t>
      </w:r>
      <w:proofErr w:type="spellEnd"/>
      <w:r w:rsidRPr="001F63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63DD">
        <w:rPr>
          <w:rFonts w:ascii="Times New Roman" w:hAnsi="Times New Roman" w:cs="Times New Roman"/>
          <w:lang w:val="en-US"/>
        </w:rPr>
        <w:t>previo</w:t>
      </w:r>
      <w:proofErr w:type="spellEnd"/>
      <w:r w:rsidRPr="001F63DD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1F63DD">
        <w:rPr>
          <w:rFonts w:ascii="Times New Roman" w:hAnsi="Times New Roman" w:cs="Times New Roman"/>
          <w:lang w:val="en-US"/>
        </w:rPr>
        <w:t>durante</w:t>
      </w:r>
      <w:proofErr w:type="spellEnd"/>
      <w:r w:rsidRPr="001F63DD">
        <w:rPr>
          <w:rFonts w:ascii="Times New Roman" w:hAnsi="Times New Roman" w:cs="Times New Roman"/>
          <w:lang w:val="en-US"/>
        </w:rPr>
        <w:t xml:space="preserve"> COVID-19. </w:t>
      </w:r>
      <w:proofErr w:type="spellStart"/>
      <w:r w:rsidRPr="001F63DD">
        <w:rPr>
          <w:rFonts w:ascii="Times New Roman" w:hAnsi="Times New Roman" w:cs="Times New Roman"/>
          <w:i/>
          <w:iCs/>
          <w:lang w:val="en-US"/>
        </w:rPr>
        <w:t>Análisis</w:t>
      </w:r>
      <w:proofErr w:type="spellEnd"/>
      <w:r w:rsidRPr="001F63D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F63DD">
        <w:rPr>
          <w:rFonts w:ascii="Times New Roman" w:hAnsi="Times New Roman" w:cs="Times New Roman"/>
          <w:i/>
          <w:iCs/>
          <w:lang w:val="en-US"/>
        </w:rPr>
        <w:t>económico</w:t>
      </w:r>
      <w:proofErr w:type="spellEnd"/>
      <w:r w:rsidRPr="001F63DD">
        <w:rPr>
          <w:rFonts w:ascii="Times New Roman" w:hAnsi="Times New Roman" w:cs="Times New Roman"/>
          <w:lang w:val="en-US"/>
        </w:rPr>
        <w:t>, </w:t>
      </w:r>
      <w:r w:rsidRPr="001F63DD">
        <w:rPr>
          <w:rFonts w:ascii="Times New Roman" w:hAnsi="Times New Roman" w:cs="Times New Roman"/>
          <w:i/>
          <w:iCs/>
          <w:lang w:val="en-US"/>
        </w:rPr>
        <w:t>39</w:t>
      </w:r>
      <w:r w:rsidRPr="001F63DD">
        <w:rPr>
          <w:rFonts w:ascii="Times New Roman" w:hAnsi="Times New Roman" w:cs="Times New Roman"/>
          <w:lang w:val="en-US"/>
        </w:rPr>
        <w:t>(100), 99-118.</w:t>
      </w:r>
      <w:hyperlink r:id="rId15" w:history="1">
        <w:r w:rsidRPr="001F63DD">
          <w:rPr>
            <w:rStyle w:val="Hipervnculo"/>
            <w:rFonts w:ascii="Times New Roman" w:hAnsi="Times New Roman" w:cs="Times New Roman"/>
            <w:lang w:val="en-US"/>
          </w:rPr>
          <w:t>https://doi.org/10.24275/uam/azc/dcsh/ae/2024v39n100/morales</w:t>
        </w:r>
      </w:hyperlink>
    </w:p>
    <w:sectPr w:rsidR="00BC5596" w:rsidRPr="001F6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70417" w14:textId="77777777" w:rsidR="001122AD" w:rsidRDefault="001122AD" w:rsidP="00FC232A">
      <w:pPr>
        <w:spacing w:after="0" w:line="240" w:lineRule="auto"/>
      </w:pPr>
      <w:r>
        <w:separator/>
      </w:r>
    </w:p>
  </w:endnote>
  <w:endnote w:type="continuationSeparator" w:id="0">
    <w:p w14:paraId="547CCA76" w14:textId="77777777" w:rsidR="001122AD" w:rsidRDefault="001122AD" w:rsidP="00FC2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B7D5F" w14:textId="77777777" w:rsidR="001122AD" w:rsidRDefault="001122AD" w:rsidP="00FC232A">
      <w:pPr>
        <w:spacing w:after="0" w:line="240" w:lineRule="auto"/>
      </w:pPr>
      <w:r>
        <w:separator/>
      </w:r>
    </w:p>
  </w:footnote>
  <w:footnote w:type="continuationSeparator" w:id="0">
    <w:p w14:paraId="1F806610" w14:textId="77777777" w:rsidR="001122AD" w:rsidRDefault="001122AD" w:rsidP="00FC232A">
      <w:pPr>
        <w:spacing w:after="0" w:line="240" w:lineRule="auto"/>
      </w:pPr>
      <w:r>
        <w:continuationSeparator/>
      </w:r>
    </w:p>
  </w:footnote>
  <w:footnote w:id="1">
    <w:p w14:paraId="0AACC3F5" w14:textId="1EB16ABC" w:rsidR="00D3070C" w:rsidRPr="00D3070C" w:rsidRDefault="00D3070C">
      <w:pPr>
        <w:pStyle w:val="Textonotapie"/>
        <w:rPr>
          <w:lang w:val="en-US"/>
        </w:rPr>
      </w:pPr>
      <w:r>
        <w:rPr>
          <w:rStyle w:val="Refdenotaalpie"/>
        </w:rPr>
        <w:footnoteRef/>
      </w:r>
      <w:r>
        <w:t xml:space="preserve"> </w:t>
      </w:r>
      <w:r w:rsidR="00BA2A20" w:rsidRPr="00BA2A20">
        <w:t xml:space="preserve">General </w:t>
      </w:r>
      <w:proofErr w:type="spellStart"/>
      <w:r w:rsidR="00BA2A20" w:rsidRPr="00BA2A20">
        <w:t>Provisions</w:t>
      </w:r>
      <w:proofErr w:type="spellEnd"/>
      <w:r w:rsidR="00BA2A20" w:rsidRPr="00BA2A20">
        <w:t xml:space="preserve"> </w:t>
      </w:r>
      <w:proofErr w:type="spellStart"/>
      <w:r w:rsidR="00BA2A20" w:rsidRPr="00BA2A20">
        <w:t>Applicable</w:t>
      </w:r>
      <w:proofErr w:type="spellEnd"/>
      <w:r w:rsidR="00BA2A20" w:rsidRPr="00BA2A20">
        <w:t xml:space="preserve"> </w:t>
      </w:r>
      <w:proofErr w:type="spellStart"/>
      <w:r w:rsidR="00BA2A20" w:rsidRPr="00BA2A20">
        <w:t>to</w:t>
      </w:r>
      <w:proofErr w:type="spellEnd"/>
      <w:r w:rsidR="00BA2A20" w:rsidRPr="00BA2A20">
        <w:t xml:space="preserve"> </w:t>
      </w:r>
      <w:proofErr w:type="spellStart"/>
      <w:r w:rsidR="00BA2A20" w:rsidRPr="00BA2A20">
        <w:t>Credit</w:t>
      </w:r>
      <w:proofErr w:type="spellEnd"/>
      <w:r w:rsidR="00BA2A20" w:rsidRPr="00BA2A20">
        <w:t xml:space="preserve"> </w:t>
      </w:r>
      <w:proofErr w:type="spellStart"/>
      <w:r w:rsidR="00BA2A20" w:rsidRPr="00BA2A20">
        <w:t>Institutions</w:t>
      </w:r>
      <w:proofErr w:type="spellEnd"/>
      <w:r w:rsidR="00CA0049">
        <w:t xml:space="preserve">, </w:t>
      </w:r>
      <w:r w:rsidR="005B195F">
        <w:t xml:space="preserve">Articule 110, Bis define </w:t>
      </w:r>
      <w:proofErr w:type="spellStart"/>
      <w:r w:rsidR="00697CDB" w:rsidRPr="00697CDB">
        <w:t>Stage</w:t>
      </w:r>
      <w:proofErr w:type="spellEnd"/>
      <w:r w:rsidR="00697CDB" w:rsidRPr="00697CDB">
        <w:t xml:space="preserve"> 3 </w:t>
      </w:r>
      <w:proofErr w:type="spellStart"/>
      <w:r w:rsidR="005B195F">
        <w:t>C</w:t>
      </w:r>
      <w:r w:rsidR="00697CDB" w:rsidRPr="00697CDB">
        <w:t>redit</w:t>
      </w:r>
      <w:proofErr w:type="spellEnd"/>
      <w:r w:rsidR="00697CDB" w:rsidRPr="00697CDB">
        <w:t xml:space="preserve"> </w:t>
      </w:r>
      <w:proofErr w:type="spellStart"/>
      <w:r w:rsidR="005B195F">
        <w:t>R</w:t>
      </w:r>
      <w:r w:rsidR="00697CDB" w:rsidRPr="00697CDB">
        <w:t>isk</w:t>
      </w:r>
      <w:proofErr w:type="spellEnd"/>
      <w:r w:rsidR="00697CDB" w:rsidRPr="00697CDB">
        <w:t xml:space="preserve"> </w:t>
      </w:r>
      <w:r w:rsidR="005B195F">
        <w:t>as</w:t>
      </w:r>
      <w:r w:rsidR="00697CDB" w:rsidRPr="00697CDB">
        <w:t xml:space="preserve"> </w:t>
      </w:r>
      <w:proofErr w:type="spellStart"/>
      <w:r w:rsidR="00697CDB" w:rsidRPr="00697CDB">
        <w:t>loans</w:t>
      </w:r>
      <w:proofErr w:type="spellEnd"/>
      <w:r w:rsidR="00697CDB" w:rsidRPr="00697CDB">
        <w:t xml:space="preserve"> </w:t>
      </w:r>
      <w:proofErr w:type="spellStart"/>
      <w:r w:rsidR="00697CDB" w:rsidRPr="00697CDB">
        <w:t>considered</w:t>
      </w:r>
      <w:proofErr w:type="spellEnd"/>
      <w:r w:rsidR="00697CDB" w:rsidRPr="00697CDB">
        <w:t xml:space="preserve"> </w:t>
      </w:r>
      <w:proofErr w:type="spellStart"/>
      <w:r w:rsidR="00697CDB" w:rsidRPr="00697CDB">
        <w:t>impaired</w:t>
      </w:r>
      <w:proofErr w:type="spellEnd"/>
      <w:r w:rsidR="00697CDB" w:rsidRPr="00697CDB">
        <w:t xml:space="preserve">, </w:t>
      </w:r>
      <w:proofErr w:type="spellStart"/>
      <w:r w:rsidR="00697CDB" w:rsidRPr="00697CDB">
        <w:t>with</w:t>
      </w:r>
      <w:proofErr w:type="spellEnd"/>
      <w:r w:rsidR="00697CDB" w:rsidRPr="00697CDB">
        <w:t xml:space="preserve"> </w:t>
      </w:r>
      <w:proofErr w:type="spellStart"/>
      <w:r w:rsidR="00697CDB" w:rsidRPr="00697CDB">
        <w:t>significant</w:t>
      </w:r>
      <w:proofErr w:type="spellEnd"/>
      <w:r w:rsidR="00697CDB" w:rsidRPr="00697CDB">
        <w:t xml:space="preserve"> </w:t>
      </w:r>
      <w:proofErr w:type="spellStart"/>
      <w:r w:rsidR="00697CDB" w:rsidRPr="00697CDB">
        <w:t>credit</w:t>
      </w:r>
      <w:proofErr w:type="spellEnd"/>
      <w:r w:rsidR="00697CDB" w:rsidRPr="00697CDB">
        <w:t xml:space="preserve"> </w:t>
      </w:r>
      <w:proofErr w:type="spellStart"/>
      <w:r w:rsidR="00697CDB" w:rsidRPr="00697CDB">
        <w:t>deterioration</w:t>
      </w:r>
      <w:proofErr w:type="spellEnd"/>
      <w:r w:rsidR="000A74C6">
        <w:t xml:space="preserve"> </w:t>
      </w:r>
      <w:proofErr w:type="spellStart"/>
      <w:r w:rsidR="000A74C6">
        <w:t>or</w:t>
      </w:r>
      <w:proofErr w:type="spellEnd"/>
      <w:r w:rsidR="000A74C6">
        <w:t xml:space="preserve"> 9</w:t>
      </w:r>
      <w:r w:rsidR="00697CDB" w:rsidRPr="00697CDB">
        <w:t xml:space="preserve">0 </w:t>
      </w:r>
      <w:proofErr w:type="spellStart"/>
      <w:r w:rsidR="00697CDB" w:rsidRPr="00697CDB">
        <w:t>days</w:t>
      </w:r>
      <w:proofErr w:type="spellEnd"/>
      <w:r w:rsidR="002D4A0E">
        <w:t xml:space="preserve"> </w:t>
      </w:r>
      <w:proofErr w:type="spellStart"/>
      <w:r w:rsidR="002D4A0E">
        <w:t>or</w:t>
      </w:r>
      <w:proofErr w:type="spellEnd"/>
      <w:r w:rsidR="002D4A0E">
        <w:t xml:space="preserve"> more</w:t>
      </w:r>
      <w:r w:rsidR="00697CDB" w:rsidRPr="00697CDB">
        <w:t xml:space="preserve"> </w:t>
      </w:r>
      <w:proofErr w:type="spellStart"/>
      <w:r w:rsidR="00697CDB" w:rsidRPr="00697CDB">
        <w:t>past</w:t>
      </w:r>
      <w:proofErr w:type="spellEnd"/>
      <w:r w:rsidR="00697CDB" w:rsidRPr="00697CDB">
        <w:t xml:space="preserve"> </w:t>
      </w:r>
      <w:proofErr w:type="spellStart"/>
      <w:r w:rsidR="00697CDB" w:rsidRPr="00697CDB">
        <w:t>due</w:t>
      </w:r>
      <w:proofErr w:type="spellEnd"/>
      <w:r w:rsidR="00CA0049">
        <w:t xml:space="preserve"> (CNBV, 2025).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3F29"/>
    <w:multiLevelType w:val="hybridMultilevel"/>
    <w:tmpl w:val="B2001746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45873"/>
    <w:multiLevelType w:val="hybridMultilevel"/>
    <w:tmpl w:val="12B28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82FCB"/>
    <w:multiLevelType w:val="hybridMultilevel"/>
    <w:tmpl w:val="7CBA4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63D44"/>
    <w:multiLevelType w:val="hybridMultilevel"/>
    <w:tmpl w:val="126C2852"/>
    <w:lvl w:ilvl="0" w:tplc="BDBC62EC">
      <w:start w:val="1"/>
      <w:numFmt w:val="bullet"/>
      <w:lvlRestart w:val="0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63509"/>
    <w:multiLevelType w:val="hybridMultilevel"/>
    <w:tmpl w:val="98A2FFF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A5E7D"/>
    <w:multiLevelType w:val="hybridMultilevel"/>
    <w:tmpl w:val="4EF0C8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26EA"/>
    <w:multiLevelType w:val="hybridMultilevel"/>
    <w:tmpl w:val="33FA5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41662"/>
    <w:multiLevelType w:val="hybridMultilevel"/>
    <w:tmpl w:val="A8E28F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81720"/>
    <w:multiLevelType w:val="hybridMultilevel"/>
    <w:tmpl w:val="F4DC3792"/>
    <w:lvl w:ilvl="0" w:tplc="6BE00E8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F54B8"/>
    <w:multiLevelType w:val="hybridMultilevel"/>
    <w:tmpl w:val="B916001A"/>
    <w:lvl w:ilvl="0" w:tplc="BDBC62EC">
      <w:start w:val="1"/>
      <w:numFmt w:val="bullet"/>
      <w:lvlRestart w:val="0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4797B"/>
    <w:multiLevelType w:val="hybridMultilevel"/>
    <w:tmpl w:val="58D0A55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A07146"/>
    <w:multiLevelType w:val="hybridMultilevel"/>
    <w:tmpl w:val="BEA2C7EA"/>
    <w:lvl w:ilvl="0" w:tplc="BDBC62EC">
      <w:start w:val="1"/>
      <w:numFmt w:val="bullet"/>
      <w:lvlRestart w:val="0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049AC"/>
    <w:multiLevelType w:val="hybridMultilevel"/>
    <w:tmpl w:val="FE1AB12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C0A75"/>
    <w:multiLevelType w:val="hybridMultilevel"/>
    <w:tmpl w:val="B16AC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C53B1"/>
    <w:multiLevelType w:val="hybridMultilevel"/>
    <w:tmpl w:val="C804E3C4"/>
    <w:lvl w:ilvl="0" w:tplc="BDBC62EC">
      <w:start w:val="1"/>
      <w:numFmt w:val="bullet"/>
      <w:lvlRestart w:val="0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60721"/>
    <w:multiLevelType w:val="hybridMultilevel"/>
    <w:tmpl w:val="65165C5E"/>
    <w:lvl w:ilvl="0" w:tplc="04E8A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40B05"/>
    <w:multiLevelType w:val="hybridMultilevel"/>
    <w:tmpl w:val="D00015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B7236"/>
    <w:multiLevelType w:val="hybridMultilevel"/>
    <w:tmpl w:val="B70A6CC8"/>
    <w:lvl w:ilvl="0" w:tplc="080A001B">
      <w:start w:val="1"/>
      <w:numFmt w:val="low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6E6343"/>
    <w:multiLevelType w:val="hybridMultilevel"/>
    <w:tmpl w:val="7DFEF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E0B21"/>
    <w:multiLevelType w:val="hybridMultilevel"/>
    <w:tmpl w:val="86E44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792084"/>
    <w:multiLevelType w:val="hybridMultilevel"/>
    <w:tmpl w:val="34A63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172D7"/>
    <w:multiLevelType w:val="hybridMultilevel"/>
    <w:tmpl w:val="DD1E66FC"/>
    <w:lvl w:ilvl="0" w:tplc="BDBC62EC">
      <w:start w:val="1"/>
      <w:numFmt w:val="bullet"/>
      <w:lvlRestart w:val="0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37A6B"/>
    <w:multiLevelType w:val="hybridMultilevel"/>
    <w:tmpl w:val="37422A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AD7183"/>
    <w:multiLevelType w:val="hybridMultilevel"/>
    <w:tmpl w:val="E6ACD5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41FD9"/>
    <w:multiLevelType w:val="hybridMultilevel"/>
    <w:tmpl w:val="119A7DBC"/>
    <w:lvl w:ilvl="0" w:tplc="BDBC62EC">
      <w:start w:val="1"/>
      <w:numFmt w:val="bullet"/>
      <w:lvlRestart w:val="0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A5077"/>
    <w:multiLevelType w:val="hybridMultilevel"/>
    <w:tmpl w:val="32185164"/>
    <w:lvl w:ilvl="0" w:tplc="BDBC62EC">
      <w:start w:val="1"/>
      <w:numFmt w:val="bullet"/>
      <w:lvlRestart w:val="0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2A2BF4"/>
    <w:multiLevelType w:val="hybridMultilevel"/>
    <w:tmpl w:val="372050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A069EF"/>
    <w:multiLevelType w:val="hybridMultilevel"/>
    <w:tmpl w:val="7F4AB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D8381E"/>
    <w:multiLevelType w:val="hybridMultilevel"/>
    <w:tmpl w:val="DDD4CC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007D7F"/>
    <w:multiLevelType w:val="hybridMultilevel"/>
    <w:tmpl w:val="A3D00F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5F0BE7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B6681"/>
    <w:multiLevelType w:val="hybridMultilevel"/>
    <w:tmpl w:val="640A2F4A"/>
    <w:lvl w:ilvl="0" w:tplc="4750299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8759CC"/>
    <w:multiLevelType w:val="hybridMultilevel"/>
    <w:tmpl w:val="7D80FB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9B0206"/>
    <w:multiLevelType w:val="hybridMultilevel"/>
    <w:tmpl w:val="E1E482C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96E3D70"/>
    <w:multiLevelType w:val="hybridMultilevel"/>
    <w:tmpl w:val="366AE092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AD465DB"/>
    <w:multiLevelType w:val="hybridMultilevel"/>
    <w:tmpl w:val="7F6CB9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AC0111"/>
    <w:multiLevelType w:val="hybridMultilevel"/>
    <w:tmpl w:val="0EE49D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376FB0"/>
    <w:multiLevelType w:val="hybridMultilevel"/>
    <w:tmpl w:val="214E1A6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603DB8"/>
    <w:multiLevelType w:val="hybridMultilevel"/>
    <w:tmpl w:val="B0C62E22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07959FC"/>
    <w:multiLevelType w:val="hybridMultilevel"/>
    <w:tmpl w:val="D4600FA8"/>
    <w:lvl w:ilvl="0" w:tplc="BDBC62EC">
      <w:start w:val="1"/>
      <w:numFmt w:val="bullet"/>
      <w:lvlRestart w:val="0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22D2E9E"/>
    <w:multiLevelType w:val="hybridMultilevel"/>
    <w:tmpl w:val="624C5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16700E"/>
    <w:multiLevelType w:val="hybridMultilevel"/>
    <w:tmpl w:val="4D2E663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2736B"/>
    <w:multiLevelType w:val="hybridMultilevel"/>
    <w:tmpl w:val="2CD2D1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9C002E"/>
    <w:multiLevelType w:val="hybridMultilevel"/>
    <w:tmpl w:val="0C6010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470F9"/>
    <w:multiLevelType w:val="hybridMultilevel"/>
    <w:tmpl w:val="7EBA40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D204A0"/>
    <w:multiLevelType w:val="hybridMultilevel"/>
    <w:tmpl w:val="34502E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A117C"/>
    <w:multiLevelType w:val="hybridMultilevel"/>
    <w:tmpl w:val="D1F6523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5069067">
    <w:abstractNumId w:val="22"/>
  </w:num>
  <w:num w:numId="2" w16cid:durableId="1709454278">
    <w:abstractNumId w:val="19"/>
  </w:num>
  <w:num w:numId="3" w16cid:durableId="900139045">
    <w:abstractNumId w:val="45"/>
  </w:num>
  <w:num w:numId="4" w16cid:durableId="790713168">
    <w:abstractNumId w:val="32"/>
  </w:num>
  <w:num w:numId="5" w16cid:durableId="1358462353">
    <w:abstractNumId w:val="37"/>
  </w:num>
  <w:num w:numId="6" w16cid:durableId="833380382">
    <w:abstractNumId w:val="33"/>
  </w:num>
  <w:num w:numId="7" w16cid:durableId="606616032">
    <w:abstractNumId w:val="0"/>
  </w:num>
  <w:num w:numId="8" w16cid:durableId="300691992">
    <w:abstractNumId w:val="10"/>
  </w:num>
  <w:num w:numId="9" w16cid:durableId="523177517">
    <w:abstractNumId w:val="35"/>
  </w:num>
  <w:num w:numId="10" w16cid:durableId="386924886">
    <w:abstractNumId w:val="7"/>
  </w:num>
  <w:num w:numId="11" w16cid:durableId="1633822323">
    <w:abstractNumId w:val="41"/>
  </w:num>
  <w:num w:numId="12" w16cid:durableId="440221481">
    <w:abstractNumId w:val="1"/>
  </w:num>
  <w:num w:numId="13" w16cid:durableId="1032220953">
    <w:abstractNumId w:val="2"/>
  </w:num>
  <w:num w:numId="14" w16cid:durableId="1047493004">
    <w:abstractNumId w:val="43"/>
  </w:num>
  <w:num w:numId="15" w16cid:durableId="1822381664">
    <w:abstractNumId w:val="39"/>
  </w:num>
  <w:num w:numId="16" w16cid:durableId="53696522">
    <w:abstractNumId w:val="16"/>
  </w:num>
  <w:num w:numId="17" w16cid:durableId="1517845701">
    <w:abstractNumId w:val="27"/>
  </w:num>
  <w:num w:numId="18" w16cid:durableId="722292409">
    <w:abstractNumId w:val="13"/>
  </w:num>
  <w:num w:numId="19" w16cid:durableId="241334407">
    <w:abstractNumId w:val="18"/>
  </w:num>
  <w:num w:numId="20" w16cid:durableId="1317419659">
    <w:abstractNumId w:val="26"/>
  </w:num>
  <w:num w:numId="21" w16cid:durableId="1470051258">
    <w:abstractNumId w:val="4"/>
  </w:num>
  <w:num w:numId="22" w16cid:durableId="1184247962">
    <w:abstractNumId w:val="36"/>
  </w:num>
  <w:num w:numId="23" w16cid:durableId="1850213327">
    <w:abstractNumId w:val="6"/>
  </w:num>
  <w:num w:numId="24" w16cid:durableId="1883442071">
    <w:abstractNumId w:val="29"/>
  </w:num>
  <w:num w:numId="25" w16cid:durableId="1445736677">
    <w:abstractNumId w:val="44"/>
  </w:num>
  <w:num w:numId="26" w16cid:durableId="1178277179">
    <w:abstractNumId w:val="34"/>
  </w:num>
  <w:num w:numId="27" w16cid:durableId="1457456149">
    <w:abstractNumId w:val="20"/>
  </w:num>
  <w:num w:numId="28" w16cid:durableId="1140536519">
    <w:abstractNumId w:val="23"/>
  </w:num>
  <w:num w:numId="29" w16cid:durableId="1763256867">
    <w:abstractNumId w:val="5"/>
  </w:num>
  <w:num w:numId="30" w16cid:durableId="1577547657">
    <w:abstractNumId w:val="28"/>
  </w:num>
  <w:num w:numId="31" w16cid:durableId="1371419220">
    <w:abstractNumId w:val="12"/>
  </w:num>
  <w:num w:numId="32" w16cid:durableId="1323389190">
    <w:abstractNumId w:val="24"/>
  </w:num>
  <w:num w:numId="33" w16cid:durableId="2074228950">
    <w:abstractNumId w:val="3"/>
  </w:num>
  <w:num w:numId="34" w16cid:durableId="211432191">
    <w:abstractNumId w:val="9"/>
  </w:num>
  <w:num w:numId="35" w16cid:durableId="844899602">
    <w:abstractNumId w:val="11"/>
  </w:num>
  <w:num w:numId="36" w16cid:durableId="857081535">
    <w:abstractNumId w:val="25"/>
  </w:num>
  <w:num w:numId="37" w16cid:durableId="2026713702">
    <w:abstractNumId w:val="21"/>
  </w:num>
  <w:num w:numId="38" w16cid:durableId="1098478045">
    <w:abstractNumId w:val="14"/>
  </w:num>
  <w:num w:numId="39" w16cid:durableId="353506548">
    <w:abstractNumId w:val="38"/>
  </w:num>
  <w:num w:numId="40" w16cid:durableId="596136790">
    <w:abstractNumId w:val="15"/>
  </w:num>
  <w:num w:numId="41" w16cid:durableId="101151098">
    <w:abstractNumId w:val="17"/>
  </w:num>
  <w:num w:numId="42" w16cid:durableId="1574512885">
    <w:abstractNumId w:val="40"/>
  </w:num>
  <w:num w:numId="43" w16cid:durableId="239995761">
    <w:abstractNumId w:val="8"/>
  </w:num>
  <w:num w:numId="44" w16cid:durableId="2109039513">
    <w:abstractNumId w:val="30"/>
  </w:num>
  <w:num w:numId="45" w16cid:durableId="1720547681">
    <w:abstractNumId w:val="8"/>
  </w:num>
  <w:num w:numId="46" w16cid:durableId="838153814">
    <w:abstractNumId w:val="31"/>
  </w:num>
  <w:num w:numId="47" w16cid:durableId="199991811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3E"/>
    <w:rsid w:val="000003A9"/>
    <w:rsid w:val="00013A7A"/>
    <w:rsid w:val="000170B0"/>
    <w:rsid w:val="00017174"/>
    <w:rsid w:val="00020199"/>
    <w:rsid w:val="000208E0"/>
    <w:rsid w:val="000240AC"/>
    <w:rsid w:val="00025DF0"/>
    <w:rsid w:val="00030C95"/>
    <w:rsid w:val="00034A40"/>
    <w:rsid w:val="00044AA3"/>
    <w:rsid w:val="000470AD"/>
    <w:rsid w:val="00050150"/>
    <w:rsid w:val="00052D77"/>
    <w:rsid w:val="000535A6"/>
    <w:rsid w:val="00053EC5"/>
    <w:rsid w:val="000554DC"/>
    <w:rsid w:val="00055733"/>
    <w:rsid w:val="00057CCA"/>
    <w:rsid w:val="00062235"/>
    <w:rsid w:val="000743B9"/>
    <w:rsid w:val="00074F40"/>
    <w:rsid w:val="0007533B"/>
    <w:rsid w:val="00075E18"/>
    <w:rsid w:val="00083545"/>
    <w:rsid w:val="00083B4C"/>
    <w:rsid w:val="0008772B"/>
    <w:rsid w:val="0009319C"/>
    <w:rsid w:val="000A41B5"/>
    <w:rsid w:val="000A74C6"/>
    <w:rsid w:val="000B0794"/>
    <w:rsid w:val="000B3E2F"/>
    <w:rsid w:val="000B5935"/>
    <w:rsid w:val="000C0540"/>
    <w:rsid w:val="000C382F"/>
    <w:rsid w:val="000C5876"/>
    <w:rsid w:val="000C63D8"/>
    <w:rsid w:val="000C7010"/>
    <w:rsid w:val="000D355E"/>
    <w:rsid w:val="000D4CED"/>
    <w:rsid w:val="000D60CC"/>
    <w:rsid w:val="000D7015"/>
    <w:rsid w:val="000D7B7B"/>
    <w:rsid w:val="000E2E84"/>
    <w:rsid w:val="000E456C"/>
    <w:rsid w:val="000E7EAD"/>
    <w:rsid w:val="000F1301"/>
    <w:rsid w:val="000F48AF"/>
    <w:rsid w:val="0010233F"/>
    <w:rsid w:val="001122AD"/>
    <w:rsid w:val="00114362"/>
    <w:rsid w:val="001143C6"/>
    <w:rsid w:val="00116835"/>
    <w:rsid w:val="00116CE5"/>
    <w:rsid w:val="00120956"/>
    <w:rsid w:val="0012378C"/>
    <w:rsid w:val="00124831"/>
    <w:rsid w:val="00127187"/>
    <w:rsid w:val="00132586"/>
    <w:rsid w:val="0013340D"/>
    <w:rsid w:val="001426A8"/>
    <w:rsid w:val="00145B2A"/>
    <w:rsid w:val="001471D4"/>
    <w:rsid w:val="00151EF9"/>
    <w:rsid w:val="00153AD1"/>
    <w:rsid w:val="0015446E"/>
    <w:rsid w:val="00157718"/>
    <w:rsid w:val="0016021E"/>
    <w:rsid w:val="00166097"/>
    <w:rsid w:val="0016632C"/>
    <w:rsid w:val="001673CE"/>
    <w:rsid w:val="00170853"/>
    <w:rsid w:val="001716E8"/>
    <w:rsid w:val="0017223B"/>
    <w:rsid w:val="00174958"/>
    <w:rsid w:val="001771D8"/>
    <w:rsid w:val="00185E26"/>
    <w:rsid w:val="001875CD"/>
    <w:rsid w:val="00190AFF"/>
    <w:rsid w:val="00191326"/>
    <w:rsid w:val="0019201C"/>
    <w:rsid w:val="001937F6"/>
    <w:rsid w:val="001954C6"/>
    <w:rsid w:val="001A4939"/>
    <w:rsid w:val="001A4D38"/>
    <w:rsid w:val="001A7F3E"/>
    <w:rsid w:val="001B1845"/>
    <w:rsid w:val="001B586C"/>
    <w:rsid w:val="001B5EDC"/>
    <w:rsid w:val="001B6720"/>
    <w:rsid w:val="001C1571"/>
    <w:rsid w:val="001C42A7"/>
    <w:rsid w:val="001C436A"/>
    <w:rsid w:val="001C6CB7"/>
    <w:rsid w:val="001D1178"/>
    <w:rsid w:val="001D2696"/>
    <w:rsid w:val="001D5502"/>
    <w:rsid w:val="001E1C80"/>
    <w:rsid w:val="001E2679"/>
    <w:rsid w:val="001E4C5A"/>
    <w:rsid w:val="001E6C50"/>
    <w:rsid w:val="001F2548"/>
    <w:rsid w:val="001F27ED"/>
    <w:rsid w:val="001F63DD"/>
    <w:rsid w:val="002054C5"/>
    <w:rsid w:val="00207AFE"/>
    <w:rsid w:val="0021157D"/>
    <w:rsid w:val="002140CD"/>
    <w:rsid w:val="00214786"/>
    <w:rsid w:val="00215754"/>
    <w:rsid w:val="0021654D"/>
    <w:rsid w:val="002209AA"/>
    <w:rsid w:val="00221AA3"/>
    <w:rsid w:val="002224E3"/>
    <w:rsid w:val="002257F4"/>
    <w:rsid w:val="00225BBE"/>
    <w:rsid w:val="002307DA"/>
    <w:rsid w:val="00233D08"/>
    <w:rsid w:val="0024007E"/>
    <w:rsid w:val="0024149C"/>
    <w:rsid w:val="00243A43"/>
    <w:rsid w:val="002456F1"/>
    <w:rsid w:val="00253CA8"/>
    <w:rsid w:val="00256222"/>
    <w:rsid w:val="002632A3"/>
    <w:rsid w:val="00264745"/>
    <w:rsid w:val="002678FE"/>
    <w:rsid w:val="00271D06"/>
    <w:rsid w:val="00277E75"/>
    <w:rsid w:val="00281A0D"/>
    <w:rsid w:val="00286F6E"/>
    <w:rsid w:val="00296BC4"/>
    <w:rsid w:val="002A2CBC"/>
    <w:rsid w:val="002A72D5"/>
    <w:rsid w:val="002A7B1C"/>
    <w:rsid w:val="002B2234"/>
    <w:rsid w:val="002B3514"/>
    <w:rsid w:val="002B40F4"/>
    <w:rsid w:val="002B6DFA"/>
    <w:rsid w:val="002B7C31"/>
    <w:rsid w:val="002C592C"/>
    <w:rsid w:val="002C72AA"/>
    <w:rsid w:val="002D1781"/>
    <w:rsid w:val="002D3DC4"/>
    <w:rsid w:val="002D4970"/>
    <w:rsid w:val="002D4A0E"/>
    <w:rsid w:val="002D5C8A"/>
    <w:rsid w:val="002E36B5"/>
    <w:rsid w:val="002E6458"/>
    <w:rsid w:val="002F146F"/>
    <w:rsid w:val="002F43AE"/>
    <w:rsid w:val="00305FD9"/>
    <w:rsid w:val="0031152E"/>
    <w:rsid w:val="0031469D"/>
    <w:rsid w:val="003208DE"/>
    <w:rsid w:val="00320B00"/>
    <w:rsid w:val="00323496"/>
    <w:rsid w:val="00325129"/>
    <w:rsid w:val="003260CD"/>
    <w:rsid w:val="0033622A"/>
    <w:rsid w:val="003373DF"/>
    <w:rsid w:val="003434A8"/>
    <w:rsid w:val="00343732"/>
    <w:rsid w:val="00346F01"/>
    <w:rsid w:val="0035138F"/>
    <w:rsid w:val="00351994"/>
    <w:rsid w:val="00365A36"/>
    <w:rsid w:val="003708D0"/>
    <w:rsid w:val="00370AF0"/>
    <w:rsid w:val="00375946"/>
    <w:rsid w:val="0038121C"/>
    <w:rsid w:val="003854A6"/>
    <w:rsid w:val="00391FD6"/>
    <w:rsid w:val="00396668"/>
    <w:rsid w:val="00396675"/>
    <w:rsid w:val="003A0C04"/>
    <w:rsid w:val="003A1757"/>
    <w:rsid w:val="003A22AB"/>
    <w:rsid w:val="003A3CF8"/>
    <w:rsid w:val="003A6824"/>
    <w:rsid w:val="003A76D7"/>
    <w:rsid w:val="003B434E"/>
    <w:rsid w:val="003C012D"/>
    <w:rsid w:val="003C05EC"/>
    <w:rsid w:val="003C22FF"/>
    <w:rsid w:val="003C4E4F"/>
    <w:rsid w:val="003D095A"/>
    <w:rsid w:val="003D0C05"/>
    <w:rsid w:val="003D2170"/>
    <w:rsid w:val="003D3BB5"/>
    <w:rsid w:val="003D50CC"/>
    <w:rsid w:val="003D5A75"/>
    <w:rsid w:val="003E0456"/>
    <w:rsid w:val="003E0C93"/>
    <w:rsid w:val="003E2C6E"/>
    <w:rsid w:val="003E2DEA"/>
    <w:rsid w:val="003F4738"/>
    <w:rsid w:val="003F58BE"/>
    <w:rsid w:val="004002C3"/>
    <w:rsid w:val="004014BC"/>
    <w:rsid w:val="00407AC2"/>
    <w:rsid w:val="004209D5"/>
    <w:rsid w:val="0042236D"/>
    <w:rsid w:val="004227DC"/>
    <w:rsid w:val="00423C7F"/>
    <w:rsid w:val="0043633D"/>
    <w:rsid w:val="00437726"/>
    <w:rsid w:val="004428E9"/>
    <w:rsid w:val="0044428D"/>
    <w:rsid w:val="0044576E"/>
    <w:rsid w:val="00446964"/>
    <w:rsid w:val="00453076"/>
    <w:rsid w:val="0045603B"/>
    <w:rsid w:val="00456EE6"/>
    <w:rsid w:val="00457DD8"/>
    <w:rsid w:val="00463945"/>
    <w:rsid w:val="00465ED4"/>
    <w:rsid w:val="00467EAD"/>
    <w:rsid w:val="00470E69"/>
    <w:rsid w:val="00474592"/>
    <w:rsid w:val="0047532F"/>
    <w:rsid w:val="00475BA2"/>
    <w:rsid w:val="00475FAF"/>
    <w:rsid w:val="00477750"/>
    <w:rsid w:val="0048398D"/>
    <w:rsid w:val="0048464E"/>
    <w:rsid w:val="00484F8E"/>
    <w:rsid w:val="0048570A"/>
    <w:rsid w:val="00496C8E"/>
    <w:rsid w:val="004A0942"/>
    <w:rsid w:val="004A5819"/>
    <w:rsid w:val="004A67E3"/>
    <w:rsid w:val="004A74AA"/>
    <w:rsid w:val="004B0501"/>
    <w:rsid w:val="004B4651"/>
    <w:rsid w:val="004B5AF1"/>
    <w:rsid w:val="004C08E0"/>
    <w:rsid w:val="004D09D4"/>
    <w:rsid w:val="004D3AE1"/>
    <w:rsid w:val="004D412C"/>
    <w:rsid w:val="004E0471"/>
    <w:rsid w:val="004E1C2F"/>
    <w:rsid w:val="004F48FD"/>
    <w:rsid w:val="004F6F68"/>
    <w:rsid w:val="004F704E"/>
    <w:rsid w:val="004F7CB2"/>
    <w:rsid w:val="005030A0"/>
    <w:rsid w:val="005042ED"/>
    <w:rsid w:val="005123B9"/>
    <w:rsid w:val="00514155"/>
    <w:rsid w:val="00520B10"/>
    <w:rsid w:val="00521171"/>
    <w:rsid w:val="00531BE4"/>
    <w:rsid w:val="00532395"/>
    <w:rsid w:val="00532BBE"/>
    <w:rsid w:val="00535C8E"/>
    <w:rsid w:val="00550A88"/>
    <w:rsid w:val="00550F0A"/>
    <w:rsid w:val="0055189A"/>
    <w:rsid w:val="00554802"/>
    <w:rsid w:val="00556314"/>
    <w:rsid w:val="00561373"/>
    <w:rsid w:val="00561CF4"/>
    <w:rsid w:val="00567759"/>
    <w:rsid w:val="00567EC2"/>
    <w:rsid w:val="005762AF"/>
    <w:rsid w:val="00580673"/>
    <w:rsid w:val="0058210A"/>
    <w:rsid w:val="00582B3D"/>
    <w:rsid w:val="0058579B"/>
    <w:rsid w:val="00590C8F"/>
    <w:rsid w:val="00593511"/>
    <w:rsid w:val="00594866"/>
    <w:rsid w:val="00595709"/>
    <w:rsid w:val="005969D9"/>
    <w:rsid w:val="00596CD9"/>
    <w:rsid w:val="00597CA1"/>
    <w:rsid w:val="005A237F"/>
    <w:rsid w:val="005A451F"/>
    <w:rsid w:val="005B056A"/>
    <w:rsid w:val="005B195F"/>
    <w:rsid w:val="005B5AF6"/>
    <w:rsid w:val="005B7428"/>
    <w:rsid w:val="005B7C04"/>
    <w:rsid w:val="005C7E9D"/>
    <w:rsid w:val="005D1389"/>
    <w:rsid w:val="005D2E29"/>
    <w:rsid w:val="005D359D"/>
    <w:rsid w:val="005D426B"/>
    <w:rsid w:val="005E0851"/>
    <w:rsid w:val="005E091B"/>
    <w:rsid w:val="005E0A3D"/>
    <w:rsid w:val="005E0C51"/>
    <w:rsid w:val="005E3AF0"/>
    <w:rsid w:val="005F43D6"/>
    <w:rsid w:val="005F4C85"/>
    <w:rsid w:val="005F4E8A"/>
    <w:rsid w:val="006001C7"/>
    <w:rsid w:val="00600EAE"/>
    <w:rsid w:val="00611E96"/>
    <w:rsid w:val="00612027"/>
    <w:rsid w:val="006161ED"/>
    <w:rsid w:val="00616256"/>
    <w:rsid w:val="00616351"/>
    <w:rsid w:val="00617657"/>
    <w:rsid w:val="006177FA"/>
    <w:rsid w:val="00623832"/>
    <w:rsid w:val="00624D43"/>
    <w:rsid w:val="006311AA"/>
    <w:rsid w:val="00633C04"/>
    <w:rsid w:val="006412D2"/>
    <w:rsid w:val="006423CD"/>
    <w:rsid w:val="00642754"/>
    <w:rsid w:val="006447FC"/>
    <w:rsid w:val="006507FF"/>
    <w:rsid w:val="00651DA8"/>
    <w:rsid w:val="0065371C"/>
    <w:rsid w:val="006557A1"/>
    <w:rsid w:val="006557C9"/>
    <w:rsid w:val="0065623C"/>
    <w:rsid w:val="00657615"/>
    <w:rsid w:val="00657BF2"/>
    <w:rsid w:val="00661B8B"/>
    <w:rsid w:val="00661D3B"/>
    <w:rsid w:val="00663590"/>
    <w:rsid w:val="006660D1"/>
    <w:rsid w:val="006679C1"/>
    <w:rsid w:val="006826A3"/>
    <w:rsid w:val="00683CAC"/>
    <w:rsid w:val="006840C7"/>
    <w:rsid w:val="00687AEC"/>
    <w:rsid w:val="00694D55"/>
    <w:rsid w:val="00694EAE"/>
    <w:rsid w:val="006955F3"/>
    <w:rsid w:val="00697CDB"/>
    <w:rsid w:val="006A0BAD"/>
    <w:rsid w:val="006A3D53"/>
    <w:rsid w:val="006A556F"/>
    <w:rsid w:val="006B0D37"/>
    <w:rsid w:val="006B1BEA"/>
    <w:rsid w:val="006B30F0"/>
    <w:rsid w:val="006C2DC3"/>
    <w:rsid w:val="006C4B89"/>
    <w:rsid w:val="006C4C43"/>
    <w:rsid w:val="006D1C1D"/>
    <w:rsid w:val="006D33D2"/>
    <w:rsid w:val="006D56A0"/>
    <w:rsid w:val="006D5A5B"/>
    <w:rsid w:val="006D6652"/>
    <w:rsid w:val="006E1983"/>
    <w:rsid w:val="006F02D5"/>
    <w:rsid w:val="006F32EB"/>
    <w:rsid w:val="006F575B"/>
    <w:rsid w:val="006F680D"/>
    <w:rsid w:val="006F6DAB"/>
    <w:rsid w:val="00701A1A"/>
    <w:rsid w:val="00706033"/>
    <w:rsid w:val="007062A8"/>
    <w:rsid w:val="0071243E"/>
    <w:rsid w:val="00714423"/>
    <w:rsid w:val="00725379"/>
    <w:rsid w:val="00736C1F"/>
    <w:rsid w:val="00737E65"/>
    <w:rsid w:val="00744954"/>
    <w:rsid w:val="00747891"/>
    <w:rsid w:val="0075117A"/>
    <w:rsid w:val="0075165E"/>
    <w:rsid w:val="00753612"/>
    <w:rsid w:val="00753F00"/>
    <w:rsid w:val="007553E6"/>
    <w:rsid w:val="00755D49"/>
    <w:rsid w:val="007571BC"/>
    <w:rsid w:val="0076019A"/>
    <w:rsid w:val="00761EE1"/>
    <w:rsid w:val="00764051"/>
    <w:rsid w:val="0076479D"/>
    <w:rsid w:val="00766521"/>
    <w:rsid w:val="007817FD"/>
    <w:rsid w:val="00782271"/>
    <w:rsid w:val="00782B14"/>
    <w:rsid w:val="00784000"/>
    <w:rsid w:val="00786B13"/>
    <w:rsid w:val="0078783C"/>
    <w:rsid w:val="00787CD2"/>
    <w:rsid w:val="00787DBD"/>
    <w:rsid w:val="00791872"/>
    <w:rsid w:val="00795E56"/>
    <w:rsid w:val="007A059A"/>
    <w:rsid w:val="007A1FE1"/>
    <w:rsid w:val="007A4B71"/>
    <w:rsid w:val="007A63CF"/>
    <w:rsid w:val="007A77C6"/>
    <w:rsid w:val="007B04CC"/>
    <w:rsid w:val="007B22DA"/>
    <w:rsid w:val="007B3060"/>
    <w:rsid w:val="007B32C6"/>
    <w:rsid w:val="007B60F7"/>
    <w:rsid w:val="007C1C4C"/>
    <w:rsid w:val="007C2C9E"/>
    <w:rsid w:val="007D1B61"/>
    <w:rsid w:val="007D4B74"/>
    <w:rsid w:val="007D5F8B"/>
    <w:rsid w:val="007D63BF"/>
    <w:rsid w:val="007E47D5"/>
    <w:rsid w:val="007E4F57"/>
    <w:rsid w:val="007E5128"/>
    <w:rsid w:val="007F33C3"/>
    <w:rsid w:val="007F4099"/>
    <w:rsid w:val="007F487B"/>
    <w:rsid w:val="007F6A36"/>
    <w:rsid w:val="00803579"/>
    <w:rsid w:val="00804BC5"/>
    <w:rsid w:val="00806A11"/>
    <w:rsid w:val="0080709E"/>
    <w:rsid w:val="008227C1"/>
    <w:rsid w:val="00825174"/>
    <w:rsid w:val="00827656"/>
    <w:rsid w:val="00841496"/>
    <w:rsid w:val="00850826"/>
    <w:rsid w:val="00851D19"/>
    <w:rsid w:val="00855319"/>
    <w:rsid w:val="00860627"/>
    <w:rsid w:val="008617F4"/>
    <w:rsid w:val="00864C72"/>
    <w:rsid w:val="00876D3E"/>
    <w:rsid w:val="00877B61"/>
    <w:rsid w:val="00886681"/>
    <w:rsid w:val="00890190"/>
    <w:rsid w:val="0089313D"/>
    <w:rsid w:val="0089331F"/>
    <w:rsid w:val="0089394B"/>
    <w:rsid w:val="008A30FD"/>
    <w:rsid w:val="008A4C3F"/>
    <w:rsid w:val="008B0B83"/>
    <w:rsid w:val="008B228B"/>
    <w:rsid w:val="008B407D"/>
    <w:rsid w:val="008B41B1"/>
    <w:rsid w:val="008C3413"/>
    <w:rsid w:val="008C42D5"/>
    <w:rsid w:val="008C67F2"/>
    <w:rsid w:val="008D27F2"/>
    <w:rsid w:val="008D347D"/>
    <w:rsid w:val="008E2EBC"/>
    <w:rsid w:val="008E399B"/>
    <w:rsid w:val="008E5ABB"/>
    <w:rsid w:val="008E7C84"/>
    <w:rsid w:val="008F0699"/>
    <w:rsid w:val="008F7799"/>
    <w:rsid w:val="008F7E36"/>
    <w:rsid w:val="009010EA"/>
    <w:rsid w:val="00901D51"/>
    <w:rsid w:val="009101B7"/>
    <w:rsid w:val="00910641"/>
    <w:rsid w:val="00910F94"/>
    <w:rsid w:val="0091242A"/>
    <w:rsid w:val="009165EA"/>
    <w:rsid w:val="00917324"/>
    <w:rsid w:val="00921CC4"/>
    <w:rsid w:val="00924B94"/>
    <w:rsid w:val="00933BCC"/>
    <w:rsid w:val="0093532A"/>
    <w:rsid w:val="00941555"/>
    <w:rsid w:val="00954858"/>
    <w:rsid w:val="00955B16"/>
    <w:rsid w:val="00956644"/>
    <w:rsid w:val="009623F8"/>
    <w:rsid w:val="00964DBC"/>
    <w:rsid w:val="009715EA"/>
    <w:rsid w:val="00972375"/>
    <w:rsid w:val="00973239"/>
    <w:rsid w:val="009732AA"/>
    <w:rsid w:val="00974C0E"/>
    <w:rsid w:val="00976CE2"/>
    <w:rsid w:val="00980359"/>
    <w:rsid w:val="00982746"/>
    <w:rsid w:val="00982D3F"/>
    <w:rsid w:val="00996309"/>
    <w:rsid w:val="009A007E"/>
    <w:rsid w:val="009A0ABD"/>
    <w:rsid w:val="009A0CF4"/>
    <w:rsid w:val="009A16D0"/>
    <w:rsid w:val="009A3447"/>
    <w:rsid w:val="009A448F"/>
    <w:rsid w:val="009A776A"/>
    <w:rsid w:val="009A7E33"/>
    <w:rsid w:val="009C1B49"/>
    <w:rsid w:val="009C4A99"/>
    <w:rsid w:val="009C5098"/>
    <w:rsid w:val="009C56A7"/>
    <w:rsid w:val="009C67A7"/>
    <w:rsid w:val="009D1FD8"/>
    <w:rsid w:val="009D3DED"/>
    <w:rsid w:val="009D6F9E"/>
    <w:rsid w:val="009E2F7C"/>
    <w:rsid w:val="009E345D"/>
    <w:rsid w:val="009F1EFB"/>
    <w:rsid w:val="009F395D"/>
    <w:rsid w:val="009F645A"/>
    <w:rsid w:val="009F762F"/>
    <w:rsid w:val="009F7EB9"/>
    <w:rsid w:val="00A0073D"/>
    <w:rsid w:val="00A02664"/>
    <w:rsid w:val="00A02BE4"/>
    <w:rsid w:val="00A07ECF"/>
    <w:rsid w:val="00A103F7"/>
    <w:rsid w:val="00A1430E"/>
    <w:rsid w:val="00A16682"/>
    <w:rsid w:val="00A17CCF"/>
    <w:rsid w:val="00A22080"/>
    <w:rsid w:val="00A227BA"/>
    <w:rsid w:val="00A23686"/>
    <w:rsid w:val="00A30339"/>
    <w:rsid w:val="00A31BC3"/>
    <w:rsid w:val="00A36373"/>
    <w:rsid w:val="00A364DD"/>
    <w:rsid w:val="00A37694"/>
    <w:rsid w:val="00A379DE"/>
    <w:rsid w:val="00A402A8"/>
    <w:rsid w:val="00A41D59"/>
    <w:rsid w:val="00A41F5C"/>
    <w:rsid w:val="00A47F26"/>
    <w:rsid w:val="00A52075"/>
    <w:rsid w:val="00A5349A"/>
    <w:rsid w:val="00A60A89"/>
    <w:rsid w:val="00A60F2F"/>
    <w:rsid w:val="00A6249C"/>
    <w:rsid w:val="00A66712"/>
    <w:rsid w:val="00A705DC"/>
    <w:rsid w:val="00A70F8C"/>
    <w:rsid w:val="00A71255"/>
    <w:rsid w:val="00A72317"/>
    <w:rsid w:val="00A756FA"/>
    <w:rsid w:val="00A77B20"/>
    <w:rsid w:val="00A8098C"/>
    <w:rsid w:val="00A82AC4"/>
    <w:rsid w:val="00A85AC5"/>
    <w:rsid w:val="00A965FA"/>
    <w:rsid w:val="00A9761A"/>
    <w:rsid w:val="00AA2871"/>
    <w:rsid w:val="00AA3E89"/>
    <w:rsid w:val="00AB0582"/>
    <w:rsid w:val="00AB4C12"/>
    <w:rsid w:val="00AC02CA"/>
    <w:rsid w:val="00AC7C82"/>
    <w:rsid w:val="00AD1332"/>
    <w:rsid w:val="00AD676C"/>
    <w:rsid w:val="00AE0C97"/>
    <w:rsid w:val="00AE650D"/>
    <w:rsid w:val="00AE7DB8"/>
    <w:rsid w:val="00AF0BC7"/>
    <w:rsid w:val="00AF5D47"/>
    <w:rsid w:val="00B04F3B"/>
    <w:rsid w:val="00B07D96"/>
    <w:rsid w:val="00B16288"/>
    <w:rsid w:val="00B2065D"/>
    <w:rsid w:val="00B2251D"/>
    <w:rsid w:val="00B25919"/>
    <w:rsid w:val="00B27873"/>
    <w:rsid w:val="00B27FE6"/>
    <w:rsid w:val="00B30A66"/>
    <w:rsid w:val="00B31112"/>
    <w:rsid w:val="00B32CF6"/>
    <w:rsid w:val="00B40519"/>
    <w:rsid w:val="00B44ABC"/>
    <w:rsid w:val="00B5544F"/>
    <w:rsid w:val="00B557C2"/>
    <w:rsid w:val="00B56C0F"/>
    <w:rsid w:val="00B5786C"/>
    <w:rsid w:val="00B602B9"/>
    <w:rsid w:val="00B6065B"/>
    <w:rsid w:val="00B611B4"/>
    <w:rsid w:val="00B71C29"/>
    <w:rsid w:val="00B723C7"/>
    <w:rsid w:val="00B77F62"/>
    <w:rsid w:val="00B814EC"/>
    <w:rsid w:val="00B818D3"/>
    <w:rsid w:val="00B82BFC"/>
    <w:rsid w:val="00B8658B"/>
    <w:rsid w:val="00B920A7"/>
    <w:rsid w:val="00B9297B"/>
    <w:rsid w:val="00B92CED"/>
    <w:rsid w:val="00BA26A9"/>
    <w:rsid w:val="00BA2A20"/>
    <w:rsid w:val="00BA2D87"/>
    <w:rsid w:val="00BB1FDB"/>
    <w:rsid w:val="00BB54E9"/>
    <w:rsid w:val="00BB7AEE"/>
    <w:rsid w:val="00BC2600"/>
    <w:rsid w:val="00BC2D5D"/>
    <w:rsid w:val="00BC5596"/>
    <w:rsid w:val="00BC6C1E"/>
    <w:rsid w:val="00BD0E87"/>
    <w:rsid w:val="00BD366A"/>
    <w:rsid w:val="00BD4B0A"/>
    <w:rsid w:val="00BD5678"/>
    <w:rsid w:val="00BD70F0"/>
    <w:rsid w:val="00BD7F3C"/>
    <w:rsid w:val="00BE3676"/>
    <w:rsid w:val="00BE78E4"/>
    <w:rsid w:val="00BF612C"/>
    <w:rsid w:val="00C10686"/>
    <w:rsid w:val="00C11659"/>
    <w:rsid w:val="00C14736"/>
    <w:rsid w:val="00C15DF8"/>
    <w:rsid w:val="00C176C6"/>
    <w:rsid w:val="00C207F5"/>
    <w:rsid w:val="00C215B8"/>
    <w:rsid w:val="00C2402E"/>
    <w:rsid w:val="00C335DB"/>
    <w:rsid w:val="00C337B6"/>
    <w:rsid w:val="00C41EB2"/>
    <w:rsid w:val="00C43A56"/>
    <w:rsid w:val="00C44966"/>
    <w:rsid w:val="00C4798C"/>
    <w:rsid w:val="00C47D83"/>
    <w:rsid w:val="00C50855"/>
    <w:rsid w:val="00C51A64"/>
    <w:rsid w:val="00C534A2"/>
    <w:rsid w:val="00C5497B"/>
    <w:rsid w:val="00C54C24"/>
    <w:rsid w:val="00C61EEA"/>
    <w:rsid w:val="00C72714"/>
    <w:rsid w:val="00C7315E"/>
    <w:rsid w:val="00C73CCF"/>
    <w:rsid w:val="00C769E4"/>
    <w:rsid w:val="00C77389"/>
    <w:rsid w:val="00C81BD0"/>
    <w:rsid w:val="00C82063"/>
    <w:rsid w:val="00C8661E"/>
    <w:rsid w:val="00C90E11"/>
    <w:rsid w:val="00C93F73"/>
    <w:rsid w:val="00C9633D"/>
    <w:rsid w:val="00CA0049"/>
    <w:rsid w:val="00CA276E"/>
    <w:rsid w:val="00CA4203"/>
    <w:rsid w:val="00CA59F3"/>
    <w:rsid w:val="00CA6C9F"/>
    <w:rsid w:val="00CA7BF7"/>
    <w:rsid w:val="00CB3F86"/>
    <w:rsid w:val="00CB5327"/>
    <w:rsid w:val="00CB5E06"/>
    <w:rsid w:val="00CC10FE"/>
    <w:rsid w:val="00CC19AC"/>
    <w:rsid w:val="00CC1A47"/>
    <w:rsid w:val="00CC45F0"/>
    <w:rsid w:val="00CC70DA"/>
    <w:rsid w:val="00CD4ECC"/>
    <w:rsid w:val="00CE0E2D"/>
    <w:rsid w:val="00CE2F0B"/>
    <w:rsid w:val="00CE3561"/>
    <w:rsid w:val="00CE412D"/>
    <w:rsid w:val="00CE66F2"/>
    <w:rsid w:val="00CF5CB1"/>
    <w:rsid w:val="00CF644A"/>
    <w:rsid w:val="00CF6C13"/>
    <w:rsid w:val="00D01762"/>
    <w:rsid w:val="00D01D71"/>
    <w:rsid w:val="00D06E18"/>
    <w:rsid w:val="00D0754E"/>
    <w:rsid w:val="00D079EE"/>
    <w:rsid w:val="00D10228"/>
    <w:rsid w:val="00D1404C"/>
    <w:rsid w:val="00D16579"/>
    <w:rsid w:val="00D2155A"/>
    <w:rsid w:val="00D21B79"/>
    <w:rsid w:val="00D21C33"/>
    <w:rsid w:val="00D25C84"/>
    <w:rsid w:val="00D26349"/>
    <w:rsid w:val="00D3070C"/>
    <w:rsid w:val="00D3077F"/>
    <w:rsid w:val="00D31179"/>
    <w:rsid w:val="00D35141"/>
    <w:rsid w:val="00D358B5"/>
    <w:rsid w:val="00D365C6"/>
    <w:rsid w:val="00D3746A"/>
    <w:rsid w:val="00D40490"/>
    <w:rsid w:val="00D42101"/>
    <w:rsid w:val="00D46ED2"/>
    <w:rsid w:val="00D504E1"/>
    <w:rsid w:val="00D52FB5"/>
    <w:rsid w:val="00D61035"/>
    <w:rsid w:val="00D618C4"/>
    <w:rsid w:val="00D65307"/>
    <w:rsid w:val="00D7105A"/>
    <w:rsid w:val="00D72D54"/>
    <w:rsid w:val="00D730D7"/>
    <w:rsid w:val="00D7413A"/>
    <w:rsid w:val="00D75E9B"/>
    <w:rsid w:val="00D82F8C"/>
    <w:rsid w:val="00D843B4"/>
    <w:rsid w:val="00D847E5"/>
    <w:rsid w:val="00D85A40"/>
    <w:rsid w:val="00D94047"/>
    <w:rsid w:val="00D96611"/>
    <w:rsid w:val="00DA01B5"/>
    <w:rsid w:val="00DA3F1E"/>
    <w:rsid w:val="00DA6DAC"/>
    <w:rsid w:val="00DA7AF4"/>
    <w:rsid w:val="00DB0BEC"/>
    <w:rsid w:val="00DB19D7"/>
    <w:rsid w:val="00DB4C7B"/>
    <w:rsid w:val="00DB65AA"/>
    <w:rsid w:val="00DB6B74"/>
    <w:rsid w:val="00DC0029"/>
    <w:rsid w:val="00DC0277"/>
    <w:rsid w:val="00DC09F7"/>
    <w:rsid w:val="00DC17A0"/>
    <w:rsid w:val="00DC5E57"/>
    <w:rsid w:val="00DD0834"/>
    <w:rsid w:val="00DD12FE"/>
    <w:rsid w:val="00DD17D7"/>
    <w:rsid w:val="00DD3DDD"/>
    <w:rsid w:val="00DD3ECA"/>
    <w:rsid w:val="00DD3F4D"/>
    <w:rsid w:val="00DD627A"/>
    <w:rsid w:val="00DD6E8C"/>
    <w:rsid w:val="00DD7B62"/>
    <w:rsid w:val="00DE032B"/>
    <w:rsid w:val="00DE2A9A"/>
    <w:rsid w:val="00DE3661"/>
    <w:rsid w:val="00DE3A3D"/>
    <w:rsid w:val="00DE7AA0"/>
    <w:rsid w:val="00DF09A1"/>
    <w:rsid w:val="00E03AAF"/>
    <w:rsid w:val="00E054BF"/>
    <w:rsid w:val="00E105E0"/>
    <w:rsid w:val="00E1539D"/>
    <w:rsid w:val="00E22067"/>
    <w:rsid w:val="00E26AEA"/>
    <w:rsid w:val="00E304E7"/>
    <w:rsid w:val="00E32D18"/>
    <w:rsid w:val="00E3352C"/>
    <w:rsid w:val="00E337F5"/>
    <w:rsid w:val="00E45638"/>
    <w:rsid w:val="00E46868"/>
    <w:rsid w:val="00E55C29"/>
    <w:rsid w:val="00E57180"/>
    <w:rsid w:val="00E61A19"/>
    <w:rsid w:val="00E653EC"/>
    <w:rsid w:val="00E67F6B"/>
    <w:rsid w:val="00E726A5"/>
    <w:rsid w:val="00E7417D"/>
    <w:rsid w:val="00E74DFD"/>
    <w:rsid w:val="00E75D6F"/>
    <w:rsid w:val="00E815E7"/>
    <w:rsid w:val="00E87065"/>
    <w:rsid w:val="00E94C49"/>
    <w:rsid w:val="00E9506F"/>
    <w:rsid w:val="00E950B2"/>
    <w:rsid w:val="00E976C3"/>
    <w:rsid w:val="00EA0A8D"/>
    <w:rsid w:val="00EA1EE0"/>
    <w:rsid w:val="00EB2D3F"/>
    <w:rsid w:val="00EB6013"/>
    <w:rsid w:val="00EB6B65"/>
    <w:rsid w:val="00EB73EF"/>
    <w:rsid w:val="00EB7B66"/>
    <w:rsid w:val="00EC4BD0"/>
    <w:rsid w:val="00EC6D57"/>
    <w:rsid w:val="00EC7CF5"/>
    <w:rsid w:val="00ED6392"/>
    <w:rsid w:val="00EE21DF"/>
    <w:rsid w:val="00EE76BB"/>
    <w:rsid w:val="00EF1373"/>
    <w:rsid w:val="00EF2E7D"/>
    <w:rsid w:val="00EF4867"/>
    <w:rsid w:val="00EF6444"/>
    <w:rsid w:val="00EF7A1C"/>
    <w:rsid w:val="00F02EBC"/>
    <w:rsid w:val="00F054E6"/>
    <w:rsid w:val="00F05579"/>
    <w:rsid w:val="00F05B1B"/>
    <w:rsid w:val="00F05E47"/>
    <w:rsid w:val="00F119F0"/>
    <w:rsid w:val="00F12842"/>
    <w:rsid w:val="00F13B49"/>
    <w:rsid w:val="00F142AE"/>
    <w:rsid w:val="00F163D0"/>
    <w:rsid w:val="00F23771"/>
    <w:rsid w:val="00F3093F"/>
    <w:rsid w:val="00F334EF"/>
    <w:rsid w:val="00F33731"/>
    <w:rsid w:val="00F34EDD"/>
    <w:rsid w:val="00F41142"/>
    <w:rsid w:val="00F45DDB"/>
    <w:rsid w:val="00F51B7F"/>
    <w:rsid w:val="00F5591A"/>
    <w:rsid w:val="00F602D1"/>
    <w:rsid w:val="00F629C6"/>
    <w:rsid w:val="00F63526"/>
    <w:rsid w:val="00F726D0"/>
    <w:rsid w:val="00F72A21"/>
    <w:rsid w:val="00F758FE"/>
    <w:rsid w:val="00F7595E"/>
    <w:rsid w:val="00F8545F"/>
    <w:rsid w:val="00F86DD2"/>
    <w:rsid w:val="00F86E01"/>
    <w:rsid w:val="00F90817"/>
    <w:rsid w:val="00F92BC2"/>
    <w:rsid w:val="00F93B90"/>
    <w:rsid w:val="00F941DF"/>
    <w:rsid w:val="00F94BDD"/>
    <w:rsid w:val="00F950FD"/>
    <w:rsid w:val="00F95401"/>
    <w:rsid w:val="00F96B5B"/>
    <w:rsid w:val="00F979E4"/>
    <w:rsid w:val="00FA0810"/>
    <w:rsid w:val="00FB2A4C"/>
    <w:rsid w:val="00FB41FD"/>
    <w:rsid w:val="00FC193C"/>
    <w:rsid w:val="00FC20DF"/>
    <w:rsid w:val="00FC22E7"/>
    <w:rsid w:val="00FC232A"/>
    <w:rsid w:val="00FC5C5A"/>
    <w:rsid w:val="00FC68C2"/>
    <w:rsid w:val="00FC784F"/>
    <w:rsid w:val="00FD098A"/>
    <w:rsid w:val="00FD2065"/>
    <w:rsid w:val="00FD34B6"/>
    <w:rsid w:val="00FD48A5"/>
    <w:rsid w:val="00FE10F0"/>
    <w:rsid w:val="00FE119F"/>
    <w:rsid w:val="00FE37EE"/>
    <w:rsid w:val="00FF4535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43C2"/>
  <w15:chartTrackingRefBased/>
  <w15:docId w15:val="{2158B32D-C8AA-49BB-80B2-72E58E16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05A"/>
    <w:pPr>
      <w:ind w:left="0" w:firstLine="0"/>
    </w:pPr>
  </w:style>
  <w:style w:type="paragraph" w:styleId="Ttulo1">
    <w:name w:val="heading 1"/>
    <w:basedOn w:val="Normal"/>
    <w:next w:val="Normal"/>
    <w:link w:val="Ttulo1Car"/>
    <w:uiPriority w:val="9"/>
    <w:qFormat/>
    <w:rsid w:val="00463945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6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3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B54E9"/>
    <w:pPr>
      <w:ind w:left="720"/>
      <w:contextualSpacing/>
    </w:pPr>
  </w:style>
  <w:style w:type="paragraph" w:customStyle="1" w:styleId="Subtitulo">
    <w:name w:val="Subtitulo"/>
    <w:basedOn w:val="Ttulo2"/>
    <w:next w:val="Normal"/>
    <w:link w:val="SubtituloCar"/>
    <w:qFormat/>
    <w:rsid w:val="00FE10F0"/>
    <w:pPr>
      <w:jc w:val="center"/>
    </w:pPr>
    <w:rPr>
      <w:b/>
      <w:bCs/>
      <w:color w:val="FF0000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B7AEE"/>
  </w:style>
  <w:style w:type="character" w:customStyle="1" w:styleId="SubtituloCar">
    <w:name w:val="Subtitulo Car"/>
    <w:basedOn w:val="PrrafodelistaCar"/>
    <w:link w:val="Subtitulo"/>
    <w:rsid w:val="00FE10F0"/>
    <w:rPr>
      <w:rFonts w:asciiTheme="majorHAnsi" w:eastAsiaTheme="majorEastAsia" w:hAnsiTheme="majorHAnsi" w:cstheme="majorBidi"/>
      <w:b/>
      <w:bCs/>
      <w:color w:val="FF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63945"/>
    <w:rPr>
      <w:rFonts w:eastAsiaTheme="majorEastAsia" w:cstheme="majorBidi"/>
      <w:b/>
      <w:color w:val="2F5496" w:themeColor="accent1" w:themeShade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83C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F6C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entario">
    <w:name w:val="Comentario"/>
    <w:basedOn w:val="Normal"/>
    <w:link w:val="ComentarioCar"/>
    <w:qFormat/>
    <w:rsid w:val="00BA26A9"/>
    <w:pPr>
      <w:spacing w:after="0"/>
      <w:contextualSpacing/>
    </w:pPr>
    <w:rPr>
      <w:color w:val="00B050"/>
    </w:rPr>
  </w:style>
  <w:style w:type="character" w:customStyle="1" w:styleId="ComentarioCar">
    <w:name w:val="Comentario Car"/>
    <w:basedOn w:val="Fuentedeprrafopredeter"/>
    <w:link w:val="Comentario"/>
    <w:rsid w:val="00BA26A9"/>
    <w:rPr>
      <w:color w:val="00B05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4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4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4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4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4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4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43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124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4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43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6B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6BC4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23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232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C232A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0B0794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B5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86C"/>
  </w:style>
  <w:style w:type="paragraph" w:styleId="Piedepgina">
    <w:name w:val="footer"/>
    <w:basedOn w:val="Normal"/>
    <w:link w:val="PiedepginaCar"/>
    <w:uiPriority w:val="99"/>
    <w:unhideWhenUsed/>
    <w:rsid w:val="001B5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lo.org.mx/scielo.php?script=sci_arttext&amp;pid=S1870-66222015000100097" TargetMode="Externa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stor.org/stable/pdf/20857201.pdf?refreqid=fastly-default%3Af80d850b0655ccc17abc72d07fbe7e45&amp;ab_segments=&amp;initiator=recommender&amp;acceptTC=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lo.org.mx/scielo.php?pid=S0301-70362010000200007&amp;script=sci_artte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24275/uam/azc/dcsh/ae/2024v39n100/morales" TargetMode="External"/><Relationship Id="rId10" Type="http://schemas.openxmlformats.org/officeDocument/2006/relationships/hyperlink" Target="https://www.scielo.org.mx/scielo.php?script=sci_arttext&amp;pid=S2448-665520240001000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trimestreeconomico.com.mx/index.php/te/article/view/481/521" TargetMode="External"/><Relationship Id="rId14" Type="http://schemas.openxmlformats.org/officeDocument/2006/relationships/hyperlink" Target="https://doi.org/10.2307/199233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B7C01-6748-4DFD-8F02-E7FCA7CBE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5419</TotalTime>
  <Pages>13</Pages>
  <Words>2071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Ditter Santillan Herrera</dc:creator>
  <cp:keywords/>
  <dc:description/>
  <cp:lastModifiedBy>Ditter Santillan Herrera</cp:lastModifiedBy>
  <cp:revision>360</cp:revision>
  <cp:lastPrinted>2021-06-06T17:20:00Z</cp:lastPrinted>
  <dcterms:created xsi:type="dcterms:W3CDTF">2025-08-22T23:47:00Z</dcterms:created>
  <dcterms:modified xsi:type="dcterms:W3CDTF">2025-09-09T00:37:00Z</dcterms:modified>
</cp:coreProperties>
</file>