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2b47"/>
          <w:sz w:val="40"/>
          <w:szCs w:val="40"/>
        </w:rPr>
        <w:t xml:space="preserve">Relatório de Conformidade</w:t>
      </w:r>
    </w:p>
    <w:p>
      <w:pPr>
        <w:spacing w:after="60"/>
      </w:pPr>
      <w:r>
        <w:rPr>
          <w:color w:val="555555"/>
          <w:sz w:val="26"/>
          <w:szCs w:val="26"/>
        </w:rPr>
        <w:t xml:space="preserve">Sistema audita × Guia Prático da EFD-Contribuições</w:t>
      </w:r>
    </w:p>
    <w:p>
      <w:pPr>
        <w:spacing w:after="100"/>
      </w:pPr>
      <w:r>
        <w:t xml:space="preserve">Referência oficial: </w:t>
      </w:r>
      <w:r>
        <w:rPr>
          <w:b/>
          <w:bCs/>
        </w:rPr>
        <w:t xml:space="preserve">Guia Prático da EFD-Contribuições v1.35, de 18/06/2021</w:t>
      </w:r>
      <w:r>
        <w:t xml:space="preserve"> (Receita Federal do Brasil). Data da conferência: 14/07/2026.</w:t>
      </w:r>
    </w:p>
    <w:p>
      <w:pPr>
        <w:pBdr>
          <w:bottom w:val="single" w:color="cccccc" w:sz="6"/>
        </w:pBdr>
        <w:spacing w:after="120"/>
      </w:pPr>
    </w:p>
    <w:p>
      <w:pPr>
        <w:pStyle w:val="Heading1"/>
        <w:spacing w:after="100" w:before="220"/>
      </w:pPr>
      <w:r>
        <w:rPr>
          <w:color w:val="1a2b47"/>
        </w:rPr>
        <w:t xml:space="preserve">1. Resumo</w:t>
      </w:r>
    </w:p>
    <w:p>
      <w:pPr>
        <w:spacing w:after="100"/>
      </w:pPr>
      <w:r>
        <w:t xml:space="preserve">O leiaute usado pelo sistema foi conferido </w:t>
      </w:r>
      <w:r>
        <w:rPr>
          <w:b/>
          <w:bCs/>
        </w:rPr>
        <w:t xml:space="preserve">campo a campo</w:t>
      </w:r>
      <w:r>
        <w:t xml:space="preserve"> contra as tabelas de registro do Guia Prático oficial. Dos 31 registros implementados, </w:t>
      </w:r>
      <w:r>
        <w:rPr>
          <w:b/>
          <w:bCs/>
        </w:rPr>
        <w:t xml:space="preserve">30 estavam corretos</w:t>
      </w:r>
      <w:r>
        <w:t xml:space="preserve"> e 1 tinha um campo a mais. Além disso, uma fórmula de reconciliação (R08) estava aritmeticamente incorreta. Ambos os pontos foram corrigidos nesta revisão. Após as correções, o sistema está aderente ao leiaute e às regras de consolidação do manual para a v1.35.</w:t>
      </w:r>
    </w:p>
    <w:p>
      <w:pPr>
        <w:pStyle w:val="Heading1"/>
        <w:spacing w:after="100" w:before="220"/>
      </w:pPr>
      <w:r>
        <w:rPr>
          <w:color w:val="1a2b47"/>
        </w:rPr>
        <w:t xml:space="preserve">2. O que foi verificado</w:t>
      </w:r>
    </w:p>
    <w:p>
      <w:pPr>
        <w:spacing w:after="100"/>
      </w:pPr>
      <w:r>
        <w:t xml:space="preserve">Conferência da ordem e do nome de cada campo (posição → nome) das tabelas dos registros: </w:t>
      </w:r>
      <w:r>
        <w:rPr>
          <w:b/>
          <w:bCs/>
        </w:rPr>
        <w:t xml:space="preserve">0000, 0110, 0111, 0140, 0150, 0190, 0200, 0400, 0500, C010, C100, C170, C500, C501, C505, D010, D100, D101, D105, A010, A100, A170, F010, F100, M200, M400, M410, M600, M800, M810, 9900 e 9999</w:t>
      </w:r>
      <w:r>
        <w:t xml:space="preserve">. Também foram conferidas as identidades de consolidação dos registros M200/M600 descritas no manual.</w:t>
      </w:r>
    </w:p>
    <w:p>
      <w:pPr>
        <w:pStyle w:val="Heading1"/>
        <w:spacing w:after="100" w:before="220"/>
      </w:pPr>
      <w:r>
        <w:rPr>
          <w:color w:val="1a2b47"/>
        </w:rPr>
        <w:t xml:space="preserve">3. Achados e correções</w:t>
      </w:r>
    </w:p>
    <w:p>
      <w:pPr>
        <w:spacing w:after="100"/>
      </w:pPr>
      <w:r>
        <w:rPr>
          <w:b/>
          <w:bCs/>
          <w:color w:val="b02a37"/>
        </w:rPr>
        <w:t xml:space="preserve">3.1  Registro C170 com campo inexistente (corrigido)</w:t>
      </w:r>
    </w:p>
    <w:p>
      <w:pPr>
        <w:spacing w:after="100"/>
      </w:pPr>
      <w:r>
        <w:t xml:space="preserve">O leiaute tinha 38 campos no C170, terminando em VL_ABAT_NT. O Guia v1.35 define o C170 com </w:t>
      </w:r>
      <w:r>
        <w:rPr>
          <w:b/>
          <w:bCs/>
        </w:rPr>
        <w:t xml:space="preserve">37 campos, encerrando no campo 37 (COD_CTA)</w:t>
      </w:r>
      <w:r>
        <w:t xml:space="preserve"> — não existe VL_ABAT_NT nesse registro. O campo extra foi removido. (Observação: VL_ABAT_NT é válido no C100, campo 15, e foi mantido lá.)</w:t>
      </w:r>
    </w:p>
    <w:p>
      <w:pPr>
        <w:spacing w:after="100"/>
      </w:pPr>
      <w:r>
        <w:rPr>
          <w:b/>
          <w:bCs/>
          <w:color w:val="b02a37"/>
        </w:rPr>
        <w:t xml:space="preserve">3.2  Fórmula do check R08 — M200/M600 (corrigido)</w:t>
      </w:r>
    </w:p>
    <w:p>
      <w:pPr>
        <w:spacing w:after="100"/>
      </w:pPr>
      <w:r>
        <w:t xml:space="preserve">O R08 subtraía o campo 05 (VL_TOT_CONT_NC_DEV) em duplicidade, invalidando a conferência. O manual define três identidades, agora validadas separadamente: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a2b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00"/>
            <w:shd w:fill="1a2b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Identidade oficial (M200/M600)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7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VL_TOT_CONT_NC_DEV = campo 02 − campo 03 − campo 04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7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VL_CONT_NC_REC = campo 05 − campo 06 − campo 07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VL_TOT_CONT_REC = campo 08 + campo 12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00"/>
      </w:pPr>
      <w:r>
        <w:rPr>
          <w:b/>
          <w:bCs/>
          <w:color w:val="1a2b47"/>
        </w:rPr>
        <w:t xml:space="preserve">3.3  Metadados de conferência (atualizado)</w:t>
      </w:r>
    </w:p>
    <w:p>
      <w:pPr>
        <w:spacing w:after="100"/>
      </w:pPr>
      <w:r>
        <w:t xml:space="preserve">Antes, o leiaute se declarava “não verificado contra o Guia oficial” e marcava 0400, 0500, M200 e M600 como ESTENDIDO (pista, não certeza). Com a conferência concluída, a versão passou a “conferido campo a campo contra o Guia Prático v1.35” e esses registros foram promovidos a NÚCLEO. Os checks E20, E21 e R08 deixaram de sinalizar ESTENDIDO.</w:t>
      </w:r>
    </w:p>
    <w:p>
      <w:pPr>
        <w:pStyle w:val="Heading1"/>
        <w:spacing w:after="100" w:before="220"/>
      </w:pPr>
      <w:r>
        <w:rPr>
          <w:color w:val="1a2b47"/>
        </w:rPr>
        <w:t xml:space="preserve">4. Situação por registro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900"/>
      </w:tblGrid>
      <w:tr>
        <w:trPr>
          <w:tblHeader/>
        </w:trPr>
        <w:tc>
          <w:tcPr>
            <w:tcW w:type="dxa" w:w="5600"/>
            <w:shd w:fill="1a2b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2900"/>
            <w:shd w:fill="1a2b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Bloco 0 (0000, 0110, 0111, 0140, 0150, 0190, 0200, 0400, 0500)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Bloco C (C010, C100, C170, C500, C501, C505)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Conforme (C170 corrigido)</w:t>
            </w:r>
          </w:p>
        </w:tc>
      </w:tr>
      <w:tr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Bloco D (D010, D100, D101, D105)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Bloco A (A010, A100, A170)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Bloco F (F010, F100)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Conforme</w:t>
            </w:r>
          </w:p>
        </w:tc>
      </w:tr>
      <w:tr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Bloco M (M200, M400, M410, M600, M800, M810)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Conforme (R08 corrigido)</w:t>
            </w:r>
          </w:p>
        </w:tc>
      </w:tr>
      <w:tr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Bloco 9 (9900, 9999)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Conforme</w:t>
            </w:r>
          </w:p>
        </w:tc>
      </w:tr>
    </w:tbl>
    <w:p>
      <w:pPr>
        <w:pStyle w:val="Heading1"/>
        <w:spacing w:after="100" w:before="220"/>
      </w:pPr>
      <w:r>
        <w:rPr>
          <w:color w:val="1a2b47"/>
        </w:rPr>
        <w:t xml:space="preserve">5. Limites conhecidos</w:t>
      </w:r>
    </w:p>
    <w:p>
      <w:pPr>
        <w:spacing w:after="100"/>
      </w:pPr>
      <w:r>
        <w:t xml:space="preserve">• A conferência é válida para a </w:t>
      </w:r>
      <w:r>
        <w:rPr>
          <w:b/>
          <w:bCs/>
        </w:rPr>
        <w:t xml:space="preserve">versão 1.35</w:t>
      </w:r>
      <w:r>
        <w:t xml:space="preserve"> do leiaute. Antes de usar como perícia, confirme no campo COD_VER do 0000 qual versão a empresa auditada utiliza; se for outra, reconcilie os registros alterados naquela versão.</w:t>
      </w:r>
    </w:p>
    <w:p>
      <w:pPr>
        <w:spacing w:after="100"/>
      </w:pPr>
      <w:r>
        <w:t xml:space="preserve">• Obrigatoriedade: só são checados campos obrigatórios em qualquer situação. Obrigatoriedades condicionais (OC) do manual não são modeladas, para não gerar falso positivo sem a regra exata.</w:t>
      </w:r>
    </w:p>
    <w:p>
      <w:pPr>
        <w:spacing w:after="100"/>
      </w:pPr>
      <w:r>
        <w:t xml:space="preserve">• Checks de tese (monofásico, insumo, imobilizado) continuam dependendo de tabela externa e seguem fora do escopo.</w:t>
      </w:r>
    </w:p>
    <w:p>
      <w:pPr>
        <w:spacing w:after="100"/>
      </w:pPr>
      <w:r>
        <w:t xml:space="preserve">• Este é um diagnóstico técnico do arquivo, não um parecer fiscal.</w:t>
      </w:r>
    </w:p>
    <w:p>
      <w:pPr>
        <w:pBdr>
          <w:top w:val="single" w:color="cccccc" w:sz="6"/>
        </w:pBdr>
        <w:spacing w:before="200"/>
      </w:pPr>
      <w:r>
        <w:rPr>
          <w:i/>
          <w:iCs/>
          <w:color w:val="555555"/>
          <w:sz w:val="18"/>
          <w:szCs w:val="18"/>
        </w:rPr>
        <w:t xml:space="preserve">Gerado pelo sistema audita — conferência contra o Guia Prático v1.35 (18/06/2021).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2026-07-14T23:41:56.856Z</dcterms:created>
  <dcterms:modified xsi:type="dcterms:W3CDTF">2026-07-14T23:41:56.856Z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