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197" w:rsidRPr="00062207" w:rsidRDefault="006B4197" w:rsidP="006B4197">
      <w:pPr>
        <w:pStyle w:val="Ttulo2"/>
        <w:numPr>
          <w:ilvl w:val="1"/>
          <w:numId w:val="1"/>
        </w:numPr>
        <w:spacing w:before="0"/>
        <w:ind w:left="567"/>
        <w:rPr>
          <w:rFonts w:ascii="Times New Roman" w:hAnsi="Times New Roman" w:cs="Times New Roman"/>
          <w:color w:val="auto"/>
          <w:sz w:val="24"/>
        </w:rPr>
      </w:pPr>
      <w:bookmarkStart w:id="0" w:name="_Toc534988245"/>
      <w:bookmarkStart w:id="1" w:name="_Toc93398038"/>
      <w:bookmarkStart w:id="2" w:name="_Toc94259662"/>
      <w:r w:rsidRPr="00062207">
        <w:rPr>
          <w:rFonts w:ascii="Times New Roman" w:hAnsi="Times New Roman" w:cs="Times New Roman"/>
          <w:color w:val="auto"/>
          <w:sz w:val="24"/>
        </w:rPr>
        <w:t>Principales indicadores Macroeconómicos y Fiscales de la región</w:t>
      </w:r>
      <w:bookmarkEnd w:id="0"/>
      <w:bookmarkEnd w:id="1"/>
      <w:bookmarkEnd w:id="2"/>
      <w:r w:rsidRPr="00062207">
        <w:rPr>
          <w:rFonts w:ascii="Times New Roman" w:hAnsi="Times New Roman" w:cs="Times New Roman"/>
          <w:color w:val="auto"/>
          <w:sz w:val="24"/>
        </w:rPr>
        <w:t xml:space="preserve"> </w:t>
      </w:r>
    </w:p>
    <w:p w:rsidR="00C9748F" w:rsidRDefault="00C323D3" w:rsidP="006B4197">
      <w:pPr>
        <w:spacing w:line="240" w:lineRule="auto"/>
        <w:rPr>
          <w:lang w:val="es-ES_tradnl"/>
        </w:rPr>
      </w:pPr>
    </w:p>
    <w:p w:rsidR="006B4197" w:rsidRDefault="006B4197" w:rsidP="006B4197">
      <w:pPr>
        <w:spacing w:after="0" w:line="240" w:lineRule="auto"/>
        <w:rPr>
          <w:lang w:val="es-ES_tradnl"/>
        </w:rPr>
      </w:pPr>
    </w:p>
    <w:p w:rsidR="006B4197" w:rsidRPr="00062207" w:rsidRDefault="006B4197" w:rsidP="006B41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62207">
        <w:rPr>
          <w:rFonts w:ascii="Times New Roman" w:hAnsi="Times New Roman" w:cs="Times New Roman"/>
          <w:b/>
        </w:rPr>
        <w:t>Principales indicadores Macroeconómicos y Fiscales de la región</w:t>
      </w:r>
    </w:p>
    <w:p w:rsidR="006B4197" w:rsidRPr="00062207" w:rsidRDefault="006B4197" w:rsidP="006B4197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062207">
        <w:rPr>
          <w:rFonts w:ascii="Times New Roman" w:hAnsi="Times New Roman" w:cs="Times New Roman"/>
          <w:sz w:val="18"/>
        </w:rPr>
        <w:t>Millones de US$ y variación interanual</w:t>
      </w:r>
    </w:p>
    <w:p w:rsidR="006B4197" w:rsidRPr="00062207" w:rsidRDefault="006B4197" w:rsidP="006B4197">
      <w:pPr>
        <w:spacing w:after="0" w:line="240" w:lineRule="auto"/>
        <w:jc w:val="center"/>
        <w:rPr>
          <w:rFonts w:ascii="Times New Roman" w:hAnsi="Times New Roman" w:cs="Times New Roman"/>
          <w:sz w:val="12"/>
        </w:rPr>
      </w:pPr>
      <w:r w:rsidRPr="003367BA">
        <w:rPr>
          <w:rFonts w:ascii="Times New Roman" w:hAnsi="Times New Roman" w:cs="Times New Roman"/>
          <w:sz w:val="18"/>
        </w:rPr>
        <w:t>Cifras a diciembre 2021, actualización en febrero de 2022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72"/>
        <w:gridCol w:w="1170"/>
        <w:gridCol w:w="720"/>
        <w:gridCol w:w="735"/>
        <w:gridCol w:w="824"/>
        <w:gridCol w:w="824"/>
        <w:gridCol w:w="824"/>
        <w:gridCol w:w="824"/>
      </w:tblGrid>
      <w:tr w:rsidR="00F22DB4" w:rsidRPr="006B4197" w:rsidTr="00493F00">
        <w:trPr>
          <w:jc w:val="center"/>
        </w:trPr>
        <w:tc>
          <w:tcPr>
            <w:tcW w:w="1345" w:type="dxa"/>
            <w:shd w:val="clear" w:color="auto" w:fill="2F5496" w:themeFill="accent5" w:themeFillShade="BF"/>
            <w:vAlign w:val="center"/>
          </w:tcPr>
          <w:p w:rsidR="00F22DB4" w:rsidRPr="006B4197" w:rsidRDefault="00CE097A" w:rsidP="00F22DB4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</w:rPr>
              <w:t xml:space="preserve">Variables </w:t>
            </w:r>
            <w:r w:rsidR="003446B9"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</w:rPr>
              <w:t>Macroeconómicas</w:t>
            </w:r>
          </w:p>
        </w:tc>
        <w:tc>
          <w:tcPr>
            <w:tcW w:w="1440" w:type="dxa"/>
            <w:shd w:val="clear" w:color="auto" w:fill="2F5496" w:themeFill="accent5" w:themeFillShade="BF"/>
            <w:vAlign w:val="center"/>
          </w:tcPr>
          <w:p w:rsidR="00F22DB4" w:rsidRPr="00CE097A" w:rsidRDefault="00F22DB4" w:rsidP="00F22DB4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</w:pPr>
            <w:r w:rsidRPr="00CE097A"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  <w:t xml:space="preserve">Costa Rica</w:t>
            </w:r>
          </w:p>
        </w:tc>
        <w:tc>
          <w:tcPr>
            <w:tcW w:w="1440" w:type="dxa"/>
            <w:shd w:val="clear" w:color="auto" w:fill="2F5496" w:themeFill="accent5" w:themeFillShade="BF"/>
            <w:vAlign w:val="center"/>
          </w:tcPr>
          <w:p w:rsidR="00F22DB4" w:rsidRPr="00CE097A" w:rsidRDefault="00F22DB4" w:rsidP="00F22DB4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</w:pPr>
            <w:r w:rsidRPr="00CE097A"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  <w:t xml:space="preserve">El Salvador</w:t>
            </w:r>
          </w:p>
        </w:tc>
        <w:tc>
          <w:tcPr>
            <w:tcW w:w="1440" w:type="dxa"/>
            <w:shd w:val="clear" w:color="auto" w:fill="2F5496" w:themeFill="accent5" w:themeFillShade="BF"/>
            <w:vAlign w:val="center"/>
          </w:tcPr>
          <w:p w:rsidR="00F22DB4" w:rsidRPr="00CE097A" w:rsidRDefault="00F22DB4" w:rsidP="00F22DB4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</w:pPr>
            <w:r w:rsidRPr="00CE097A"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  <w:t xml:space="preserve">Guatemala</w:t>
            </w:r>
          </w:p>
        </w:tc>
        <w:tc>
          <w:tcPr>
            <w:tcW w:w="1440" w:type="dxa"/>
            <w:shd w:val="clear" w:color="auto" w:fill="2F5496" w:themeFill="accent5" w:themeFillShade="BF"/>
            <w:vAlign w:val="center"/>
          </w:tcPr>
          <w:p w:rsidR="00F22DB4" w:rsidRPr="00CE097A" w:rsidRDefault="00F22DB4" w:rsidP="00F22DB4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</w:pPr>
            <w:r w:rsidRPr="00CE097A"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  <w:t xml:space="preserve">Honduras</w:t>
            </w:r>
          </w:p>
        </w:tc>
        <w:tc>
          <w:tcPr>
            <w:tcW w:w="1440" w:type="dxa"/>
            <w:shd w:val="clear" w:color="auto" w:fill="2F5496" w:themeFill="accent5" w:themeFillShade="BF"/>
            <w:vAlign w:val="center"/>
          </w:tcPr>
          <w:p w:rsidR="00F22DB4" w:rsidRPr="00CE097A" w:rsidRDefault="00F22DB4" w:rsidP="00F22DB4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</w:pPr>
            <w:r w:rsidRPr="00CE097A"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  <w:t xml:space="preserve">Nicaragua</w:t>
            </w:r>
          </w:p>
        </w:tc>
        <w:tc>
          <w:tcPr>
            <w:tcW w:w="1440" w:type="dxa"/>
            <w:shd w:val="clear" w:color="auto" w:fill="2F5496" w:themeFill="accent5" w:themeFillShade="BF"/>
            <w:vAlign w:val="center"/>
          </w:tcPr>
          <w:p w:rsidR="00F22DB4" w:rsidRPr="00CE097A" w:rsidRDefault="00F22DB4" w:rsidP="00F22DB4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</w:pPr>
            <w:r w:rsidRPr="00CE097A"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  <w:t xml:space="preserve">República Dominicana</w:t>
            </w:r>
          </w:p>
        </w:tc>
        <w:tc>
          <w:tcPr>
            <w:tcW w:w="1440" w:type="dxa"/>
            <w:shd w:val="clear" w:color="auto" w:fill="2F5496" w:themeFill="accent5" w:themeFillShade="BF"/>
            <w:vAlign w:val="center"/>
          </w:tcPr>
          <w:p w:rsidR="00F22DB4" w:rsidRPr="00CE097A" w:rsidRDefault="00F22DB4" w:rsidP="00F22DB4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</w:pPr>
            <w:r w:rsidRPr="00CE097A"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  <w:t xml:space="preserve">Panamá</w:t>
            </w:r>
          </w:p>
        </w:tc>
      </w:tr>
      <w:tr w:rsidR="00CE097A" w:rsidRPr="00587C72" w:rsidTr="004A2562">
        <w:trPr>
          <w:jc w:val="center"/>
        </w:trPr>
        <w:tc>
          <w:tcPr>
            <w:tcW w:w="1345" w:type="dxa"/>
            <w:vAlign w:val="center"/>
          </w:tcPr>
          <w:p w:rsidR="00CE097A" w:rsidRPr="00587C72" w:rsidRDefault="00CE097A" w:rsidP="004A25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7C72">
              <w:rPr>
                <w:rFonts w:ascii="Times New Roman" w:hAnsi="Times New Roman" w:cs="Times New Roman"/>
                <w:sz w:val="14"/>
                <w:szCs w:val="16"/>
              </w:rPr>
              <w:t xml:space="preserve">IMAE</w:t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octubre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01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2.2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octubre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02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5.36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octubre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03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4.03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octubre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04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3.63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octubre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05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3.1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06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3.88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07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11.02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</w:tr>
      <w:tr w:rsidR="00CE097A" w:rsidRPr="00587C72" w:rsidTr="004A2562">
        <w:trPr>
          <w:jc w:val="center"/>
        </w:trPr>
        <w:tc>
          <w:tcPr>
            <w:tcW w:w="1345" w:type="dxa"/>
            <w:vAlign w:val="center"/>
          </w:tcPr>
          <w:p w:rsidR="00CE097A" w:rsidRPr="00587C72" w:rsidRDefault="00CE097A" w:rsidP="004A25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7C72">
              <w:rPr>
                <w:rFonts w:ascii="Times New Roman" w:hAnsi="Times New Roman" w:cs="Times New Roman"/>
                <w:sz w:val="14"/>
                <w:szCs w:val="16"/>
              </w:rPr>
              <w:t xml:space="preserve">PIB trimestral en constantes</w:t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08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3.03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09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2.1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junio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10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4.07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11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2.98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12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2.65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13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5.02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junio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14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9.81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</w:tr>
      <w:tr w:rsidR="00CE097A" w:rsidRPr="00587C72" w:rsidTr="004A2562">
        <w:trPr>
          <w:jc w:val="center"/>
        </w:trPr>
        <w:tc>
          <w:tcPr>
            <w:tcW w:w="1345" w:type="dxa"/>
            <w:vAlign w:val="center"/>
          </w:tcPr>
          <w:p w:rsidR="00CE097A" w:rsidRPr="00587C72" w:rsidRDefault="00CE097A" w:rsidP="004A25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7C72">
              <w:rPr>
                <w:rFonts w:ascii="Times New Roman" w:hAnsi="Times New Roman" w:cs="Times New Roman"/>
                <w:sz w:val="14"/>
                <w:szCs w:val="16"/>
              </w:rPr>
              <w:t xml:space="preserve">IPC general</w:t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diciembre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15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7.88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16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7.32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diciembre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17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9.24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diciembre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18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9.8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19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11.37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20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7.58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21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1.5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</w:tr>
      <w:tr w:rsidR="00CE097A" w:rsidRPr="00587C72" w:rsidTr="004A2562">
        <w:trPr>
          <w:jc w:val="center"/>
        </w:trPr>
        <w:tc>
          <w:tcPr>
            <w:tcW w:w="1345" w:type="dxa"/>
            <w:vAlign w:val="center"/>
          </w:tcPr>
          <w:p w:rsidR="00CE097A" w:rsidRPr="00587C72" w:rsidRDefault="00CE097A" w:rsidP="004A25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7C72">
              <w:rPr>
                <w:rFonts w:ascii="Times New Roman" w:hAnsi="Times New Roman" w:cs="Times New Roman"/>
                <w:sz w:val="14"/>
                <w:szCs w:val="16"/>
              </w:rPr>
              <w:t xml:space="preserve">Tasa de política monetaria</w:t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enero 2023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22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9.0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enero 2023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23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3.75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enero 2023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24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qual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3.0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enero 2023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25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7.0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enero 2023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26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8.5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</w:tr>
      <w:tr w:rsidR="00CE097A" w:rsidRPr="00587C72" w:rsidTr="004A2562">
        <w:trPr>
          <w:jc w:val="center"/>
        </w:trPr>
        <w:tc>
          <w:tcPr>
            <w:tcW w:w="1345" w:type="dxa"/>
            <w:vAlign w:val="center"/>
          </w:tcPr>
          <w:p w:rsidR="00CE097A" w:rsidRPr="00587C72" w:rsidRDefault="00CE097A" w:rsidP="004A25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7C72">
              <w:rPr>
                <w:rFonts w:ascii="Times New Roman" w:hAnsi="Times New Roman" w:cs="Times New Roman"/>
                <w:sz w:val="14"/>
                <w:szCs w:val="16"/>
              </w:rPr>
              <w:t xml:space="preserve">Exportaciones totales</w:t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marzo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27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13.94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$ 4,310.67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octubre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28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13.88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$ 6,260.77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29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19.82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$ 12,075.8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30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23.61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$ 4,913.05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31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18.79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$ 6,118.15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junio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32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16.47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$ 7,012.5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33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20.87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$ 11,291.24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</w:tr>
      <w:tr w:rsidR="00CE097A" w:rsidRPr="00587C72" w:rsidTr="004A2562">
        <w:trPr>
          <w:jc w:val="center"/>
        </w:trPr>
        <w:tc>
          <w:tcPr>
            <w:tcW w:w="1345" w:type="dxa"/>
            <w:vAlign w:val="center"/>
          </w:tcPr>
          <w:p w:rsidR="00CE097A" w:rsidRPr="00587C72" w:rsidRDefault="00CE097A" w:rsidP="004A25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7C72">
              <w:rPr>
                <w:rFonts w:ascii="Times New Roman" w:hAnsi="Times New Roman" w:cs="Times New Roman"/>
                <w:sz w:val="14"/>
                <w:szCs w:val="16"/>
              </w:rPr>
              <w:t xml:space="preserve">Importaciones totales</w:t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marzo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34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34.51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$ 7,159.05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octubre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35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20.01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$ 14,852.4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36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29.47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$ 24,459.4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37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20.61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$ 11,439.9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38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23.73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$ 8,119.29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junio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39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36.59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$ 14,985.4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40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51.16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$ 22,252.57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</w:tr>
      <w:tr w:rsidR="00CE097A" w:rsidRPr="00587C72" w:rsidTr="004A2562">
        <w:trPr>
          <w:jc w:val="center"/>
        </w:trPr>
        <w:tc>
          <w:tcPr>
            <w:tcW w:w="1345" w:type="dxa"/>
            <w:vAlign w:val="center"/>
          </w:tcPr>
          <w:p w:rsidR="00CE097A" w:rsidRPr="00587C72" w:rsidRDefault="00CE097A" w:rsidP="004A25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7C72">
              <w:rPr>
                <w:rFonts w:ascii="Times New Roman" w:hAnsi="Times New Roman" w:cs="Times New Roman"/>
                <w:sz w:val="14"/>
                <w:szCs w:val="16"/>
              </w:rPr>
              <w:t xml:space="preserve"> Tipo de cambio de venta fin de mes</w:t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diciembre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41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601.99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diciembre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42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qual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8.75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43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7.87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diciembre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44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24.72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octubre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45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36.29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diciembre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46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qual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56.41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diciembre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47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1.0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</w:tr>
      <w:tr w:rsidR="00CE097A" w:rsidRPr="00587C72" w:rsidTr="004A2562">
        <w:trPr>
          <w:jc w:val="center"/>
        </w:trPr>
        <w:tc>
          <w:tcPr>
            <w:tcW w:w="1345" w:type="dxa"/>
            <w:vAlign w:val="center"/>
          </w:tcPr>
          <w:p w:rsidR="00CE097A" w:rsidRPr="00587C72" w:rsidRDefault="00CE097A" w:rsidP="004A25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7C72">
              <w:rPr>
                <w:rFonts w:ascii="Times New Roman" w:hAnsi="Times New Roman" w:cs="Times New Roman"/>
                <w:sz w:val="14"/>
                <w:szCs w:val="16"/>
              </w:rPr>
              <w:t xml:space="preserve">ITCER global</w:t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48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-8.27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49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-2.34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50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-2.86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51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-3.68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52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-4.53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octubre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53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-9.61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54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-0.81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</w:tr>
      <w:tr w:rsidR="00CE097A" w:rsidRPr="00587C72" w:rsidTr="004A2562">
        <w:trPr>
          <w:jc w:val="center"/>
        </w:trPr>
        <w:tc>
          <w:tcPr>
            <w:tcW w:w="1345" w:type="dxa"/>
            <w:vAlign w:val="center"/>
          </w:tcPr>
          <w:p w:rsidR="00CE097A" w:rsidRPr="00587C72" w:rsidRDefault="00CE097A" w:rsidP="004A25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7C72">
              <w:rPr>
                <w:rFonts w:ascii="Times New Roman" w:hAnsi="Times New Roman" w:cs="Times New Roman"/>
                <w:sz w:val="14"/>
                <w:szCs w:val="16"/>
              </w:rPr>
              <w:t xml:space="preserve">ITCER con USA</w:t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55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-5.08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56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-0.19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57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-0.89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58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-0.74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59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-2.03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60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-4.4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61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5.55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</w:tr>
      <w:tr w:rsidR="00CE097A" w:rsidRPr="00587C72" w:rsidTr="004A2562">
        <w:trPr>
          <w:jc w:val="center"/>
        </w:trPr>
        <w:tc>
          <w:tcPr>
            <w:tcW w:w="1345" w:type="dxa"/>
            <w:vAlign w:val="center"/>
          </w:tcPr>
          <w:p w:rsidR="00CE097A" w:rsidRPr="00587C72" w:rsidRDefault="00CE097A" w:rsidP="004A25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7C72">
              <w:rPr>
                <w:rFonts w:ascii="Times New Roman" w:hAnsi="Times New Roman" w:cs="Times New Roman"/>
                <w:sz w:val="14"/>
                <w:szCs w:val="16"/>
              </w:rPr>
              <w:t xml:space="preserve">Remesas, ingreso</w:t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junio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62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3.5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$ 283.24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octubre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63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20.25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$ 6,356.64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octubre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64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19.91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$ 14,943.7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octubre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65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45.02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$ 7,207.93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66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-6.34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$ 2,258.4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octubre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67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-95.24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$ 8,125.32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</w:tr>
      <w:tr w:rsidR="00CE097A" w:rsidRPr="00587C72" w:rsidTr="004A2562">
        <w:trPr>
          <w:jc w:val="center"/>
        </w:trPr>
        <w:tc>
          <w:tcPr>
            <w:tcW w:w="1345" w:type="dxa"/>
            <w:vAlign w:val="center"/>
          </w:tcPr>
          <w:p w:rsidR="00CE097A" w:rsidRPr="00587C72" w:rsidRDefault="00CE097A" w:rsidP="004A25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7C72">
              <w:rPr>
                <w:rFonts w:ascii="Times New Roman" w:hAnsi="Times New Roman" w:cs="Times New Roman"/>
                <w:sz w:val="14"/>
                <w:szCs w:val="16"/>
              </w:rPr>
              <w:t xml:space="preserve">RIN del Banco Central</w:t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diciembre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68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23.59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69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-25.63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70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-1.46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noviembre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71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-8.64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octubre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72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5.41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diciembre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73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10.76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agosto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74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-18.02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</w:tr>
      <w:tr w:rsidR="00CE097A" w:rsidRPr="00587C72" w:rsidTr="004A2562">
        <w:trPr>
          <w:jc w:val="center"/>
        </w:trPr>
        <w:tc>
          <w:tcPr>
            <w:tcW w:w="1345" w:type="dxa"/>
            <w:vAlign w:val="center"/>
          </w:tcPr>
          <w:p w:rsidR="00CE097A" w:rsidRPr="00587C72" w:rsidRDefault="00CE097A" w:rsidP="004A25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7C72">
              <w:rPr>
                <w:rFonts w:ascii="Times New Roman" w:hAnsi="Times New Roman" w:cs="Times New Roman"/>
                <w:sz w:val="14"/>
                <w:szCs w:val="16"/>
              </w:rPr>
              <w:t xml:space="preserve">Ingresos totales GC</w:t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75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20.07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$ 5,468,890.19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octubre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76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12.37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$ 5,628.32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octubre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77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15.66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$ 78,664.43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78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17.79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$ 110,708.88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79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18.52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$ 90,885.3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80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15.28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$ 707,623.8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junio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81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-98.42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$ 3,469.9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</w:tr>
      <w:tr w:rsidR="00CE097A" w:rsidRPr="00587C72" w:rsidTr="004A2562">
        <w:trPr>
          <w:jc w:val="center"/>
        </w:trPr>
        <w:tc>
          <w:tcPr>
            <w:tcW w:w="1345" w:type="dxa"/>
            <w:vAlign w:val="center"/>
          </w:tcPr>
          <w:p w:rsidR="00CE097A" w:rsidRPr="00587C72" w:rsidRDefault="00CE097A" w:rsidP="004A25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7C72">
              <w:rPr>
                <w:rFonts w:ascii="Times New Roman" w:hAnsi="Times New Roman" w:cs="Times New Roman"/>
                <w:sz w:val="14"/>
                <w:szCs w:val="16"/>
              </w:rPr>
              <w:t xml:space="preserve">Gastos totales GC</w:t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82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2.94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$ 6,219,500.8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octubre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83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-2.14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$ 6,043.53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octubre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84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19.91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$ 82,356.53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85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-4.59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$ 98,246.51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86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11.15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$ 81,832.15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87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21.28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$ 779,250.48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junio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88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-97.49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$ 6,090.8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</w:tr>
      <w:tr w:rsidR="00CE097A" w:rsidRPr="00587C72" w:rsidTr="004A2562">
        <w:trPr>
          <w:jc w:val="center"/>
        </w:trPr>
        <w:tc>
          <w:tcPr>
            <w:tcW w:w="1345" w:type="dxa"/>
            <w:vAlign w:val="center"/>
          </w:tcPr>
          <w:p w:rsidR="00CE097A" w:rsidRPr="00587C72" w:rsidRDefault="00CE097A" w:rsidP="004A25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7C72">
              <w:rPr>
                <w:rFonts w:ascii="Times New Roman" w:hAnsi="Times New Roman" w:cs="Times New Roman"/>
                <w:sz w:val="14"/>
                <w:szCs w:val="16"/>
              </w:rPr>
              <w:t xml:space="preserve">Deuda total / PIB</w:t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abril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89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74.34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octubre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90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78.71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octubre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91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29.38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92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47.03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agosto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93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61.05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94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60.05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a septiembre 2022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150" cy="57150"/>
                  <wp:docPr id="1095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FD6CE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</w:t>
            </w:r>
            <w:bookmarkStart w:id="3" w:name="_GoBack"/>
            <w:bookmarkEnd w:id="3"/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61.22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/>
            </w:r>
          </w:p>
        </w:tc>
      </w:tr>
    </w:tbl>
    <w:p w:rsidR="006B4197" w:rsidRDefault="006B4197" w:rsidP="006B4197">
      <w:pPr>
        <w:rPr>
          <w:rFonts w:ascii="Times New Roman" w:hAnsi="Times New Roman" w:cs="Times New Roman"/>
          <w:sz w:val="16"/>
        </w:rPr>
      </w:pPr>
      <w:r w:rsidRPr="00062207">
        <w:rPr>
          <w:rFonts w:ascii="Times New Roman" w:hAnsi="Times New Roman" w:cs="Times New Roman"/>
          <w:sz w:val="16"/>
        </w:rPr>
        <w:t>Fuente: Dirección de Análisis y Política Fiscal con base a información de Banco Central de cada país, Consejo Monetario Centroamericano.</w:t>
      </w:r>
    </w:p>
    <w:p w:rsidR="00576613" w:rsidRDefault="00DC5A64" w:rsidP="006B4197">
      <w:pPr>
        <w:rPr>
          <w:rFonts w:ascii="Times New Roman" w:hAnsi="Times New Roman" w:cs="Times New Roman"/>
          <w:sz w:val="16"/>
        </w:rPr>
      </w:pPr>
      <w:r>
        <w:rPr>
          <w:noProof/>
          <w:sz w:val="14"/>
          <w:szCs w:val="16"/>
          <w:lang w:eastAsia="es-GT"/>
        </w:rPr>
        <w:drawing>
          <wp:anchor distT="0" distB="0" distL="114300" distR="114300" simplePos="0" relativeHeight="251663360" behindDoc="0" locked="0" layoutInCell="1" allowOverlap="1" wp14:anchorId="32E742F0" wp14:editId="6CFFAE40">
            <wp:simplePos x="0" y="0"/>
            <wp:positionH relativeFrom="column">
              <wp:posOffset>210185</wp:posOffset>
            </wp:positionH>
            <wp:positionV relativeFrom="paragraph">
              <wp:posOffset>-635</wp:posOffset>
            </wp:positionV>
            <wp:extent cx="83185" cy="82550"/>
            <wp:effectExtent l="0" t="0" r="0" b="0"/>
            <wp:wrapNone/>
            <wp:docPr id="1096" name="Imagen 3" descr="C:\Users\DELL\AppData\Local\Microsoft\Windows\INetCache\Content.MSO\50C34A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50C34A6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0" t="24233" r="84631" b="68848"/>
                    <a:stretch/>
                  </pic:blipFill>
                  <pic:spPr bwMode="auto">
                    <a:xfrm>
                      <a:off x="0" y="0"/>
                      <a:ext cx="83185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613">
        <w:rPr>
          <w:noProof/>
          <w:sz w:val="14"/>
          <w:szCs w:val="16"/>
          <w:lang w:eastAsia="es-G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32385</wp:posOffset>
            </wp:positionV>
            <wp:extent cx="105410" cy="88265"/>
            <wp:effectExtent l="0" t="0" r="8890" b="6985"/>
            <wp:wrapThrough wrapText="bothSides">
              <wp:wrapPolygon edited="0">
                <wp:start x="0" y="0"/>
                <wp:lineTo x="0" y="18647"/>
                <wp:lineTo x="19518" y="18647"/>
                <wp:lineTo x="19518" y="0"/>
                <wp:lineTo x="0" y="0"/>
              </wp:wrapPolygon>
            </wp:wrapThrough>
            <wp:docPr id="1097" name="Imagen 2" descr="C:\Users\DELL\AppData\Local\Microsoft\Windows\INetCache\Content.MSO\50C34A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50C34A6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0" t="16639" r="84132" b="77355"/>
                    <a:stretch/>
                  </pic:blipFill>
                  <pic:spPr bwMode="auto">
                    <a:xfrm>
                      <a:off x="0" y="0"/>
                      <a:ext cx="105410" cy="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5189" w:rsidRDefault="00C85189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br w:type="page"/>
      </w:r>
      <w:r w:rsidR="00576613">
        <w:rPr>
          <w:noProof/>
          <w:sz w:val="14"/>
          <w:szCs w:val="16"/>
          <w:lang w:eastAsia="es-GT"/>
        </w:rPr>
        <w:drawing>
          <wp:anchor distT="0" distB="0" distL="114300" distR="114300" simplePos="0" relativeHeight="251660288" behindDoc="0" locked="0" layoutInCell="1" allowOverlap="1" wp14:anchorId="1C0A796B" wp14:editId="58E0C1A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5725" cy="90805"/>
            <wp:effectExtent l="0" t="0" r="9525" b="4445"/>
            <wp:wrapNone/>
            <wp:docPr id="1098" name="Imagen 1" descr="C:\Users\DELL\AppData\Local\Microsoft\Windows\INetCache\Content.MSO\50C34A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50C34A6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7" t="8908" r="84654" b="84240"/>
                    <a:stretch/>
                  </pic:blipFill>
                  <pic:spPr bwMode="auto">
                    <a:xfrm>
                      <a:off x="0" y="0"/>
                      <a:ext cx="85725" cy="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6613" w:rsidRDefault="00576613">
      <w:pPr>
        <w:rPr>
          <w:rFonts w:ascii="Times New Roman" w:hAnsi="Times New Roman" w:cs="Times New Roman"/>
          <w:sz w:val="16"/>
        </w:rPr>
      </w:pPr>
    </w:p>
    <w:p w:rsidR="00C85189" w:rsidRPr="00062207" w:rsidRDefault="00C85189" w:rsidP="006B4197">
      <w:pPr>
        <w:rPr>
          <w:rFonts w:ascii="Times New Roman" w:hAnsi="Times New Roman" w:cs="Times New Roman"/>
          <w:sz w:val="16"/>
        </w:rPr>
      </w:pPr>
    </w:p>
    <w:p w:rsidR="00292ECF" w:rsidRDefault="00292ECF" w:rsidP="00CB0D66">
      <w:pPr>
        <w:spacing w:after="0"/>
        <w:rPr>
          <w:rFonts w:ascii="Times New Roman" w:hAnsi="Times New Roman" w:cs="Times New Roman"/>
          <w:sz w:val="14"/>
          <w:szCs w:val="16"/>
        </w:rPr>
      </w:pPr>
    </w:p>
    <w:p w:rsidR="00C85189" w:rsidRDefault="00C85189" w:rsidP="00CB0D66">
      <w:pPr>
        <w:spacing w:after="0"/>
        <w:rPr>
          <w:rFonts w:ascii="Times New Roman" w:hAnsi="Times New Roman" w:cs="Times New Roman"/>
          <w:sz w:val="14"/>
          <w:szCs w:val="16"/>
        </w:rPr>
      </w:pPr>
    </w:p>
    <w:p w:rsidR="00C85189" w:rsidRDefault="00C85189" w:rsidP="00CB0D66">
      <w:pPr>
        <w:spacing w:after="0"/>
        <w:rPr>
          <w:rFonts w:ascii="Times New Roman" w:hAnsi="Times New Roman" w:cs="Times New Roman"/>
          <w:sz w:val="14"/>
          <w:szCs w:val="16"/>
        </w:rPr>
      </w:pPr>
    </w:p>
    <w:p w:rsidR="00C85189" w:rsidRDefault="00C85189" w:rsidP="00CB0D66">
      <w:pPr>
        <w:spacing w:after="0"/>
        <w:rPr>
          <w:rFonts w:ascii="Times New Roman" w:hAnsi="Times New Roman" w:cs="Times New Roman"/>
          <w:sz w:val="14"/>
          <w:szCs w:val="16"/>
        </w:rPr>
      </w:pPr>
    </w:p>
    <w:p w:rsidR="00C85189" w:rsidRDefault="00C85189" w:rsidP="00CB0D66">
      <w:pPr>
        <w:spacing w:after="0"/>
        <w:rPr>
          <w:rFonts w:ascii="Times New Roman" w:hAnsi="Times New Roman" w:cs="Times New Roman"/>
          <w:sz w:val="14"/>
          <w:szCs w:val="16"/>
        </w:rPr>
      </w:pPr>
    </w:p>
    <w:p w:rsidR="00C85189" w:rsidRPr="006D32F5" w:rsidRDefault="00C85189" w:rsidP="00CB0D66">
      <w:pPr>
        <w:spacing w:after="0"/>
        <w:rPr>
          <w:rFonts w:ascii="Times New Roman" w:hAnsi="Times New Roman" w:cs="Times New Roman"/>
          <w:sz w:val="14"/>
          <w:szCs w:val="16"/>
        </w:rPr>
      </w:pPr>
    </w:p>
    <w:sectPr w:rsidR="00C85189" w:rsidRPr="006D32F5" w:rsidSect="006B4197">
      <w:headerReference w:type="default" r:id="rId8"/>
      <w:pgSz w:w="12240" w:h="15840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3D3" w:rsidRDefault="00C323D3" w:rsidP="006B4197">
      <w:pPr>
        <w:spacing w:after="0" w:line="240" w:lineRule="auto"/>
      </w:pPr>
      <w:r>
        <w:separator/>
      </w:r>
    </w:p>
  </w:endnote>
  <w:endnote w:type="continuationSeparator" w:id="0">
    <w:p w:rsidR="00C323D3" w:rsidRDefault="00C323D3" w:rsidP="006B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3D3" w:rsidRDefault="00C323D3" w:rsidP="006B4197">
      <w:pPr>
        <w:spacing w:after="0" w:line="240" w:lineRule="auto"/>
      </w:pPr>
      <w:r>
        <w:separator/>
      </w:r>
    </w:p>
  </w:footnote>
  <w:footnote w:type="continuationSeparator" w:id="0">
    <w:p w:rsidR="00C323D3" w:rsidRDefault="00C323D3" w:rsidP="006B4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197" w:rsidRPr="00F55D6E" w:rsidRDefault="006B4197" w:rsidP="006B4197">
    <w:pPr>
      <w:pStyle w:val="Encabezado"/>
      <w:jc w:val="right"/>
      <w:rPr>
        <w:rFonts w:ascii="Times New Roman" w:hAnsi="Times New Roman" w:cs="Times New Roman"/>
        <w:i/>
        <w:color w:val="44546A" w:themeColor="text2"/>
        <w:sz w:val="28"/>
      </w:rPr>
    </w:pPr>
    <w:r w:rsidRPr="0061510B">
      <w:rPr>
        <w:noProof/>
        <w:lang w:eastAsia="es-GT"/>
      </w:rPr>
      <w:drawing>
        <wp:anchor distT="0" distB="0" distL="114300" distR="114300" simplePos="0" relativeHeight="251659264" behindDoc="0" locked="0" layoutInCell="1" allowOverlap="1" wp14:anchorId="51CFF230" wp14:editId="318AFE92">
          <wp:simplePos x="0" y="0"/>
          <wp:positionH relativeFrom="column">
            <wp:posOffset>-349250</wp:posOffset>
          </wp:positionH>
          <wp:positionV relativeFrom="paragraph">
            <wp:posOffset>-286211</wp:posOffset>
          </wp:positionV>
          <wp:extent cx="1598212" cy="723976"/>
          <wp:effectExtent l="0" t="0" r="2540" b="0"/>
          <wp:wrapNone/>
          <wp:docPr id="5" name="Imagen 5" descr="Resultado de imagen para gobierno de guatemal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gobierno de guatemal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8212" cy="723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510B">
      <w:rPr>
        <w:rFonts w:ascii="Times New Roman" w:hAnsi="Times New Roman" w:cs="Times New Roman"/>
        <w:i/>
        <w:color w:val="44546A" w:themeColor="text2"/>
      </w:rPr>
      <w:t>Dirección de Análisis y Política Fiscal</w:t>
    </w:r>
  </w:p>
  <w:p w:rsidR="006B4197" w:rsidRDefault="006B4197" w:rsidP="006B4197">
    <w:r w:rsidRPr="00F55D6E">
      <w:rPr>
        <w:rFonts w:ascii="Times New Roman" w:hAnsi="Times New Roman" w:cs="Times New Roman"/>
        <w:noProof/>
        <w:color w:val="5B9BD5" w:themeColor="accent1"/>
        <w:sz w:val="12"/>
        <w:szCs w:val="16"/>
        <w:lang w:eastAsia="es-G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54E66E" wp14:editId="2018D710">
              <wp:simplePos x="0" y="0"/>
              <wp:positionH relativeFrom="column">
                <wp:posOffset>1890395</wp:posOffset>
              </wp:positionH>
              <wp:positionV relativeFrom="paragraph">
                <wp:posOffset>83821</wp:posOffset>
              </wp:positionV>
              <wp:extent cx="4985468" cy="45719"/>
              <wp:effectExtent l="38100" t="38100" r="62865" b="88265"/>
              <wp:wrapNone/>
              <wp:docPr id="23" name="Rectá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85468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ln w="3175"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8EC5ED" id="Rectángulo 23" o:spid="_x0000_s1026" style="position:absolute;margin-left:148.85pt;margin-top:6.6pt;width:392.55pt;height:3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" fillcolor="#2967a1 [2148]" stroked="f" strokeweight=".25pt">
              <v:fill color2="#9cc2e5 [1940]" rotate="t" focusposition="1,1" focussize="" colors="0 #2a69a2;31457f #609ed6;1 #9dc3e6" focus="100%" type="gradientRadial"/>
              <v:shadow on="t" color="black" opacity="26214f" origin="-.5,-.5" offset=".74836mm,.74836mm"/>
            </v:rect>
          </w:pict>
        </mc:Fallback>
      </mc:AlternateContent>
    </w:r>
  </w:p>
  <w:p w:rsidR="006B4197" w:rsidRDefault="006B41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878AD"/>
    <w:multiLevelType w:val="multilevel"/>
    <w:tmpl w:val="6BE6BB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97"/>
    <w:rsid w:val="000A66B6"/>
    <w:rsid w:val="001A5AA7"/>
    <w:rsid w:val="001E160F"/>
    <w:rsid w:val="002108F3"/>
    <w:rsid w:val="00292ECF"/>
    <w:rsid w:val="0029788B"/>
    <w:rsid w:val="002B77A6"/>
    <w:rsid w:val="003446B9"/>
    <w:rsid w:val="003804D1"/>
    <w:rsid w:val="00383CAF"/>
    <w:rsid w:val="003D203E"/>
    <w:rsid w:val="00482356"/>
    <w:rsid w:val="00493F00"/>
    <w:rsid w:val="004A18B2"/>
    <w:rsid w:val="004A2562"/>
    <w:rsid w:val="004A5B00"/>
    <w:rsid w:val="004B0C9C"/>
    <w:rsid w:val="005313E4"/>
    <w:rsid w:val="00576613"/>
    <w:rsid w:val="00582C58"/>
    <w:rsid w:val="00587C72"/>
    <w:rsid w:val="00627414"/>
    <w:rsid w:val="0064085F"/>
    <w:rsid w:val="006B4197"/>
    <w:rsid w:val="006D32F5"/>
    <w:rsid w:val="0071234B"/>
    <w:rsid w:val="00773D8C"/>
    <w:rsid w:val="007A001D"/>
    <w:rsid w:val="007F48FD"/>
    <w:rsid w:val="00853439"/>
    <w:rsid w:val="008C5628"/>
    <w:rsid w:val="00925847"/>
    <w:rsid w:val="009B61B3"/>
    <w:rsid w:val="00A2182F"/>
    <w:rsid w:val="00AE2D2F"/>
    <w:rsid w:val="00C057BB"/>
    <w:rsid w:val="00C323D3"/>
    <w:rsid w:val="00C509A7"/>
    <w:rsid w:val="00C57BA3"/>
    <w:rsid w:val="00C85189"/>
    <w:rsid w:val="00CB0D66"/>
    <w:rsid w:val="00CC7728"/>
    <w:rsid w:val="00CE097A"/>
    <w:rsid w:val="00DC5A64"/>
    <w:rsid w:val="00DE78FA"/>
    <w:rsid w:val="00DF39E9"/>
    <w:rsid w:val="00E42513"/>
    <w:rsid w:val="00E67FEE"/>
    <w:rsid w:val="00E70C2D"/>
    <w:rsid w:val="00EE370B"/>
    <w:rsid w:val="00F22DB4"/>
    <w:rsid w:val="00FB548A"/>
    <w:rsid w:val="00F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2E25"/>
  <w15:chartTrackingRefBased/>
  <w15:docId w15:val="{DB9242DC-34D0-47F8-ADE9-150BA7EE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19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41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197"/>
  </w:style>
  <w:style w:type="paragraph" w:styleId="Piedepgina">
    <w:name w:val="footer"/>
    <w:basedOn w:val="Normal"/>
    <w:link w:val="PiedepginaCar"/>
    <w:uiPriority w:val="99"/>
    <w:unhideWhenUsed/>
    <w:rsid w:val="006B41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197"/>
  </w:style>
  <w:style w:type="character" w:customStyle="1" w:styleId="Ttulo2Car">
    <w:name w:val="Título 2 Car"/>
    <w:basedOn w:val="Fuentedeprrafopredeter"/>
    <w:link w:val="Ttulo2"/>
    <w:uiPriority w:val="9"/>
    <w:rsid w:val="006B41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_tradnl" w:eastAsia="es-ES"/>
    </w:rPr>
  </w:style>
  <w:style w:type="table" w:styleId="Tablaconcuadrcula">
    <w:name w:val="Table Grid"/>
    <w:basedOn w:val="Tablanormal"/>
    <w:uiPriority w:val="39"/>
    <w:rsid w:val="006B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1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2023-01-12T15:55:00Z</dcterms:created>
  <dcterms:modified xsi:type="dcterms:W3CDTF">2023-01-12T21:32:00Z</dcterms:modified>
  <dc:identifier/>
  <dc:language/>
</cp:coreProperties>
</file>