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435B8" w:rsidR="001435B8" w:rsidP="4EEA4F04" w:rsidRDefault="001435B8" w14:paraId="5B855EBB"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1. Introduction</w:t>
      </w:r>
    </w:p>
    <w:p w:rsidRPr="001435B8" w:rsidR="001435B8" w:rsidP="4EEA4F04" w:rsidRDefault="001435B8" w14:paraId="26902432"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The rapid global adoption of </w:t>
      </w:r>
      <w:r w:rsidRPr="4EEA4F04" w:rsidR="001435B8">
        <w:rPr>
          <w:rFonts w:ascii="Aptos" w:hAnsi="Aptos" w:eastAsia="Aptos" w:cs="Aptos" w:asciiTheme="minorAscii" w:hAnsiTheme="minorAscii" w:eastAsiaTheme="minorAscii" w:cstheme="minorAscii"/>
          <w:b w:val="1"/>
          <w:bCs w:val="1"/>
          <w:sz w:val="22"/>
          <w:szCs w:val="22"/>
        </w:rPr>
        <w:t>electric vehicles (EVs)</w:t>
      </w:r>
      <w:r w:rsidRPr="4EEA4F04" w:rsidR="001435B8">
        <w:rPr>
          <w:rFonts w:ascii="Aptos" w:hAnsi="Aptos" w:eastAsia="Aptos" w:cs="Aptos" w:asciiTheme="minorAscii" w:hAnsiTheme="minorAscii" w:eastAsiaTheme="minorAscii" w:cstheme="minorAscii"/>
          <w:sz w:val="22"/>
          <w:szCs w:val="22"/>
        </w:rPr>
        <w:t xml:space="preserve"> is transforming the transportation sector toward cleaner and more sustainable mobility solutions. Governments and industries worldwide are investing heavily in electrification to reduce greenhouse gas emissions, decrease fossil fuel dependency, and improve energy efficiency. At the core of every electric vehicle lies the </w:t>
      </w:r>
      <w:r w:rsidRPr="4EEA4F04" w:rsidR="001435B8">
        <w:rPr>
          <w:rFonts w:ascii="Aptos" w:hAnsi="Aptos" w:eastAsia="Aptos" w:cs="Aptos" w:asciiTheme="minorAscii" w:hAnsiTheme="minorAscii" w:eastAsiaTheme="minorAscii" w:cstheme="minorAscii"/>
          <w:b w:val="1"/>
          <w:bCs w:val="1"/>
          <w:sz w:val="22"/>
          <w:szCs w:val="22"/>
        </w:rPr>
        <w:t>lithium-ion battery pack</w:t>
      </w:r>
      <w:r w:rsidRPr="4EEA4F04" w:rsidR="001435B8">
        <w:rPr>
          <w:rFonts w:ascii="Aptos" w:hAnsi="Aptos" w:eastAsia="Aptos" w:cs="Aptos" w:asciiTheme="minorAscii" w:hAnsiTheme="minorAscii" w:eastAsiaTheme="minorAscii" w:cstheme="minorAscii"/>
          <w:sz w:val="22"/>
          <w:szCs w:val="22"/>
        </w:rPr>
        <w:t xml:space="preserve">, which directly </w:t>
      </w:r>
      <w:r w:rsidRPr="4EEA4F04" w:rsidR="001435B8">
        <w:rPr>
          <w:rFonts w:ascii="Aptos" w:hAnsi="Aptos" w:eastAsia="Aptos" w:cs="Aptos" w:asciiTheme="minorAscii" w:hAnsiTheme="minorAscii" w:eastAsiaTheme="minorAscii" w:cstheme="minorAscii"/>
          <w:sz w:val="22"/>
          <w:szCs w:val="22"/>
        </w:rPr>
        <w:t>determines</w:t>
      </w:r>
      <w:r w:rsidRPr="4EEA4F04" w:rsidR="001435B8">
        <w:rPr>
          <w:rFonts w:ascii="Aptos" w:hAnsi="Aptos" w:eastAsia="Aptos" w:cs="Aptos" w:asciiTheme="minorAscii" w:hAnsiTheme="minorAscii" w:eastAsiaTheme="minorAscii" w:cstheme="minorAscii"/>
          <w:sz w:val="22"/>
          <w:szCs w:val="22"/>
        </w:rPr>
        <w:t xml:space="preserve"> vehicle range, performance, safety, and total cost of ownership.</w:t>
      </w:r>
    </w:p>
    <w:p w:rsidRPr="001435B8" w:rsidR="001435B8" w:rsidP="4EEA4F04" w:rsidRDefault="001435B8" w14:paraId="02C95A19"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Despite their advantages, lithium-ion batteries degrade over time due to electrochemical aging, cycling stress, temperature variation, and operational conditions. This degradation leads to a reduction in usable capacity and increased internal resistance, </w:t>
      </w:r>
      <w:r w:rsidRPr="4EEA4F04" w:rsidR="001435B8">
        <w:rPr>
          <w:rFonts w:ascii="Aptos" w:hAnsi="Aptos" w:eastAsia="Aptos" w:cs="Aptos" w:asciiTheme="minorAscii" w:hAnsiTheme="minorAscii" w:eastAsiaTheme="minorAscii" w:cstheme="minorAscii"/>
          <w:sz w:val="22"/>
          <w:szCs w:val="22"/>
        </w:rPr>
        <w:t>ultimately limiting</w:t>
      </w:r>
      <w:r w:rsidRPr="4EEA4F04" w:rsidR="001435B8">
        <w:rPr>
          <w:rFonts w:ascii="Aptos" w:hAnsi="Aptos" w:eastAsia="Aptos" w:cs="Aptos" w:asciiTheme="minorAscii" w:hAnsiTheme="minorAscii" w:eastAsiaTheme="minorAscii" w:cstheme="minorAscii"/>
          <w:sz w:val="22"/>
          <w:szCs w:val="22"/>
        </w:rPr>
        <w:t xml:space="preserve"> vehicle range and reliability. Therefore, </w:t>
      </w:r>
      <w:r w:rsidRPr="4EEA4F04" w:rsidR="001435B8">
        <w:rPr>
          <w:rFonts w:ascii="Aptos" w:hAnsi="Aptos" w:eastAsia="Aptos" w:cs="Aptos" w:asciiTheme="minorAscii" w:hAnsiTheme="minorAscii" w:eastAsiaTheme="minorAscii" w:cstheme="minorAscii"/>
          <w:sz w:val="22"/>
          <w:szCs w:val="22"/>
        </w:rPr>
        <w:t>accurate</w:t>
      </w:r>
      <w:r w:rsidRPr="4EEA4F04" w:rsidR="001435B8">
        <w:rPr>
          <w:rFonts w:ascii="Aptos" w:hAnsi="Aptos" w:eastAsia="Aptos" w:cs="Aptos" w:asciiTheme="minorAscii" w:hAnsiTheme="minorAscii" w:eastAsiaTheme="minorAscii" w:cstheme="minorAscii"/>
          <w:sz w:val="22"/>
          <w:szCs w:val="22"/>
        </w:rPr>
        <w:t xml:space="preserve"> estimation of:</w:t>
      </w:r>
    </w:p>
    <w:p w:rsidRPr="001435B8" w:rsidR="001435B8" w:rsidP="4EEA4F04" w:rsidRDefault="001435B8" w14:paraId="019232F3" w14:textId="77777777">
      <w:pPr>
        <w:numPr>
          <w:ilvl w:val="0"/>
          <w:numId w:val="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b w:val="1"/>
          <w:bCs w:val="1"/>
          <w:sz w:val="22"/>
          <w:szCs w:val="22"/>
        </w:rPr>
        <w:t>State of Health (</w:t>
      </w:r>
      <w:r w:rsidRPr="4EEA4F04" w:rsidR="001435B8">
        <w:rPr>
          <w:rFonts w:ascii="Aptos" w:hAnsi="Aptos" w:eastAsia="Aptos" w:cs="Aptos" w:asciiTheme="minorAscii" w:hAnsiTheme="minorAscii" w:eastAsiaTheme="minorAscii" w:cstheme="minorAscii"/>
          <w:b w:val="1"/>
          <w:bCs w:val="1"/>
          <w:sz w:val="22"/>
          <w:szCs w:val="22"/>
        </w:rPr>
        <w:t>SoH</w:t>
      </w:r>
      <w:r w:rsidRPr="4EEA4F04" w:rsidR="001435B8">
        <w:rPr>
          <w:rFonts w:ascii="Aptos" w:hAnsi="Aptos" w:eastAsia="Aptos" w:cs="Aptos" w:asciiTheme="minorAscii" w:hAnsiTheme="minorAscii" w:eastAsiaTheme="minorAscii" w:cstheme="minorAscii"/>
          <w:b w:val="1"/>
          <w:bCs w:val="1"/>
          <w:sz w:val="22"/>
          <w:szCs w:val="22"/>
        </w:rPr>
        <w:t>)</w:t>
      </w:r>
      <w:r w:rsidRPr="4EEA4F04" w:rsidR="001435B8">
        <w:rPr>
          <w:rFonts w:ascii="Aptos" w:hAnsi="Aptos" w:eastAsia="Aptos" w:cs="Aptos" w:asciiTheme="minorAscii" w:hAnsiTheme="minorAscii" w:eastAsiaTheme="minorAscii" w:cstheme="minorAscii"/>
          <w:sz w:val="22"/>
          <w:szCs w:val="22"/>
        </w:rPr>
        <w:t xml:space="preserve"> – </w:t>
      </w:r>
      <w:r w:rsidRPr="4EEA4F04" w:rsidR="001435B8">
        <w:rPr>
          <w:rFonts w:ascii="Aptos" w:hAnsi="Aptos" w:eastAsia="Aptos" w:cs="Aptos" w:asciiTheme="minorAscii" w:hAnsiTheme="minorAscii" w:eastAsiaTheme="minorAscii" w:cstheme="minorAscii"/>
          <w:sz w:val="22"/>
          <w:szCs w:val="22"/>
        </w:rPr>
        <w:t>representing</w:t>
      </w:r>
      <w:r w:rsidRPr="4EEA4F04" w:rsidR="001435B8">
        <w:rPr>
          <w:rFonts w:ascii="Aptos" w:hAnsi="Aptos" w:eastAsia="Aptos" w:cs="Aptos" w:asciiTheme="minorAscii" w:hAnsiTheme="minorAscii" w:eastAsiaTheme="minorAscii" w:cstheme="minorAscii"/>
          <w:sz w:val="22"/>
          <w:szCs w:val="22"/>
        </w:rPr>
        <w:t xml:space="preserve"> the remaining capacity </w:t>
      </w:r>
      <w:r w:rsidRPr="4EEA4F04" w:rsidR="001435B8">
        <w:rPr>
          <w:rFonts w:ascii="Aptos" w:hAnsi="Aptos" w:eastAsia="Aptos" w:cs="Aptos" w:asciiTheme="minorAscii" w:hAnsiTheme="minorAscii" w:eastAsiaTheme="minorAscii" w:cstheme="minorAscii"/>
          <w:sz w:val="22"/>
          <w:szCs w:val="22"/>
        </w:rPr>
        <w:t>relative</w:t>
      </w:r>
      <w:r w:rsidRPr="4EEA4F04" w:rsidR="001435B8">
        <w:rPr>
          <w:rFonts w:ascii="Aptos" w:hAnsi="Aptos" w:eastAsia="Aptos" w:cs="Aptos" w:asciiTheme="minorAscii" w:hAnsiTheme="minorAscii" w:eastAsiaTheme="minorAscii" w:cstheme="minorAscii"/>
          <w:sz w:val="22"/>
          <w:szCs w:val="22"/>
        </w:rPr>
        <w:t xml:space="preserve"> to nominal capacity</w:t>
      </w:r>
    </w:p>
    <w:p w:rsidRPr="001435B8" w:rsidR="001435B8" w:rsidP="4EEA4F04" w:rsidRDefault="001435B8" w14:paraId="60B93ACB" w14:textId="77777777">
      <w:pPr>
        <w:numPr>
          <w:ilvl w:val="0"/>
          <w:numId w:val="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b w:val="1"/>
          <w:bCs w:val="1"/>
          <w:sz w:val="22"/>
          <w:szCs w:val="22"/>
        </w:rPr>
        <w:t>Remaining</w:t>
      </w:r>
      <w:r w:rsidRPr="4EEA4F04" w:rsidR="001435B8">
        <w:rPr>
          <w:rFonts w:ascii="Aptos" w:hAnsi="Aptos" w:eastAsia="Aptos" w:cs="Aptos" w:asciiTheme="minorAscii" w:hAnsiTheme="minorAscii" w:eastAsiaTheme="minorAscii" w:cstheme="minorAscii"/>
          <w:b w:val="1"/>
          <w:bCs w:val="1"/>
          <w:sz w:val="22"/>
          <w:szCs w:val="22"/>
        </w:rPr>
        <w:t xml:space="preserve"> Useful Life (RUL)</w:t>
      </w:r>
      <w:r w:rsidRPr="4EEA4F04" w:rsidR="001435B8">
        <w:rPr>
          <w:rFonts w:ascii="Aptos" w:hAnsi="Aptos" w:eastAsia="Aptos" w:cs="Aptos" w:asciiTheme="minorAscii" w:hAnsiTheme="minorAscii" w:eastAsiaTheme="minorAscii" w:cstheme="minorAscii"/>
          <w:sz w:val="22"/>
          <w:szCs w:val="22"/>
        </w:rPr>
        <w:t xml:space="preserve"> – </w:t>
      </w:r>
      <w:r w:rsidRPr="4EEA4F04" w:rsidR="001435B8">
        <w:rPr>
          <w:rFonts w:ascii="Aptos" w:hAnsi="Aptos" w:eastAsia="Aptos" w:cs="Aptos" w:asciiTheme="minorAscii" w:hAnsiTheme="minorAscii" w:eastAsiaTheme="minorAscii" w:cstheme="minorAscii"/>
          <w:sz w:val="22"/>
          <w:szCs w:val="22"/>
        </w:rPr>
        <w:t>representing</w:t>
      </w:r>
      <w:r w:rsidRPr="4EEA4F04" w:rsidR="001435B8">
        <w:rPr>
          <w:rFonts w:ascii="Aptos" w:hAnsi="Aptos" w:eastAsia="Aptos" w:cs="Aptos" w:asciiTheme="minorAscii" w:hAnsiTheme="minorAscii" w:eastAsiaTheme="minorAscii" w:cstheme="minorAscii"/>
          <w:sz w:val="22"/>
          <w:szCs w:val="22"/>
        </w:rPr>
        <w:t xml:space="preserve"> the number of cycles before end-of-life</w:t>
      </w:r>
    </w:p>
    <w:p w:rsidRPr="001435B8" w:rsidR="001435B8" w:rsidP="4EEA4F04" w:rsidRDefault="001435B8" w14:paraId="3D115628"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is critical for battery management systems (BMS), predictive maintenance, and second-life applications.</w:t>
      </w:r>
    </w:p>
    <w:p w:rsidRPr="001435B8" w:rsidR="001435B8" w:rsidP="4EEA4F04" w:rsidRDefault="001435B8" w14:paraId="5D231026"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Traditional battery degradation modeling approaches rely on empirical curve-fitting methods, such as exponential or polynomial degradation models. While these approaches are simple and interpretable, they often </w:t>
      </w:r>
      <w:r w:rsidRPr="4EEA4F04" w:rsidR="001435B8">
        <w:rPr>
          <w:rFonts w:ascii="Aptos" w:hAnsi="Aptos" w:eastAsia="Aptos" w:cs="Aptos" w:asciiTheme="minorAscii" w:hAnsiTheme="minorAscii" w:eastAsiaTheme="minorAscii" w:cstheme="minorAscii"/>
          <w:sz w:val="22"/>
          <w:szCs w:val="22"/>
        </w:rPr>
        <w:t>fail to</w:t>
      </w:r>
      <w:r w:rsidRPr="4EEA4F04" w:rsidR="001435B8">
        <w:rPr>
          <w:rFonts w:ascii="Aptos" w:hAnsi="Aptos" w:eastAsia="Aptos" w:cs="Aptos" w:asciiTheme="minorAscii" w:hAnsiTheme="minorAscii" w:eastAsiaTheme="minorAscii" w:cstheme="minorAscii"/>
          <w:sz w:val="22"/>
          <w:szCs w:val="22"/>
        </w:rPr>
        <w:t xml:space="preserve"> generalize across different batteries and operating conditions.</w:t>
      </w:r>
    </w:p>
    <w:p w:rsidRPr="001435B8" w:rsidR="001435B8" w:rsidP="4EEA4F04" w:rsidRDefault="001435B8" w14:paraId="252F76EB"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With the advancement of machine learning, data-driven models have </w:t>
      </w:r>
      <w:r w:rsidRPr="4EEA4F04" w:rsidR="001435B8">
        <w:rPr>
          <w:rFonts w:ascii="Aptos" w:hAnsi="Aptos" w:eastAsia="Aptos" w:cs="Aptos" w:asciiTheme="minorAscii" w:hAnsiTheme="minorAscii" w:eastAsiaTheme="minorAscii" w:cstheme="minorAscii"/>
          <w:sz w:val="22"/>
          <w:szCs w:val="22"/>
        </w:rPr>
        <w:t>emerged</w:t>
      </w:r>
      <w:r w:rsidRPr="4EEA4F04" w:rsidR="001435B8">
        <w:rPr>
          <w:rFonts w:ascii="Aptos" w:hAnsi="Aptos" w:eastAsia="Aptos" w:cs="Aptos" w:asciiTheme="minorAscii" w:hAnsiTheme="minorAscii" w:eastAsiaTheme="minorAscii" w:cstheme="minorAscii"/>
          <w:sz w:val="22"/>
          <w:szCs w:val="22"/>
        </w:rPr>
        <w:t xml:space="preserve"> as powerful tools for battery health prediction. By </w:t>
      </w:r>
      <w:r w:rsidRPr="4EEA4F04" w:rsidR="001435B8">
        <w:rPr>
          <w:rFonts w:ascii="Aptos" w:hAnsi="Aptos" w:eastAsia="Aptos" w:cs="Aptos" w:asciiTheme="minorAscii" w:hAnsiTheme="minorAscii" w:eastAsiaTheme="minorAscii" w:cstheme="minorAscii"/>
          <w:sz w:val="22"/>
          <w:szCs w:val="22"/>
        </w:rPr>
        <w:t>leveraging</w:t>
      </w:r>
      <w:r w:rsidRPr="4EEA4F04" w:rsidR="001435B8">
        <w:rPr>
          <w:rFonts w:ascii="Aptos" w:hAnsi="Aptos" w:eastAsia="Aptos" w:cs="Aptos" w:asciiTheme="minorAscii" w:hAnsiTheme="minorAscii" w:eastAsiaTheme="minorAscii" w:cstheme="minorAscii"/>
          <w:sz w:val="22"/>
          <w:szCs w:val="22"/>
        </w:rPr>
        <w:t xml:space="preserve"> measurable operational parameters such as voltage, temperature, and capacity evolution over cycles, machine learning models can capture nonlinear degradation behavior more effectively than traditional analytical models.</w:t>
      </w:r>
    </w:p>
    <w:p w:rsidRPr="001435B8" w:rsidR="001435B8" w:rsidP="4EEA4F04" w:rsidRDefault="001435B8" w14:paraId="28F1EB8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This study proposes a machine learning-based framework to predict </w:t>
      </w: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and RUL using cycle-level battery data. Multiple regression models are evaluated and compared under grouped cross-validation to ensure robust generalization across different batteries.</w:t>
      </w:r>
    </w:p>
    <w:p w:rsidRPr="001435B8" w:rsidR="001435B8" w:rsidP="4EEA4F04" w:rsidRDefault="00000000" w14:paraId="63E5E2A0" w14:textId="77777777">
      <w:pPr>
        <w:rPr>
          <w:rFonts w:ascii="Aptos" w:hAnsi="Aptos" w:eastAsia="Aptos" w:cs="Aptos" w:asciiTheme="minorAscii" w:hAnsiTheme="minorAscii" w:eastAsiaTheme="minorAscii" w:cstheme="minorAscii"/>
          <w:sz w:val="22"/>
          <w:szCs w:val="22"/>
        </w:rPr>
      </w:pPr>
      <w:r>
        <w:pict w14:anchorId="76130D46">
          <v:rect id="_x0000_i1025" style="width:0;height:1.5pt" o:hr="t" o:hrstd="t" o:hralign="center" fillcolor="#a0a0a0" stroked="f"/>
        </w:pict>
      </w:r>
    </w:p>
    <w:p w:rsidRPr="00C30A1F" w:rsidR="00C30A1F" w:rsidP="4EEA4F04" w:rsidRDefault="00C30A1F" w14:paraId="7E430CF3"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2. Related Work</w:t>
      </w:r>
    </w:p>
    <w:p w:rsidRPr="00C30A1F" w:rsidR="00C30A1F" w:rsidP="4EEA4F04" w:rsidRDefault="00C30A1F" w14:paraId="6D54C5E1"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 xml:space="preserve">The estimation of battery health has traditionally relied on physics-based or empirical models. In the study </w:t>
      </w:r>
      <w:r w:rsidRPr="4EEA4F04" w:rsidR="00C30A1F">
        <w:rPr>
          <w:rFonts w:ascii="Aptos" w:hAnsi="Aptos" w:eastAsia="Aptos" w:cs="Aptos" w:asciiTheme="minorAscii" w:hAnsiTheme="minorAscii" w:eastAsiaTheme="minorAscii" w:cstheme="minorAscii"/>
          <w:b w:val="1"/>
          <w:bCs w:val="1"/>
          <w:i w:val="1"/>
          <w:iCs w:val="1"/>
          <w:sz w:val="22"/>
          <w:szCs w:val="22"/>
        </w:rPr>
        <w:t>"Remaining Useful Life Predictor for EV Batteries Using Machine Learning"</w:t>
      </w:r>
      <w:r w:rsidRPr="4EEA4F04" w:rsidR="00C30A1F">
        <w:rPr>
          <w:rFonts w:ascii="Aptos" w:hAnsi="Aptos" w:eastAsia="Aptos" w:cs="Aptos" w:asciiTheme="minorAscii" w:hAnsiTheme="minorAscii" w:eastAsiaTheme="minorAscii" w:cstheme="minorAscii"/>
          <w:b w:val="1"/>
          <w:bCs w:val="1"/>
          <w:sz w:val="22"/>
          <w:szCs w:val="22"/>
        </w:rPr>
        <w:t xml:space="preserve"> (IEEE 10681082), the authors explored the application of an exponential degradation model to track the capacity fade of lithium-ion cells.</w:t>
      </w:r>
    </w:p>
    <w:p w:rsidRPr="00C30A1F" w:rsidR="00C30A1F" w:rsidP="4EEA4F04" w:rsidRDefault="00C30A1F" w14:paraId="68382F76"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Limitations of Traditional Models</w:t>
      </w:r>
    </w:p>
    <w:p w:rsidRPr="00C30A1F" w:rsidR="00C30A1F" w:rsidP="4EEA4F04" w:rsidRDefault="00C30A1F" w14:paraId="4E81C345"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The exponential model assumes that capacity loss follows a predictable, monotonic decay curve defined by:</w:t>
      </w:r>
    </w:p>
    <w:p w:rsidRPr="00C30A1F" w:rsidR="00C30A1F" w:rsidP="4EEA4F04" w:rsidRDefault="00C30A1F" w14:paraId="632CFC24" w14:textId="77777777">
      <w:pPr>
        <w:rPr>
          <w:rFonts w:ascii="Aptos" w:hAnsi="Aptos" w:eastAsia="Aptos" w:cs="Aptos" w:asciiTheme="minorAscii" w:hAnsiTheme="minorAscii" w:eastAsiaTheme="minorAscii" w:cstheme="minorAscii"/>
          <w:b w:val="1"/>
          <w:bCs w:val="1"/>
          <w:sz w:val="22"/>
          <w:szCs w:val="22"/>
          <w:lang w:val="pt-BR"/>
        </w:rPr>
      </w:pPr>
      <w:r w:rsidRPr="4EEA4F04" w:rsidR="00C30A1F">
        <w:rPr>
          <w:rFonts w:ascii="Aptos" w:hAnsi="Aptos" w:eastAsia="Aptos" w:cs="Aptos" w:asciiTheme="minorAscii" w:hAnsiTheme="minorAscii" w:eastAsiaTheme="minorAscii" w:cstheme="minorAscii"/>
          <w:b w:val="1"/>
          <w:bCs w:val="1"/>
          <w:sz w:val="22"/>
          <w:szCs w:val="22"/>
          <w:lang w:val="pt-BR"/>
        </w:rPr>
        <w:t>$$C(n) = a \</w:t>
      </w:r>
      <w:r w:rsidRPr="4EEA4F04" w:rsidR="00C30A1F">
        <w:rPr>
          <w:rFonts w:ascii="Aptos" w:hAnsi="Aptos" w:eastAsia="Aptos" w:cs="Aptos" w:asciiTheme="minorAscii" w:hAnsiTheme="minorAscii" w:eastAsiaTheme="minorAscii" w:cstheme="minorAscii"/>
          <w:b w:val="1"/>
          <w:bCs w:val="1"/>
          <w:sz w:val="22"/>
          <w:szCs w:val="22"/>
          <w:lang w:val="pt-BR"/>
        </w:rPr>
        <w:t>cdot</w:t>
      </w:r>
      <w:r w:rsidRPr="4EEA4F04" w:rsidR="00C30A1F">
        <w:rPr>
          <w:rFonts w:ascii="Aptos" w:hAnsi="Aptos" w:eastAsia="Aptos" w:cs="Aptos" w:asciiTheme="minorAscii" w:hAnsiTheme="minorAscii" w:eastAsiaTheme="minorAscii" w:cstheme="minorAscii"/>
          <w:b w:val="1"/>
          <w:bCs w:val="1"/>
          <w:sz w:val="22"/>
          <w:szCs w:val="22"/>
          <w:lang w:val="pt-BR"/>
        </w:rPr>
        <w:t xml:space="preserve"> \</w:t>
      </w:r>
      <w:r w:rsidRPr="4EEA4F04" w:rsidR="00C30A1F">
        <w:rPr>
          <w:rFonts w:ascii="Aptos" w:hAnsi="Aptos" w:eastAsia="Aptos" w:cs="Aptos" w:asciiTheme="minorAscii" w:hAnsiTheme="minorAscii" w:eastAsiaTheme="minorAscii" w:cstheme="minorAscii"/>
          <w:b w:val="1"/>
          <w:bCs w:val="1"/>
          <w:sz w:val="22"/>
          <w:szCs w:val="22"/>
          <w:lang w:val="pt-BR"/>
        </w:rPr>
        <w:t>exp</w:t>
      </w:r>
      <w:r w:rsidRPr="4EEA4F04" w:rsidR="00C30A1F">
        <w:rPr>
          <w:rFonts w:ascii="Aptos" w:hAnsi="Aptos" w:eastAsia="Aptos" w:cs="Aptos" w:asciiTheme="minorAscii" w:hAnsiTheme="minorAscii" w:eastAsiaTheme="minorAscii" w:cstheme="minorAscii"/>
          <w:b w:val="1"/>
          <w:bCs w:val="1"/>
          <w:sz w:val="22"/>
          <w:szCs w:val="22"/>
          <w:lang w:val="pt-BR"/>
        </w:rPr>
        <w:t>(</w:t>
      </w:r>
      <w:r w:rsidRPr="4EEA4F04" w:rsidR="00C30A1F">
        <w:rPr>
          <w:rFonts w:ascii="Aptos" w:hAnsi="Aptos" w:eastAsia="Aptos" w:cs="Aptos" w:asciiTheme="minorAscii" w:hAnsiTheme="minorAscii" w:eastAsiaTheme="minorAscii" w:cstheme="minorAscii"/>
          <w:b w:val="1"/>
          <w:bCs w:val="1"/>
          <w:sz w:val="22"/>
          <w:szCs w:val="22"/>
          <w:lang w:val="pt-BR"/>
        </w:rPr>
        <w:t>b \</w:t>
      </w:r>
      <w:r w:rsidRPr="4EEA4F04" w:rsidR="00C30A1F">
        <w:rPr>
          <w:rFonts w:ascii="Aptos" w:hAnsi="Aptos" w:eastAsia="Aptos" w:cs="Aptos" w:asciiTheme="minorAscii" w:hAnsiTheme="minorAscii" w:eastAsiaTheme="minorAscii" w:cstheme="minorAscii"/>
          <w:b w:val="1"/>
          <w:bCs w:val="1"/>
          <w:sz w:val="22"/>
          <w:szCs w:val="22"/>
          <w:lang w:val="pt-BR"/>
        </w:rPr>
        <w:t>cdot</w:t>
      </w:r>
      <w:r w:rsidRPr="4EEA4F04" w:rsidR="00C30A1F">
        <w:rPr>
          <w:rFonts w:ascii="Aptos" w:hAnsi="Aptos" w:eastAsia="Aptos" w:cs="Aptos" w:asciiTheme="minorAscii" w:hAnsiTheme="minorAscii" w:eastAsiaTheme="minorAscii" w:cstheme="minorAscii"/>
          <w:b w:val="1"/>
          <w:bCs w:val="1"/>
          <w:sz w:val="22"/>
          <w:szCs w:val="22"/>
          <w:lang w:val="pt-BR"/>
        </w:rPr>
        <w:t xml:space="preserve"> n) + c \</w:t>
      </w:r>
      <w:r w:rsidRPr="4EEA4F04" w:rsidR="00C30A1F">
        <w:rPr>
          <w:rFonts w:ascii="Aptos" w:hAnsi="Aptos" w:eastAsia="Aptos" w:cs="Aptos" w:asciiTheme="minorAscii" w:hAnsiTheme="minorAscii" w:eastAsiaTheme="minorAscii" w:cstheme="minorAscii"/>
          <w:b w:val="1"/>
          <w:bCs w:val="1"/>
          <w:sz w:val="22"/>
          <w:szCs w:val="22"/>
          <w:lang w:val="pt-BR"/>
        </w:rPr>
        <w:t>cdot</w:t>
      </w:r>
      <w:r w:rsidRPr="4EEA4F04" w:rsidR="00C30A1F">
        <w:rPr>
          <w:rFonts w:ascii="Aptos" w:hAnsi="Aptos" w:eastAsia="Aptos" w:cs="Aptos" w:asciiTheme="minorAscii" w:hAnsiTheme="minorAscii" w:eastAsiaTheme="minorAscii" w:cstheme="minorAscii"/>
          <w:b w:val="1"/>
          <w:bCs w:val="1"/>
          <w:sz w:val="22"/>
          <w:szCs w:val="22"/>
          <w:lang w:val="pt-BR"/>
        </w:rPr>
        <w:t xml:space="preserve"> \</w:t>
      </w:r>
      <w:r w:rsidRPr="4EEA4F04" w:rsidR="00C30A1F">
        <w:rPr>
          <w:rFonts w:ascii="Aptos" w:hAnsi="Aptos" w:eastAsia="Aptos" w:cs="Aptos" w:asciiTheme="minorAscii" w:hAnsiTheme="minorAscii" w:eastAsiaTheme="minorAscii" w:cstheme="minorAscii"/>
          <w:b w:val="1"/>
          <w:bCs w:val="1"/>
          <w:sz w:val="22"/>
          <w:szCs w:val="22"/>
          <w:lang w:val="pt-BR"/>
        </w:rPr>
        <w:t>exp</w:t>
      </w:r>
      <w:r w:rsidRPr="4EEA4F04" w:rsidR="00C30A1F">
        <w:rPr>
          <w:rFonts w:ascii="Aptos" w:hAnsi="Aptos" w:eastAsia="Aptos" w:cs="Aptos" w:asciiTheme="minorAscii" w:hAnsiTheme="minorAscii" w:eastAsiaTheme="minorAscii" w:cstheme="minorAscii"/>
          <w:b w:val="1"/>
          <w:bCs w:val="1"/>
          <w:sz w:val="22"/>
          <w:szCs w:val="22"/>
          <w:lang w:val="pt-BR"/>
        </w:rPr>
        <w:t>(</w:t>
      </w:r>
      <w:r w:rsidRPr="4EEA4F04" w:rsidR="00C30A1F">
        <w:rPr>
          <w:rFonts w:ascii="Aptos" w:hAnsi="Aptos" w:eastAsia="Aptos" w:cs="Aptos" w:asciiTheme="minorAscii" w:hAnsiTheme="minorAscii" w:eastAsiaTheme="minorAscii" w:cstheme="minorAscii"/>
          <w:b w:val="1"/>
          <w:bCs w:val="1"/>
          <w:sz w:val="22"/>
          <w:szCs w:val="22"/>
          <w:lang w:val="pt-BR"/>
        </w:rPr>
        <w:t>d \</w:t>
      </w:r>
      <w:r w:rsidRPr="4EEA4F04" w:rsidR="00C30A1F">
        <w:rPr>
          <w:rFonts w:ascii="Aptos" w:hAnsi="Aptos" w:eastAsia="Aptos" w:cs="Aptos" w:asciiTheme="minorAscii" w:hAnsiTheme="minorAscii" w:eastAsiaTheme="minorAscii" w:cstheme="minorAscii"/>
          <w:b w:val="1"/>
          <w:bCs w:val="1"/>
          <w:sz w:val="22"/>
          <w:szCs w:val="22"/>
          <w:lang w:val="pt-BR"/>
        </w:rPr>
        <w:t>cdot</w:t>
      </w:r>
      <w:r w:rsidRPr="4EEA4F04" w:rsidR="00C30A1F">
        <w:rPr>
          <w:rFonts w:ascii="Aptos" w:hAnsi="Aptos" w:eastAsia="Aptos" w:cs="Aptos" w:asciiTheme="minorAscii" w:hAnsiTheme="minorAscii" w:eastAsiaTheme="minorAscii" w:cstheme="minorAscii"/>
          <w:b w:val="1"/>
          <w:bCs w:val="1"/>
          <w:sz w:val="22"/>
          <w:szCs w:val="22"/>
          <w:lang w:val="pt-BR"/>
        </w:rPr>
        <w:t xml:space="preserve"> </w:t>
      </w:r>
      <w:r w:rsidRPr="4EEA4F04" w:rsidR="00C30A1F">
        <w:rPr>
          <w:rFonts w:ascii="Aptos" w:hAnsi="Aptos" w:eastAsia="Aptos" w:cs="Aptos" w:asciiTheme="minorAscii" w:hAnsiTheme="minorAscii" w:eastAsiaTheme="minorAscii" w:cstheme="minorAscii"/>
          <w:b w:val="1"/>
          <w:bCs w:val="1"/>
          <w:sz w:val="22"/>
          <w:szCs w:val="22"/>
          <w:lang w:val="pt-BR"/>
        </w:rPr>
        <w:t>n)$</w:t>
      </w:r>
      <w:r w:rsidRPr="4EEA4F04" w:rsidR="00C30A1F">
        <w:rPr>
          <w:rFonts w:ascii="Aptos" w:hAnsi="Aptos" w:eastAsia="Aptos" w:cs="Aptos" w:asciiTheme="minorAscii" w:hAnsiTheme="minorAscii" w:eastAsiaTheme="minorAscii" w:cstheme="minorAscii"/>
          <w:b w:val="1"/>
          <w:bCs w:val="1"/>
          <w:sz w:val="22"/>
          <w:szCs w:val="22"/>
          <w:lang w:val="pt-BR"/>
        </w:rPr>
        <w:t>$</w:t>
      </w:r>
    </w:p>
    <w:p w:rsidRPr="00C30A1F" w:rsidR="00C30A1F" w:rsidP="4EEA4F04" w:rsidRDefault="00C30A1F" w14:paraId="4FD1D542"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 xml:space="preserve">Where $C$ is capacity and $n$ is the cycle number. While this captures the general downward trend of battery life, it often </w:t>
      </w:r>
      <w:r w:rsidRPr="4EEA4F04" w:rsidR="00C30A1F">
        <w:rPr>
          <w:rFonts w:ascii="Aptos" w:hAnsi="Aptos" w:eastAsia="Aptos" w:cs="Aptos" w:asciiTheme="minorAscii" w:hAnsiTheme="minorAscii" w:eastAsiaTheme="minorAscii" w:cstheme="minorAscii"/>
          <w:b w:val="1"/>
          <w:bCs w:val="1"/>
          <w:sz w:val="22"/>
          <w:szCs w:val="22"/>
        </w:rPr>
        <w:t>fails to</w:t>
      </w:r>
      <w:r w:rsidRPr="4EEA4F04" w:rsidR="00C30A1F">
        <w:rPr>
          <w:rFonts w:ascii="Aptos" w:hAnsi="Aptos" w:eastAsia="Aptos" w:cs="Aptos" w:asciiTheme="minorAscii" w:hAnsiTheme="minorAscii" w:eastAsiaTheme="minorAscii" w:cstheme="minorAscii"/>
          <w:b w:val="1"/>
          <w:bCs w:val="1"/>
          <w:sz w:val="22"/>
          <w:szCs w:val="22"/>
        </w:rPr>
        <w:t xml:space="preserve"> account for:</w:t>
      </w:r>
    </w:p>
    <w:p w:rsidRPr="00C30A1F" w:rsidR="00C30A1F" w:rsidP="4EEA4F04" w:rsidRDefault="00C30A1F" w14:paraId="3FEF1932" w14:textId="77777777">
      <w:pPr>
        <w:numPr>
          <w:ilvl w:val="0"/>
          <w:numId w:val="23"/>
        </w:num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Regenerative Effects: Small, temporary increases in capacity during rest periods.</w:t>
      </w:r>
    </w:p>
    <w:p w:rsidRPr="00C30A1F" w:rsidR="00C30A1F" w:rsidP="4EEA4F04" w:rsidRDefault="00C30A1F" w14:paraId="52A6734C" w14:textId="77777777">
      <w:pPr>
        <w:numPr>
          <w:ilvl w:val="0"/>
          <w:numId w:val="23"/>
        </w:num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Operating Volatility: Sharp changes in degradation rates due to thermal spikes or high-discharge pulses.</w:t>
      </w:r>
    </w:p>
    <w:p w:rsidRPr="00C30A1F" w:rsidR="00C30A1F" w:rsidP="4EEA4F04" w:rsidRDefault="00C30A1F" w14:paraId="56A2062C"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Performance Benchmarks</w:t>
      </w:r>
    </w:p>
    <w:p w:rsidRPr="00C30A1F" w:rsidR="00C30A1F" w:rsidP="4EEA4F04" w:rsidRDefault="00C30A1F" w14:paraId="20D39E7A"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 xml:space="preserve">The reference study reported a Mean Squared Error (MSE) of 0.091 and a Mean Absolute Error (MAE) of 0.236. These errors suggest that while the exponential model follows the "average" path of degradation, it lacks the precision </w:t>
      </w:r>
      <w:r w:rsidRPr="4EEA4F04" w:rsidR="00C30A1F">
        <w:rPr>
          <w:rFonts w:ascii="Aptos" w:hAnsi="Aptos" w:eastAsia="Aptos" w:cs="Aptos" w:asciiTheme="minorAscii" w:hAnsiTheme="minorAscii" w:eastAsiaTheme="minorAscii" w:cstheme="minorAscii"/>
          <w:b w:val="1"/>
          <w:bCs w:val="1"/>
          <w:sz w:val="22"/>
          <w:szCs w:val="22"/>
        </w:rPr>
        <w:t>required</w:t>
      </w:r>
      <w:r w:rsidRPr="4EEA4F04" w:rsidR="00C30A1F">
        <w:rPr>
          <w:rFonts w:ascii="Aptos" w:hAnsi="Aptos" w:eastAsia="Aptos" w:cs="Aptos" w:asciiTheme="minorAscii" w:hAnsiTheme="minorAscii" w:eastAsiaTheme="minorAscii" w:cstheme="minorAscii"/>
          <w:b w:val="1"/>
          <w:bCs w:val="1"/>
          <w:sz w:val="22"/>
          <w:szCs w:val="22"/>
        </w:rPr>
        <w:t xml:space="preserve"> for high-reliability Battery Management Systems (BMS).</w:t>
      </w:r>
    </w:p>
    <w:p w:rsidRPr="00C30A1F" w:rsidR="00C30A1F" w:rsidP="4EEA4F04" w:rsidRDefault="00C30A1F" w14:paraId="717375A6" w14:textId="77777777">
      <w:pPr>
        <w:rPr>
          <w:rFonts w:ascii="Aptos" w:hAnsi="Aptos" w:eastAsia="Aptos" w:cs="Aptos" w:asciiTheme="minorAscii" w:hAnsiTheme="minorAscii" w:eastAsiaTheme="minorAscii" w:cstheme="minorAscii"/>
          <w:b w:val="1"/>
          <w:bCs w:val="1"/>
          <w:sz w:val="22"/>
          <w:szCs w:val="22"/>
        </w:rPr>
      </w:pPr>
      <w:r w:rsidRPr="4EEA4F04" w:rsidR="00C30A1F">
        <w:rPr>
          <w:rFonts w:ascii="Aptos" w:hAnsi="Aptos" w:eastAsia="Aptos" w:cs="Aptos" w:asciiTheme="minorAscii" w:hAnsiTheme="minorAscii" w:eastAsiaTheme="minorAscii" w:cstheme="minorAscii"/>
          <w:b w:val="1"/>
          <w:bCs w:val="1"/>
          <w:sz w:val="22"/>
          <w:szCs w:val="22"/>
        </w:rPr>
        <w:t xml:space="preserve">Recent shifts in the literature, which this study follows, suggest that data-driven models (SVR, Random Forest, </w:t>
      </w:r>
      <w:r w:rsidRPr="4EEA4F04" w:rsidR="00C30A1F">
        <w:rPr>
          <w:rFonts w:ascii="Aptos" w:hAnsi="Aptos" w:eastAsia="Aptos" w:cs="Aptos" w:asciiTheme="minorAscii" w:hAnsiTheme="minorAscii" w:eastAsiaTheme="minorAscii" w:cstheme="minorAscii"/>
          <w:b w:val="1"/>
          <w:bCs w:val="1"/>
          <w:sz w:val="22"/>
          <w:szCs w:val="22"/>
        </w:rPr>
        <w:t>XGBoost</w:t>
      </w:r>
      <w:r w:rsidRPr="4EEA4F04" w:rsidR="00C30A1F">
        <w:rPr>
          <w:rFonts w:ascii="Aptos" w:hAnsi="Aptos" w:eastAsia="Aptos" w:cs="Aptos" w:asciiTheme="minorAscii" w:hAnsiTheme="minorAscii" w:eastAsiaTheme="minorAscii" w:cstheme="minorAscii"/>
          <w:b w:val="1"/>
          <w:bCs w:val="1"/>
          <w:sz w:val="22"/>
          <w:szCs w:val="22"/>
        </w:rPr>
        <w:t>) can outperform these empirical formulas by "learning" the specific noise and non-linearities present in real-world sensor data. By using Grouped Cross-Validation, this study addresses a common gap in the reference literature: the ability of a model to generalize to an entirely unseen battery pack rather than just predicting future cycles of a known battery.</w:t>
      </w:r>
    </w:p>
    <w:p w:rsidRPr="001435B8" w:rsidR="001435B8" w:rsidP="4EEA4F04" w:rsidRDefault="00000000" w14:paraId="2CB1A701" w14:textId="59015DD0">
      <w:pPr>
        <w:spacing w:before="299" w:beforeAutospacing="off" w:after="299" w:afterAutospacing="off"/>
        <w:rPr>
          <w:rFonts w:ascii="Aptos" w:hAnsi="Aptos" w:eastAsia="Aptos" w:cs="Aptos" w:asciiTheme="minorAscii" w:hAnsiTheme="minorAscii" w:eastAsiaTheme="minorAscii" w:cstheme="minorAscii"/>
          <w:b w:val="1"/>
          <w:bCs w:val="1"/>
          <w:noProof w:val="0"/>
          <w:sz w:val="22"/>
          <w:szCs w:val="22"/>
          <w:lang w:val="en-CA"/>
        </w:rPr>
      </w:pPr>
      <w:r w:rsidRPr="4EEA4F04" w:rsidR="1264F2FA">
        <w:rPr>
          <w:rFonts w:ascii="Aptos" w:hAnsi="Aptos" w:eastAsia="Aptos" w:cs="Aptos" w:asciiTheme="minorAscii" w:hAnsiTheme="minorAscii" w:eastAsiaTheme="minorAscii" w:cstheme="minorAscii"/>
          <w:b w:val="1"/>
          <w:bCs w:val="1"/>
          <w:noProof w:val="0"/>
          <w:sz w:val="22"/>
          <w:szCs w:val="22"/>
          <w:lang w:val="en-CA"/>
        </w:rPr>
        <w:t>Research Contributions</w:t>
      </w:r>
    </w:p>
    <w:p w:rsidRPr="001435B8" w:rsidR="001435B8" w:rsidP="4EEA4F04" w:rsidRDefault="00000000" w14:paraId="60B1720A" w14:textId="3FE81A90">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This study makes the following contributions:</w:t>
      </w:r>
    </w:p>
    <w:p w:rsidRPr="001435B8" w:rsidR="001435B8" w:rsidP="4EEA4F04" w:rsidRDefault="00000000" w14:paraId="6E7FAF55" w14:textId="62756CEE">
      <w:pPr>
        <w:pStyle w:val="ListParagraph"/>
        <w:numPr>
          <w:ilvl w:val="0"/>
          <w:numId w:val="25"/>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Implements a grouped cross-validation strategy to ensure robust battery-level generalization.</w:t>
      </w:r>
    </w:p>
    <w:p w:rsidRPr="001435B8" w:rsidR="001435B8" w:rsidP="4EEA4F04" w:rsidRDefault="00000000" w14:paraId="02393E9F" w14:textId="5D862B57">
      <w:pPr>
        <w:pStyle w:val="ListParagraph"/>
        <w:numPr>
          <w:ilvl w:val="0"/>
          <w:numId w:val="25"/>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Compares traditional empirical modeling with multiple machine learning regression approaches.</w:t>
      </w:r>
    </w:p>
    <w:p w:rsidRPr="001435B8" w:rsidR="001435B8" w:rsidP="4EEA4F04" w:rsidRDefault="00000000" w14:paraId="7C62070C" w14:textId="17EA8A0E">
      <w:pPr>
        <w:pStyle w:val="ListParagraph"/>
        <w:numPr>
          <w:ilvl w:val="0"/>
          <w:numId w:val="25"/>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Demonstrates that tuned SVR significantly outperforms exponential degradation models.</w:t>
      </w:r>
    </w:p>
    <w:p w:rsidRPr="001435B8" w:rsidR="001435B8" w:rsidP="4EEA4F04" w:rsidRDefault="00000000" w14:paraId="00D1DF13" w14:textId="1C735C17">
      <w:pPr>
        <w:pStyle w:val="ListParagraph"/>
        <w:numPr>
          <w:ilvl w:val="0"/>
          <w:numId w:val="25"/>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Provides a structured evaluation framework applicable to real-world EV Battery Management Systems (BMS).</w:t>
      </w:r>
    </w:p>
    <w:p w:rsidRPr="001435B8" w:rsidR="001435B8" w:rsidP="4EEA4F04" w:rsidRDefault="00000000" w14:paraId="776EC813" w14:textId="65E2AD9D">
      <w:pPr>
        <w:pStyle w:val="ListParagraph"/>
        <w:numPr>
          <w:ilvl w:val="0"/>
          <w:numId w:val="25"/>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1264F2FA">
        <w:rPr>
          <w:rFonts w:ascii="Aptos" w:hAnsi="Aptos" w:eastAsia="Aptos" w:cs="Aptos" w:asciiTheme="minorAscii" w:hAnsiTheme="minorAscii" w:eastAsiaTheme="minorAscii" w:cstheme="minorAscii"/>
          <w:noProof w:val="0"/>
          <w:sz w:val="22"/>
          <w:szCs w:val="22"/>
          <w:lang w:val="en-CA"/>
        </w:rPr>
        <w:t>Bridges academic modeling with practical EV deployment scenarios</w:t>
      </w:r>
    </w:p>
    <w:p w:rsidRPr="001435B8" w:rsidR="001435B8" w:rsidP="4EEA4F04" w:rsidRDefault="00000000" w14:paraId="320E1AB4" w14:textId="77777777">
      <w:pPr>
        <w:rPr>
          <w:rFonts w:ascii="Aptos" w:hAnsi="Aptos" w:eastAsia="Aptos" w:cs="Aptos" w:asciiTheme="minorAscii" w:hAnsiTheme="minorAscii" w:eastAsiaTheme="minorAscii" w:cstheme="minorAscii"/>
          <w:sz w:val="22"/>
          <w:szCs w:val="22"/>
        </w:rPr>
      </w:pPr>
      <w:r>
        <w:pict w14:anchorId="53F1356F">
          <v:rect id="_x0000_i1026" style="width:0;height:1.5pt" o:hr="t" o:hrstd="t" o:hralign="center" fillcolor="#a0a0a0" stroked="f"/>
        </w:pict>
      </w:r>
    </w:p>
    <w:p w:rsidRPr="001435B8" w:rsidR="001435B8" w:rsidP="4EEA4F04" w:rsidRDefault="001435B8" w14:paraId="62234394"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3. Proposed Methodology</w:t>
      </w:r>
    </w:p>
    <w:p w:rsidRPr="001435B8" w:rsidR="001435B8" w:rsidP="4EEA4F04" w:rsidRDefault="001435B8" w14:paraId="7DE47CF2"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The proposed approach follows a structured machine learning pipeline:</w:t>
      </w:r>
    </w:p>
    <w:p w:rsidRPr="001435B8" w:rsidR="001435B8" w:rsidP="4EEA4F04" w:rsidRDefault="001435B8" w14:paraId="419A5D9B" w14:textId="77777777">
      <w:pPr>
        <w:numPr>
          <w:ilvl w:val="0"/>
          <w:numId w:val="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Data preprocessing and feature engineering</w:t>
      </w:r>
    </w:p>
    <w:p w:rsidRPr="001435B8" w:rsidR="001435B8" w:rsidP="4EEA4F04" w:rsidRDefault="001435B8" w14:paraId="5A05C95E" w14:textId="77777777">
      <w:pPr>
        <w:numPr>
          <w:ilvl w:val="0"/>
          <w:numId w:val="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Grouped cross-validation (</w:t>
      </w:r>
      <w:r w:rsidRPr="4EEA4F04" w:rsidR="001435B8">
        <w:rPr>
          <w:rFonts w:ascii="Aptos" w:hAnsi="Aptos" w:eastAsia="Aptos" w:cs="Aptos" w:asciiTheme="minorAscii" w:hAnsiTheme="minorAscii" w:eastAsiaTheme="minorAscii" w:cstheme="minorAscii"/>
          <w:sz w:val="22"/>
          <w:szCs w:val="22"/>
        </w:rPr>
        <w:t>GroupKFold</w:t>
      </w:r>
      <w:r w:rsidRPr="4EEA4F04" w:rsidR="001435B8">
        <w:rPr>
          <w:rFonts w:ascii="Aptos" w:hAnsi="Aptos" w:eastAsia="Aptos" w:cs="Aptos" w:asciiTheme="minorAscii" w:hAnsiTheme="minorAscii" w:eastAsiaTheme="minorAscii" w:cstheme="minorAscii"/>
          <w:sz w:val="22"/>
          <w:szCs w:val="22"/>
        </w:rPr>
        <w:t xml:space="preserve"> by battery ID)</w:t>
      </w:r>
    </w:p>
    <w:p w:rsidRPr="001435B8" w:rsidR="001435B8" w:rsidP="4EEA4F04" w:rsidRDefault="001435B8" w14:paraId="2B0AEE9F" w14:textId="77777777">
      <w:pPr>
        <w:numPr>
          <w:ilvl w:val="0"/>
          <w:numId w:val="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Model training and evaluation</w:t>
      </w:r>
    </w:p>
    <w:p w:rsidRPr="001435B8" w:rsidR="001435B8" w:rsidP="4EEA4F04" w:rsidRDefault="001435B8" w14:paraId="5D710A93" w14:textId="77777777">
      <w:pPr>
        <w:numPr>
          <w:ilvl w:val="0"/>
          <w:numId w:val="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Hyperparameter tuning (SVR using </w:t>
      </w:r>
      <w:r w:rsidRPr="4EEA4F04" w:rsidR="001435B8">
        <w:rPr>
          <w:rFonts w:ascii="Aptos" w:hAnsi="Aptos" w:eastAsia="Aptos" w:cs="Aptos" w:asciiTheme="minorAscii" w:hAnsiTheme="minorAscii" w:eastAsiaTheme="minorAscii" w:cstheme="minorAscii"/>
          <w:sz w:val="22"/>
          <w:szCs w:val="22"/>
        </w:rPr>
        <w:t>GridSearchCV</w:t>
      </w:r>
      <w:r w:rsidRPr="4EEA4F04" w:rsidR="001435B8">
        <w:rPr>
          <w:rFonts w:ascii="Aptos" w:hAnsi="Aptos" w:eastAsia="Aptos" w:cs="Aptos" w:asciiTheme="minorAscii" w:hAnsiTheme="minorAscii" w:eastAsiaTheme="minorAscii" w:cstheme="minorAscii"/>
          <w:sz w:val="22"/>
          <w:szCs w:val="22"/>
        </w:rPr>
        <w:t>)</w:t>
      </w:r>
    </w:p>
    <w:p w:rsidRPr="001435B8" w:rsidR="001435B8" w:rsidP="4EEA4F04" w:rsidRDefault="001435B8" w14:paraId="54AF87D0" w14:textId="77777777">
      <w:pPr>
        <w:numPr>
          <w:ilvl w:val="0"/>
          <w:numId w:val="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Performance comparison with the reference study</w:t>
      </w:r>
    </w:p>
    <w:p w:rsidRPr="001435B8" w:rsidR="001435B8" w:rsidP="4EEA4F04" w:rsidRDefault="001435B8" w14:paraId="6CFA0B4E"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Four regression models were evaluated:</w:t>
      </w:r>
    </w:p>
    <w:p w:rsidRPr="001435B8" w:rsidR="001435B8" w:rsidP="4EEA4F04" w:rsidRDefault="001435B8" w14:paraId="4F9099E2" w14:textId="77777777">
      <w:pPr>
        <w:numPr>
          <w:ilvl w:val="0"/>
          <w:numId w:val="3"/>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Linear Regression</w:t>
      </w:r>
    </w:p>
    <w:p w:rsidRPr="001435B8" w:rsidR="001435B8" w:rsidP="4EEA4F04" w:rsidRDefault="001435B8" w14:paraId="796C5854" w14:textId="77777777">
      <w:pPr>
        <w:numPr>
          <w:ilvl w:val="0"/>
          <w:numId w:val="3"/>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Random Forest</w:t>
      </w:r>
    </w:p>
    <w:p w:rsidRPr="001435B8" w:rsidR="001435B8" w:rsidP="4EEA4F04" w:rsidRDefault="001435B8" w14:paraId="4C857791" w14:textId="77777777">
      <w:pPr>
        <w:numPr>
          <w:ilvl w:val="0"/>
          <w:numId w:val="3"/>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Support Vector Regression (SVR) – tuned</w:t>
      </w:r>
    </w:p>
    <w:p w:rsidRPr="001435B8" w:rsidR="001435B8" w:rsidP="4EEA4F04" w:rsidRDefault="001435B8" w14:paraId="3748C2A1" w14:textId="77777777">
      <w:pPr>
        <w:numPr>
          <w:ilvl w:val="0"/>
          <w:numId w:val="3"/>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XGBoost</w:t>
      </w:r>
    </w:p>
    <w:p w:rsidRPr="001435B8" w:rsidR="001435B8" w:rsidP="4EEA4F04" w:rsidRDefault="001435B8" w14:paraId="7D5F62DE"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To avoid data leakage between cycles of the same battery, </w:t>
      </w:r>
      <w:r w:rsidRPr="4EEA4F04" w:rsidR="001435B8">
        <w:rPr>
          <w:rFonts w:ascii="Aptos" w:hAnsi="Aptos" w:eastAsia="Aptos" w:cs="Aptos" w:asciiTheme="minorAscii" w:hAnsiTheme="minorAscii" w:eastAsiaTheme="minorAscii" w:cstheme="minorAscii"/>
          <w:b w:val="1"/>
          <w:bCs w:val="1"/>
          <w:sz w:val="22"/>
          <w:szCs w:val="22"/>
        </w:rPr>
        <w:t>GroupKFold</w:t>
      </w:r>
      <w:r w:rsidRPr="4EEA4F04" w:rsidR="001435B8">
        <w:rPr>
          <w:rFonts w:ascii="Aptos" w:hAnsi="Aptos" w:eastAsia="Aptos" w:cs="Aptos" w:asciiTheme="minorAscii" w:hAnsiTheme="minorAscii" w:eastAsiaTheme="minorAscii" w:cstheme="minorAscii"/>
          <w:b w:val="1"/>
          <w:bCs w:val="1"/>
          <w:sz w:val="22"/>
          <w:szCs w:val="22"/>
        </w:rPr>
        <w:t xml:space="preserve"> cross-validation</w:t>
      </w:r>
      <w:r w:rsidRPr="4EEA4F04" w:rsidR="001435B8">
        <w:rPr>
          <w:rFonts w:ascii="Aptos" w:hAnsi="Aptos" w:eastAsia="Aptos" w:cs="Aptos" w:asciiTheme="minorAscii" w:hAnsiTheme="minorAscii" w:eastAsiaTheme="minorAscii" w:cstheme="minorAscii"/>
          <w:sz w:val="22"/>
          <w:szCs w:val="22"/>
        </w:rPr>
        <w:t xml:space="preserve"> was applied, ensuring that cycles from the same battery were not split across training and validation sets.</w:t>
      </w:r>
    </w:p>
    <w:p w:rsidRPr="001435B8" w:rsidR="001435B8" w:rsidP="4EEA4F04" w:rsidRDefault="00000000" w14:paraId="4F60CA52" w14:textId="77777777">
      <w:pPr>
        <w:rPr>
          <w:rFonts w:ascii="Aptos" w:hAnsi="Aptos" w:eastAsia="Aptos" w:cs="Aptos" w:asciiTheme="minorAscii" w:hAnsiTheme="minorAscii" w:eastAsiaTheme="minorAscii" w:cstheme="minorAscii"/>
          <w:sz w:val="22"/>
          <w:szCs w:val="22"/>
        </w:rPr>
      </w:pPr>
      <w:r>
        <w:pict w14:anchorId="679BB8AA">
          <v:rect id="_x0000_i1027" style="width:0;height:1.5pt" o:hr="t" o:hrstd="t" o:hralign="center" fillcolor="#a0a0a0" stroked="f"/>
        </w:pict>
      </w:r>
    </w:p>
    <w:p w:rsidRPr="001435B8" w:rsidR="001435B8" w:rsidP="4EEA4F04" w:rsidRDefault="001435B8" w14:paraId="4F3E8660"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4. Dataset and Feature Engineering</w:t>
      </w:r>
    </w:p>
    <w:p w:rsidRPr="001435B8" w:rsidR="001435B8" w:rsidP="4EEA4F04" w:rsidRDefault="001435B8" w14:paraId="2CB601DE"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4.1 Dataset Description</w:t>
      </w:r>
    </w:p>
    <w:p w:rsidRPr="001435B8" w:rsidR="001435B8" w:rsidP="4EEA4F04" w:rsidRDefault="001435B8" w14:paraId="5D727830"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The NASA Battery Degradation Cycle-Level dataset </w:t>
      </w:r>
      <w:r w:rsidRPr="4EEA4F04" w:rsidR="001435B8">
        <w:rPr>
          <w:rFonts w:ascii="Aptos" w:hAnsi="Aptos" w:eastAsia="Aptos" w:cs="Aptos" w:asciiTheme="minorAscii" w:hAnsiTheme="minorAscii" w:eastAsiaTheme="minorAscii" w:cstheme="minorAscii"/>
          <w:sz w:val="22"/>
          <w:szCs w:val="22"/>
        </w:rPr>
        <w:t>contains</w:t>
      </w:r>
      <w:r w:rsidRPr="4EEA4F04" w:rsidR="001435B8">
        <w:rPr>
          <w:rFonts w:ascii="Aptos" w:hAnsi="Aptos" w:eastAsia="Aptos" w:cs="Aptos" w:asciiTheme="minorAscii" w:hAnsiTheme="minorAscii" w:eastAsiaTheme="minorAscii" w:cstheme="minorAscii"/>
          <w:sz w:val="22"/>
          <w:szCs w:val="22"/>
        </w:rPr>
        <w:t>:</w:t>
      </w:r>
    </w:p>
    <w:p w:rsidRPr="001435B8" w:rsidR="001435B8" w:rsidP="4EEA4F04" w:rsidRDefault="001435B8" w14:paraId="0B79C1C7" w14:textId="77777777">
      <w:pPr>
        <w:numPr>
          <w:ilvl w:val="0"/>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1415 samples</w:t>
      </w:r>
    </w:p>
    <w:p w:rsidRPr="001435B8" w:rsidR="001435B8" w:rsidP="4EEA4F04" w:rsidRDefault="001435B8" w14:paraId="590B97D4" w14:textId="77777777">
      <w:pPr>
        <w:numPr>
          <w:ilvl w:val="0"/>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7 core variables:</w:t>
      </w:r>
    </w:p>
    <w:p w:rsidRPr="001435B8" w:rsidR="001435B8" w:rsidP="4EEA4F04" w:rsidRDefault="001435B8" w14:paraId="2CCC841F"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battery_id</w:t>
      </w:r>
    </w:p>
    <w:p w:rsidRPr="001435B8" w:rsidR="001435B8" w:rsidP="4EEA4F04" w:rsidRDefault="001435B8" w14:paraId="3CF56683"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cycle</w:t>
      </w:r>
    </w:p>
    <w:p w:rsidRPr="001435B8" w:rsidR="001435B8" w:rsidP="4EEA4F04" w:rsidRDefault="001435B8" w14:paraId="2D6A93D8"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voltage</w:t>
      </w:r>
    </w:p>
    <w:p w:rsidRPr="001435B8" w:rsidR="001435B8" w:rsidP="4EEA4F04" w:rsidRDefault="001435B8" w14:paraId="6CB6A0A7"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temperature</w:t>
      </w:r>
    </w:p>
    <w:p w:rsidRPr="001435B8" w:rsidR="001435B8" w:rsidP="4EEA4F04" w:rsidRDefault="001435B8" w14:paraId="353E290B"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capacity</w:t>
      </w:r>
    </w:p>
    <w:p w:rsidRPr="001435B8" w:rsidR="001435B8" w:rsidP="4EEA4F04" w:rsidRDefault="001435B8" w14:paraId="2CB966EF"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p>
    <w:p w:rsidRPr="001435B8" w:rsidR="001435B8" w:rsidP="4EEA4F04" w:rsidRDefault="001435B8" w14:paraId="5FAEB3CB" w14:textId="77777777">
      <w:pPr>
        <w:numPr>
          <w:ilvl w:val="1"/>
          <w:numId w:val="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rul</w:t>
      </w:r>
    </w:p>
    <w:p w:rsidRPr="001435B8" w:rsidR="001435B8" w:rsidP="4EEA4F04" w:rsidRDefault="001435B8" w14:paraId="4C344BD6"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From these core variables, a total of </w:t>
      </w:r>
      <w:r w:rsidRPr="4EEA4F04" w:rsidR="001435B8">
        <w:rPr>
          <w:rFonts w:ascii="Aptos" w:hAnsi="Aptos" w:eastAsia="Aptos" w:cs="Aptos" w:asciiTheme="minorAscii" w:hAnsiTheme="minorAscii" w:eastAsiaTheme="minorAscii" w:cstheme="minorAscii"/>
          <w:b w:val="1"/>
          <w:bCs w:val="1"/>
          <w:sz w:val="22"/>
          <w:szCs w:val="22"/>
        </w:rPr>
        <w:t>21 engineered features</w:t>
      </w:r>
      <w:r w:rsidRPr="4EEA4F04" w:rsidR="001435B8">
        <w:rPr>
          <w:rFonts w:ascii="Aptos" w:hAnsi="Aptos" w:eastAsia="Aptos" w:cs="Aptos" w:asciiTheme="minorAscii" w:hAnsiTheme="minorAscii" w:eastAsiaTheme="minorAscii" w:cstheme="minorAscii"/>
          <w:sz w:val="22"/>
          <w:szCs w:val="22"/>
        </w:rPr>
        <w:t xml:space="preserve"> were used for training.</w:t>
      </w:r>
    </w:p>
    <w:p w:rsidRPr="001435B8" w:rsidR="001435B8" w:rsidP="4EEA4F04" w:rsidRDefault="00000000" w14:paraId="0D4E2976" w14:textId="77777777">
      <w:pPr>
        <w:rPr>
          <w:rFonts w:ascii="Aptos" w:hAnsi="Aptos" w:eastAsia="Aptos" w:cs="Aptos" w:asciiTheme="minorAscii" w:hAnsiTheme="minorAscii" w:eastAsiaTheme="minorAscii" w:cstheme="minorAscii"/>
          <w:sz w:val="22"/>
          <w:szCs w:val="22"/>
        </w:rPr>
      </w:pPr>
      <w:r>
        <w:pict w14:anchorId="5C084DB0">
          <v:rect id="_x0000_i1028" style="width:0;height:1.5pt" o:hr="t" o:hrstd="t" o:hralign="center" fillcolor="#a0a0a0" stroked="f"/>
        </w:pict>
      </w:r>
    </w:p>
    <w:p w:rsidRPr="001435B8" w:rsidR="001435B8" w:rsidP="4EEA4F04" w:rsidRDefault="001435B8" w14:paraId="0A9949BF"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4.2 Feature Engineering and Conversion</w:t>
      </w:r>
    </w:p>
    <w:p w:rsidRPr="001435B8" w:rsidR="001435B8" w:rsidP="4EEA4F04" w:rsidRDefault="001435B8" w14:paraId="35AEC881"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Below is a detailed explanation of how each feature was derived and how it would be obtained in real-world EV systems.</w:t>
      </w:r>
    </w:p>
    <w:p w:rsidRPr="001435B8" w:rsidR="001435B8" w:rsidP="4EEA4F04" w:rsidRDefault="00000000" w14:paraId="0D4EC579" w14:textId="77777777">
      <w:pPr>
        <w:rPr>
          <w:rFonts w:ascii="Aptos" w:hAnsi="Aptos" w:eastAsia="Aptos" w:cs="Aptos" w:asciiTheme="minorAscii" w:hAnsiTheme="minorAscii" w:eastAsiaTheme="minorAscii" w:cstheme="minorAscii"/>
          <w:sz w:val="22"/>
          <w:szCs w:val="22"/>
        </w:rPr>
      </w:pPr>
      <w:r>
        <w:pict w14:anchorId="45994369">
          <v:rect id="_x0000_i1029" style="width:0;height:1.5pt" o:hr="t" o:hrstd="t" o:hralign="center" fillcolor="#a0a0a0" stroked="f"/>
        </w:pict>
      </w:r>
    </w:p>
    <w:p w:rsidRPr="001435B8" w:rsidR="001435B8" w:rsidP="4EEA4F04" w:rsidRDefault="001435B8" w14:paraId="21FA66CF"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1. Battery ID</w:t>
      </w:r>
    </w:p>
    <w:p w:rsidRPr="001435B8" w:rsidR="001435B8" w:rsidP="4EEA4F04" w:rsidRDefault="001435B8" w14:paraId="1E46E15A" w14:textId="77777777">
      <w:pPr>
        <w:numPr>
          <w:ilvl w:val="0"/>
          <w:numId w:val="5"/>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Purpose: Grouping for cross-validation</w:t>
      </w:r>
    </w:p>
    <w:p w:rsidRPr="001435B8" w:rsidR="001435B8" w:rsidP="4EEA4F04" w:rsidRDefault="001435B8" w14:paraId="203FFE7B" w14:textId="77777777">
      <w:pPr>
        <w:numPr>
          <w:ilvl w:val="0"/>
          <w:numId w:val="5"/>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 Battery pack serial number in BMS</w:t>
      </w:r>
    </w:p>
    <w:p w:rsidRPr="001435B8" w:rsidR="001435B8" w:rsidP="4EEA4F04" w:rsidRDefault="00000000" w14:paraId="521284C8" w14:textId="77777777">
      <w:pPr>
        <w:rPr>
          <w:rFonts w:ascii="Aptos" w:hAnsi="Aptos" w:eastAsia="Aptos" w:cs="Aptos" w:asciiTheme="minorAscii" w:hAnsiTheme="minorAscii" w:eastAsiaTheme="minorAscii" w:cstheme="minorAscii"/>
          <w:sz w:val="22"/>
          <w:szCs w:val="22"/>
        </w:rPr>
      </w:pPr>
      <w:r>
        <w:pict w14:anchorId="23BBF142">
          <v:rect id="_x0000_i1030" style="width:0;height:1.5pt" o:hr="t" o:hrstd="t" o:hralign="center" fillcolor="#a0a0a0" stroked="f"/>
        </w:pict>
      </w:r>
    </w:p>
    <w:p w:rsidRPr="001435B8" w:rsidR="001435B8" w:rsidP="4EEA4F04" w:rsidRDefault="001435B8" w14:paraId="2B7CCD2A"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2. Cycle Number</w:t>
      </w:r>
    </w:p>
    <w:p w:rsidRPr="001435B8" w:rsidR="001435B8" w:rsidP="4EEA4F04" w:rsidRDefault="001435B8" w14:paraId="6DD79C4C" w14:textId="77777777">
      <w:pPr>
        <w:numPr>
          <w:ilvl w:val="0"/>
          <w:numId w:val="6"/>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Represents</w:t>
      </w:r>
      <w:r w:rsidRPr="4EEA4F04" w:rsidR="001435B8">
        <w:rPr>
          <w:rFonts w:ascii="Aptos" w:hAnsi="Aptos" w:eastAsia="Aptos" w:cs="Aptos" w:asciiTheme="minorAscii" w:hAnsiTheme="minorAscii" w:eastAsiaTheme="minorAscii" w:cstheme="minorAscii"/>
          <w:sz w:val="22"/>
          <w:szCs w:val="22"/>
        </w:rPr>
        <w:t xml:space="preserve"> charge-discharge count</w:t>
      </w:r>
    </w:p>
    <w:p w:rsidRPr="001435B8" w:rsidR="001435B8" w:rsidP="4EEA4F04" w:rsidRDefault="001435B8" w14:paraId="0393F9DD" w14:textId="77777777">
      <w:pPr>
        <w:numPr>
          <w:ilvl w:val="0"/>
          <w:numId w:val="6"/>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 BMS cycle counter</w:t>
      </w:r>
    </w:p>
    <w:p w:rsidRPr="001435B8" w:rsidR="001435B8" w:rsidP="4EEA4F04" w:rsidRDefault="00000000" w14:paraId="5EE53646" w14:textId="77777777">
      <w:pPr>
        <w:rPr>
          <w:rFonts w:ascii="Aptos" w:hAnsi="Aptos" w:eastAsia="Aptos" w:cs="Aptos" w:asciiTheme="minorAscii" w:hAnsiTheme="minorAscii" w:eastAsiaTheme="minorAscii" w:cstheme="minorAscii"/>
          <w:sz w:val="22"/>
          <w:szCs w:val="22"/>
        </w:rPr>
      </w:pPr>
      <w:r>
        <w:pict w14:anchorId="7C2329D8">
          <v:rect id="_x0000_i1031" style="width:0;height:1.5pt" o:hr="t" o:hrstd="t" o:hralign="center" fillcolor="#a0a0a0" stroked="f"/>
        </w:pict>
      </w:r>
    </w:p>
    <w:p w:rsidRPr="001435B8" w:rsidR="001435B8" w:rsidP="4EEA4F04" w:rsidRDefault="001435B8" w14:paraId="1A6014F7"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3. Voltage</w:t>
      </w:r>
    </w:p>
    <w:p w:rsidRPr="001435B8" w:rsidR="001435B8" w:rsidP="4EEA4F04" w:rsidRDefault="001435B8" w14:paraId="73111308" w14:textId="77777777">
      <w:pPr>
        <w:numPr>
          <w:ilvl w:val="0"/>
          <w:numId w:val="7"/>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Measured during charge/discharge</w:t>
      </w:r>
    </w:p>
    <w:p w:rsidRPr="001435B8" w:rsidR="001435B8" w:rsidP="4EEA4F04" w:rsidRDefault="001435B8" w14:paraId="711408CC" w14:textId="77777777">
      <w:pPr>
        <w:numPr>
          <w:ilvl w:val="0"/>
          <w:numId w:val="7"/>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 Voltage sensors inside BMS</w:t>
      </w:r>
    </w:p>
    <w:p w:rsidRPr="001435B8" w:rsidR="001435B8" w:rsidP="4EEA4F04" w:rsidRDefault="00000000" w14:paraId="28A273B8" w14:textId="77777777">
      <w:pPr>
        <w:rPr>
          <w:rFonts w:ascii="Aptos" w:hAnsi="Aptos" w:eastAsia="Aptos" w:cs="Aptos" w:asciiTheme="minorAscii" w:hAnsiTheme="minorAscii" w:eastAsiaTheme="minorAscii" w:cstheme="minorAscii"/>
          <w:sz w:val="22"/>
          <w:szCs w:val="22"/>
        </w:rPr>
      </w:pPr>
      <w:r>
        <w:pict w14:anchorId="6C093E80">
          <v:rect id="_x0000_i1032" style="width:0;height:1.5pt" o:hr="t" o:hrstd="t" o:hralign="center" fillcolor="#a0a0a0" stroked="f"/>
        </w:pict>
      </w:r>
    </w:p>
    <w:p w:rsidRPr="001435B8" w:rsidR="001435B8" w:rsidP="4EEA4F04" w:rsidRDefault="001435B8" w14:paraId="7B3E2C30"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4. Temperature</w:t>
      </w:r>
    </w:p>
    <w:p w:rsidRPr="001435B8" w:rsidR="001435B8" w:rsidP="4EEA4F04" w:rsidRDefault="001435B8" w14:paraId="1B321F2E" w14:textId="77777777">
      <w:pPr>
        <w:numPr>
          <w:ilvl w:val="0"/>
          <w:numId w:val="8"/>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Cell or module temperature</w:t>
      </w:r>
    </w:p>
    <w:p w:rsidRPr="001435B8" w:rsidR="001435B8" w:rsidP="4EEA4F04" w:rsidRDefault="001435B8" w14:paraId="6CE2F75B" w14:textId="77777777">
      <w:pPr>
        <w:numPr>
          <w:ilvl w:val="0"/>
          <w:numId w:val="8"/>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 Thermistors embedded in battery pack</w:t>
      </w:r>
    </w:p>
    <w:p w:rsidRPr="001435B8" w:rsidR="001435B8" w:rsidP="4EEA4F04" w:rsidRDefault="00000000" w14:paraId="5A38617B" w14:textId="77777777">
      <w:pPr>
        <w:rPr>
          <w:rFonts w:ascii="Aptos" w:hAnsi="Aptos" w:eastAsia="Aptos" w:cs="Aptos" w:asciiTheme="minorAscii" w:hAnsiTheme="minorAscii" w:eastAsiaTheme="minorAscii" w:cstheme="minorAscii"/>
          <w:sz w:val="22"/>
          <w:szCs w:val="22"/>
        </w:rPr>
      </w:pPr>
      <w:r>
        <w:pict w14:anchorId="39AF983B">
          <v:rect id="_x0000_i1033" style="width:0;height:1.5pt" o:hr="t" o:hrstd="t" o:hralign="center" fillcolor="#a0a0a0" stroked="f"/>
        </w:pict>
      </w:r>
    </w:p>
    <w:p w:rsidRPr="001435B8" w:rsidR="001435B8" w:rsidP="4EEA4F04" w:rsidRDefault="001435B8" w14:paraId="40009C9A"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5. Capacity</w:t>
      </w:r>
    </w:p>
    <w:p w:rsidRPr="001435B8" w:rsidR="001435B8" w:rsidP="4EEA4F04" w:rsidRDefault="001435B8" w14:paraId="72848F84" w14:textId="77777777">
      <w:pPr>
        <w:numPr>
          <w:ilvl w:val="0"/>
          <w:numId w:val="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Measured discharge capacity (Ah)</w:t>
      </w:r>
    </w:p>
    <w:p w:rsidRPr="001435B8" w:rsidR="001435B8" w:rsidP="4EEA4F04" w:rsidRDefault="001435B8" w14:paraId="6282B768" w14:textId="77777777">
      <w:pPr>
        <w:numPr>
          <w:ilvl w:val="0"/>
          <w:numId w:val="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w:t>
      </w:r>
    </w:p>
    <w:p w:rsidRPr="001435B8" w:rsidR="001435B8" w:rsidP="4EEA4F04" w:rsidRDefault="001435B8" w14:paraId="4BC305BE" w14:textId="77777777">
      <w:pPr>
        <w:numPr>
          <w:ilvl w:val="1"/>
          <w:numId w:val="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Coulomb counting</w:t>
      </w:r>
    </w:p>
    <w:p w:rsidRPr="001435B8" w:rsidR="001435B8" w:rsidP="4EEA4F04" w:rsidRDefault="001435B8" w14:paraId="13C0389F" w14:textId="77777777">
      <w:pPr>
        <w:numPr>
          <w:ilvl w:val="1"/>
          <w:numId w:val="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Current integration over time</w:t>
      </w:r>
    </w:p>
    <w:p w:rsidRPr="001435B8" w:rsidR="001435B8" w:rsidP="4EEA4F04" w:rsidRDefault="00000000" w14:paraId="5048E322" w14:textId="77777777">
      <w:pPr>
        <w:rPr>
          <w:rFonts w:ascii="Aptos" w:hAnsi="Aptos" w:eastAsia="Aptos" w:cs="Aptos" w:asciiTheme="minorAscii" w:hAnsiTheme="minorAscii" w:eastAsiaTheme="minorAscii" w:cstheme="minorAscii"/>
          <w:sz w:val="22"/>
          <w:szCs w:val="22"/>
        </w:rPr>
      </w:pPr>
      <w:r>
        <w:pict w14:anchorId="206FE049">
          <v:rect id="_x0000_i1034" style="width:0;height:1.5pt" o:hr="t" o:hrstd="t" o:hralign="center" fillcolor="#a0a0a0" stroked="f"/>
        </w:pict>
      </w:r>
    </w:p>
    <w:p w:rsidRPr="001435B8" w:rsidR="001435B8" w:rsidP="4EEA4F04" w:rsidRDefault="001435B8" w14:paraId="173E721C"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6. State of Health (</w:t>
      </w:r>
      <w:r w:rsidRPr="4EEA4F04" w:rsidR="001435B8">
        <w:rPr>
          <w:rFonts w:ascii="Aptos" w:hAnsi="Aptos" w:eastAsia="Aptos" w:cs="Aptos" w:asciiTheme="minorAscii" w:hAnsiTheme="minorAscii" w:eastAsiaTheme="minorAscii" w:cstheme="minorAscii"/>
          <w:b w:val="1"/>
          <w:bCs w:val="1"/>
          <w:sz w:val="22"/>
          <w:szCs w:val="22"/>
        </w:rPr>
        <w:t>SoH</w:t>
      </w:r>
      <w:r w:rsidRPr="4EEA4F04" w:rsidR="001435B8">
        <w:rPr>
          <w:rFonts w:ascii="Aptos" w:hAnsi="Aptos" w:eastAsia="Aptos" w:cs="Aptos" w:asciiTheme="minorAscii" w:hAnsiTheme="minorAscii" w:eastAsiaTheme="minorAscii" w:cstheme="minorAscii"/>
          <w:b w:val="1"/>
          <w:bCs w:val="1"/>
          <w:sz w:val="22"/>
          <w:szCs w:val="22"/>
        </w:rPr>
        <w:t>)</w:t>
      </w:r>
    </w:p>
    <w:p w:rsidRPr="001435B8" w:rsidR="001435B8" w:rsidP="4EEA4F04" w:rsidRDefault="001435B8" w14:paraId="51AC5F15"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Computed as:</w:t>
      </w:r>
    </w:p>
    <w:p w:rsidRPr="001435B8" w:rsidR="001435B8" w:rsidP="4EEA4F04" w:rsidRDefault="001435B8" w14:paraId="5CC88A55"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 Current Capacity / Nominal Capacity</w:t>
      </w:r>
    </w:p>
    <w:p w:rsidRPr="001435B8" w:rsidR="001435B8" w:rsidP="4EEA4F04" w:rsidRDefault="001435B8" w14:paraId="146FD9B0"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In real EV systems:</w:t>
      </w:r>
    </w:p>
    <w:p w:rsidRPr="001435B8" w:rsidR="001435B8" w:rsidP="4EEA4F04" w:rsidRDefault="001435B8" w14:paraId="21FF039D" w14:textId="77777777">
      <w:pPr>
        <w:numPr>
          <w:ilvl w:val="0"/>
          <w:numId w:val="1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Nominal capacity is defined by manufacturer</w:t>
      </w:r>
    </w:p>
    <w:p w:rsidRPr="001435B8" w:rsidR="001435B8" w:rsidP="4EEA4F04" w:rsidRDefault="001435B8" w14:paraId="4F3A6D3C" w14:textId="77777777">
      <w:pPr>
        <w:numPr>
          <w:ilvl w:val="0"/>
          <w:numId w:val="1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Current capacity estimated using BMS algorithms</w:t>
      </w:r>
    </w:p>
    <w:p w:rsidRPr="001435B8" w:rsidR="001435B8" w:rsidP="4EEA4F04" w:rsidRDefault="00000000" w14:paraId="0F7D706A" w14:textId="77777777">
      <w:pPr>
        <w:rPr>
          <w:rFonts w:ascii="Aptos" w:hAnsi="Aptos" w:eastAsia="Aptos" w:cs="Aptos" w:asciiTheme="minorAscii" w:hAnsiTheme="minorAscii" w:eastAsiaTheme="minorAscii" w:cstheme="minorAscii"/>
          <w:sz w:val="22"/>
          <w:szCs w:val="22"/>
        </w:rPr>
      </w:pPr>
      <w:r>
        <w:pict w14:anchorId="7EFC039E">
          <v:rect id="_x0000_i1035" style="width:0;height:1.5pt" o:hr="t" o:hrstd="t" o:hralign="center" fillcolor="#a0a0a0" stroked="f"/>
        </w:pict>
      </w:r>
    </w:p>
    <w:p w:rsidRPr="001435B8" w:rsidR="001435B8" w:rsidP="4EEA4F04" w:rsidRDefault="001435B8" w14:paraId="5A4E4F46"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 xml:space="preserve">7. </w:t>
      </w:r>
      <w:r w:rsidRPr="4EEA4F04" w:rsidR="001435B8">
        <w:rPr>
          <w:rFonts w:ascii="Aptos" w:hAnsi="Aptos" w:eastAsia="Aptos" w:cs="Aptos" w:asciiTheme="minorAscii" w:hAnsiTheme="minorAscii" w:eastAsiaTheme="minorAscii" w:cstheme="minorAscii"/>
          <w:b w:val="1"/>
          <w:bCs w:val="1"/>
          <w:sz w:val="22"/>
          <w:szCs w:val="22"/>
        </w:rPr>
        <w:t>Remaining</w:t>
      </w:r>
      <w:r w:rsidRPr="4EEA4F04" w:rsidR="001435B8">
        <w:rPr>
          <w:rFonts w:ascii="Aptos" w:hAnsi="Aptos" w:eastAsia="Aptos" w:cs="Aptos" w:asciiTheme="minorAscii" w:hAnsiTheme="minorAscii" w:eastAsiaTheme="minorAscii" w:cstheme="minorAscii"/>
          <w:b w:val="1"/>
          <w:bCs w:val="1"/>
          <w:sz w:val="22"/>
          <w:szCs w:val="22"/>
        </w:rPr>
        <w:t xml:space="preserve"> Useful Life (RUL)</w:t>
      </w:r>
    </w:p>
    <w:p w:rsidRPr="001435B8" w:rsidR="001435B8" w:rsidP="4EEA4F04" w:rsidRDefault="001435B8" w14:paraId="09441630"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Computed as:</w:t>
      </w:r>
    </w:p>
    <w:p w:rsidRPr="001435B8" w:rsidR="001435B8" w:rsidP="4EEA4F04" w:rsidRDefault="001435B8" w14:paraId="1413D62E"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RUL = Total Expected Cycles − Current Cycle</w:t>
      </w:r>
    </w:p>
    <w:p w:rsidRPr="001435B8" w:rsidR="001435B8" w:rsidP="4EEA4F04" w:rsidRDefault="001435B8" w14:paraId="580C52A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In real-world systems:</w:t>
      </w:r>
    </w:p>
    <w:p w:rsidRPr="001435B8" w:rsidR="001435B8" w:rsidP="4EEA4F04" w:rsidRDefault="001435B8" w14:paraId="6BCC272F" w14:textId="77777777">
      <w:pPr>
        <w:numPr>
          <w:ilvl w:val="0"/>
          <w:numId w:val="1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Estimated using degradation thresholds (e.g., 80% </w:t>
      </w: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cutoff)</w:t>
      </w:r>
    </w:p>
    <w:p w:rsidRPr="001435B8" w:rsidR="001435B8" w:rsidP="4EEA4F04" w:rsidRDefault="001435B8" w14:paraId="120837B4" w14:textId="77777777">
      <w:pPr>
        <w:numPr>
          <w:ilvl w:val="0"/>
          <w:numId w:val="1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Predicted via onboard BMS or cloud-based analytics</w:t>
      </w:r>
    </w:p>
    <w:p w:rsidRPr="001435B8" w:rsidR="001435B8" w:rsidP="4EEA4F04" w:rsidRDefault="00000000" w14:paraId="604DB128" w14:textId="77777777">
      <w:pPr>
        <w:rPr>
          <w:rFonts w:ascii="Aptos" w:hAnsi="Aptos" w:eastAsia="Aptos" w:cs="Aptos" w:asciiTheme="minorAscii" w:hAnsiTheme="minorAscii" w:eastAsiaTheme="minorAscii" w:cstheme="minorAscii"/>
          <w:sz w:val="22"/>
          <w:szCs w:val="22"/>
        </w:rPr>
      </w:pPr>
      <w:r>
        <w:pict w14:anchorId="2523BFF5">
          <v:rect id="_x0000_i1036" style="width:0;height:1.5pt" o:hr="t" o:hrstd="t" o:hralign="center" fillcolor="#a0a0a0" stroked="f"/>
        </w:pict>
      </w:r>
    </w:p>
    <w:p w:rsidRPr="001435B8" w:rsidR="001435B8" w:rsidP="4EEA4F04" w:rsidRDefault="001435B8" w14:paraId="1F923149"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4.3 Engineered Features (Examples)</w:t>
      </w:r>
    </w:p>
    <w:p w:rsidRPr="001435B8" w:rsidR="001435B8" w:rsidP="4EEA4F04" w:rsidRDefault="001435B8" w14:paraId="46798A9F"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To improve prediction performance, </w:t>
      </w:r>
      <w:r w:rsidRPr="4EEA4F04" w:rsidR="001435B8">
        <w:rPr>
          <w:rFonts w:ascii="Aptos" w:hAnsi="Aptos" w:eastAsia="Aptos" w:cs="Aptos" w:asciiTheme="minorAscii" w:hAnsiTheme="minorAscii" w:eastAsiaTheme="minorAscii" w:cstheme="minorAscii"/>
          <w:sz w:val="22"/>
          <w:szCs w:val="22"/>
        </w:rPr>
        <w:t>additional</w:t>
      </w:r>
      <w:r w:rsidRPr="4EEA4F04" w:rsidR="001435B8">
        <w:rPr>
          <w:rFonts w:ascii="Aptos" w:hAnsi="Aptos" w:eastAsia="Aptos" w:cs="Aptos" w:asciiTheme="minorAscii" w:hAnsiTheme="minorAscii" w:eastAsiaTheme="minorAscii" w:cstheme="minorAscii"/>
          <w:sz w:val="22"/>
          <w:szCs w:val="22"/>
        </w:rPr>
        <w:t xml:space="preserve"> features were derived:</w:t>
      </w:r>
    </w:p>
    <w:p w:rsidRPr="001435B8" w:rsidR="001435B8" w:rsidP="4EEA4F04" w:rsidRDefault="001435B8" w14:paraId="3FC7CC14"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Capacity-Based Features</w:t>
      </w:r>
    </w:p>
    <w:p w:rsidRPr="001435B8" w:rsidR="001435B8" w:rsidP="4EEA4F04" w:rsidRDefault="001435B8" w14:paraId="6EECFEB1" w14:textId="77777777">
      <w:pPr>
        <w:numPr>
          <w:ilvl w:val="0"/>
          <w:numId w:val="1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Capacity difference between cycles</w:t>
      </w:r>
    </w:p>
    <w:p w:rsidRPr="001435B8" w:rsidR="001435B8" w:rsidP="4EEA4F04" w:rsidRDefault="001435B8" w14:paraId="14F3CDEE" w14:textId="77777777">
      <w:pPr>
        <w:numPr>
          <w:ilvl w:val="0"/>
          <w:numId w:val="1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Rolling mean capacity</w:t>
      </w:r>
    </w:p>
    <w:p w:rsidRPr="001435B8" w:rsidR="001435B8" w:rsidP="4EEA4F04" w:rsidRDefault="001435B8" w14:paraId="682FE03A" w14:textId="77777777">
      <w:pPr>
        <w:numPr>
          <w:ilvl w:val="0"/>
          <w:numId w:val="12"/>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Capacity degradation rate</w:t>
      </w:r>
    </w:p>
    <w:p w:rsidRPr="001435B8" w:rsidR="001435B8" w:rsidP="4EEA4F04" w:rsidRDefault="001435B8" w14:paraId="0FB9F6D4"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w:t>
      </w:r>
    </w:p>
    <w:p w:rsidRPr="001435B8" w:rsidR="001435B8" w:rsidP="4EEA4F04" w:rsidRDefault="001435B8" w14:paraId="6C3EC9C0" w14:textId="77777777">
      <w:pPr>
        <w:numPr>
          <w:ilvl w:val="0"/>
          <w:numId w:val="13"/>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Derived from historical capacity logs stored in BMS memory</w:t>
      </w:r>
    </w:p>
    <w:p w:rsidRPr="001435B8" w:rsidR="001435B8" w:rsidP="4EEA4F04" w:rsidRDefault="00000000" w14:paraId="3FCEC76E" w14:textId="77777777">
      <w:pPr>
        <w:rPr>
          <w:rFonts w:ascii="Aptos" w:hAnsi="Aptos" w:eastAsia="Aptos" w:cs="Aptos" w:asciiTheme="minorAscii" w:hAnsiTheme="minorAscii" w:eastAsiaTheme="minorAscii" w:cstheme="minorAscii"/>
          <w:sz w:val="22"/>
          <w:szCs w:val="22"/>
        </w:rPr>
      </w:pPr>
      <w:r>
        <w:pict w14:anchorId="6787E1B5">
          <v:rect id="_x0000_i1037" style="width:0;height:1.5pt" o:hr="t" o:hrstd="t" o:hralign="center" fillcolor="#a0a0a0" stroked="f"/>
        </w:pict>
      </w:r>
    </w:p>
    <w:p w:rsidRPr="001435B8" w:rsidR="001435B8" w:rsidP="4EEA4F04" w:rsidRDefault="001435B8" w14:paraId="7AC5AA63"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Voltage-Based Features</w:t>
      </w:r>
    </w:p>
    <w:p w:rsidRPr="001435B8" w:rsidR="001435B8" w:rsidP="4EEA4F04" w:rsidRDefault="001435B8" w14:paraId="0C269998" w14:textId="6D14E29D">
      <w:pPr>
        <w:numPr>
          <w:ilvl w:val="0"/>
          <w:numId w:val="1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Voltage </w:t>
      </w:r>
      <w:r w:rsidRPr="4EEA4F04" w:rsidR="4D26C5AF">
        <w:rPr>
          <w:rFonts w:ascii="Aptos" w:hAnsi="Aptos" w:eastAsia="Aptos" w:cs="Aptos" w:asciiTheme="minorAscii" w:hAnsiTheme="minorAscii" w:eastAsiaTheme="minorAscii" w:cstheme="minorAscii"/>
          <w:sz w:val="22"/>
          <w:szCs w:val="22"/>
        </w:rPr>
        <w:t>means</w:t>
      </w:r>
    </w:p>
    <w:p w:rsidRPr="001435B8" w:rsidR="001435B8" w:rsidP="4EEA4F04" w:rsidRDefault="001435B8" w14:paraId="3FDF18FC" w14:textId="77777777">
      <w:pPr>
        <w:numPr>
          <w:ilvl w:val="0"/>
          <w:numId w:val="1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Voltage trend</w:t>
      </w:r>
    </w:p>
    <w:p w:rsidRPr="001435B8" w:rsidR="001435B8" w:rsidP="4EEA4F04" w:rsidRDefault="001435B8" w14:paraId="6CCE614C" w14:textId="77777777">
      <w:pPr>
        <w:numPr>
          <w:ilvl w:val="0"/>
          <w:numId w:val="14"/>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Voltage variance</w:t>
      </w:r>
    </w:p>
    <w:p w:rsidRPr="001435B8" w:rsidR="001435B8" w:rsidP="4EEA4F04" w:rsidRDefault="001435B8" w14:paraId="44779413"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w:t>
      </w:r>
    </w:p>
    <w:p w:rsidRPr="001435B8" w:rsidR="001435B8" w:rsidP="4EEA4F04" w:rsidRDefault="001435B8" w14:paraId="3A78734C" w14:textId="77777777">
      <w:pPr>
        <w:numPr>
          <w:ilvl w:val="0"/>
          <w:numId w:val="15"/>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Real-time voltage telemetry from BMS</w:t>
      </w:r>
    </w:p>
    <w:p w:rsidRPr="001435B8" w:rsidR="001435B8" w:rsidP="4EEA4F04" w:rsidRDefault="00000000" w14:paraId="39EBEEA5" w14:textId="77777777">
      <w:pPr>
        <w:rPr>
          <w:rFonts w:ascii="Aptos" w:hAnsi="Aptos" w:eastAsia="Aptos" w:cs="Aptos" w:asciiTheme="minorAscii" w:hAnsiTheme="minorAscii" w:eastAsiaTheme="minorAscii" w:cstheme="minorAscii"/>
          <w:sz w:val="22"/>
          <w:szCs w:val="22"/>
        </w:rPr>
      </w:pPr>
      <w:r>
        <w:pict w14:anchorId="62EAD670">
          <v:rect id="_x0000_i1038" style="width:0;height:1.5pt" o:hr="t" o:hrstd="t" o:hralign="center" fillcolor="#a0a0a0" stroked="f"/>
        </w:pict>
      </w:r>
    </w:p>
    <w:p w:rsidRPr="001435B8" w:rsidR="001435B8" w:rsidP="4EEA4F04" w:rsidRDefault="001435B8" w14:paraId="2B2F0716"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Temperature-Based Features</w:t>
      </w:r>
    </w:p>
    <w:p w:rsidRPr="001435B8" w:rsidR="001435B8" w:rsidP="4EEA4F04" w:rsidRDefault="001435B8" w14:paraId="462F93FC" w14:textId="3775D97B">
      <w:pPr>
        <w:numPr>
          <w:ilvl w:val="0"/>
          <w:numId w:val="16"/>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 xml:space="preserve">Temperature </w:t>
      </w:r>
      <w:r w:rsidRPr="4EEA4F04" w:rsidR="51947FDF">
        <w:rPr>
          <w:rFonts w:ascii="Aptos" w:hAnsi="Aptos" w:eastAsia="Aptos" w:cs="Aptos" w:asciiTheme="minorAscii" w:hAnsiTheme="minorAscii" w:eastAsiaTheme="minorAscii" w:cstheme="minorAscii"/>
          <w:sz w:val="22"/>
          <w:szCs w:val="22"/>
        </w:rPr>
        <w:t>means</w:t>
      </w:r>
    </w:p>
    <w:p w:rsidRPr="001435B8" w:rsidR="001435B8" w:rsidP="4EEA4F04" w:rsidRDefault="001435B8" w14:paraId="2A4CFED8" w14:textId="77777777">
      <w:pPr>
        <w:numPr>
          <w:ilvl w:val="0"/>
          <w:numId w:val="16"/>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Temperature maximum</w:t>
      </w:r>
    </w:p>
    <w:p w:rsidRPr="001435B8" w:rsidR="001435B8" w:rsidP="4EEA4F04" w:rsidRDefault="001435B8" w14:paraId="66D96534" w14:textId="77777777">
      <w:pPr>
        <w:numPr>
          <w:ilvl w:val="0"/>
          <w:numId w:val="16"/>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Temperature fluctuation</w:t>
      </w:r>
    </w:p>
    <w:p w:rsidRPr="001435B8" w:rsidR="001435B8" w:rsidP="4EEA4F04" w:rsidRDefault="001435B8" w14:paraId="3D0C79B2"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w:t>
      </w:r>
    </w:p>
    <w:p w:rsidRPr="001435B8" w:rsidR="001435B8" w:rsidP="4EEA4F04" w:rsidRDefault="001435B8" w14:paraId="22A57A88" w14:textId="77777777">
      <w:pPr>
        <w:numPr>
          <w:ilvl w:val="0"/>
          <w:numId w:val="17"/>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Embedded thermal sensors</w:t>
      </w:r>
    </w:p>
    <w:p w:rsidRPr="001435B8" w:rsidR="001435B8" w:rsidP="4EEA4F04" w:rsidRDefault="001435B8" w14:paraId="415A7737" w14:textId="77777777">
      <w:pPr>
        <w:numPr>
          <w:ilvl w:val="0"/>
          <w:numId w:val="17"/>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Vehicle telemetry system</w:t>
      </w:r>
    </w:p>
    <w:p w:rsidRPr="001435B8" w:rsidR="001435B8" w:rsidP="4EEA4F04" w:rsidRDefault="00000000" w14:paraId="469C6195" w14:textId="77777777">
      <w:pPr>
        <w:rPr>
          <w:rFonts w:ascii="Aptos" w:hAnsi="Aptos" w:eastAsia="Aptos" w:cs="Aptos" w:asciiTheme="minorAscii" w:hAnsiTheme="minorAscii" w:eastAsiaTheme="minorAscii" w:cstheme="minorAscii"/>
          <w:sz w:val="22"/>
          <w:szCs w:val="22"/>
        </w:rPr>
      </w:pPr>
      <w:r>
        <w:pict w14:anchorId="66315FED">
          <v:rect id="_x0000_i1039" style="width:0;height:1.5pt" o:hr="t" o:hrstd="t" o:hralign="center" fillcolor="#a0a0a0" stroked="f"/>
        </w:pict>
      </w:r>
    </w:p>
    <w:p w:rsidRPr="001435B8" w:rsidR="001435B8" w:rsidP="4EEA4F04" w:rsidRDefault="001435B8" w14:paraId="78585A7B"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Cycle-Based Features</w:t>
      </w:r>
    </w:p>
    <w:p w:rsidRPr="001435B8" w:rsidR="001435B8" w:rsidP="4EEA4F04" w:rsidRDefault="001435B8" w14:paraId="70941A37" w14:textId="77777777">
      <w:pPr>
        <w:numPr>
          <w:ilvl w:val="0"/>
          <w:numId w:val="18"/>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Normalized cycle index</w:t>
      </w:r>
    </w:p>
    <w:p w:rsidRPr="001435B8" w:rsidR="001435B8" w:rsidP="4EEA4F04" w:rsidRDefault="001435B8" w14:paraId="7CBEA1CB" w14:textId="77777777">
      <w:pPr>
        <w:numPr>
          <w:ilvl w:val="0"/>
          <w:numId w:val="18"/>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Percentage of life consumed</w:t>
      </w:r>
    </w:p>
    <w:p w:rsidRPr="001435B8" w:rsidR="001435B8" w:rsidP="4EEA4F04" w:rsidRDefault="001435B8" w14:paraId="3851E5A7"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Real-world source:</w:t>
      </w:r>
    </w:p>
    <w:p w:rsidRPr="001435B8" w:rsidR="001435B8" w:rsidP="4EEA4F04" w:rsidRDefault="001435B8" w14:paraId="38E409B7" w14:textId="77777777">
      <w:pPr>
        <w:numPr>
          <w:ilvl w:val="0"/>
          <w:numId w:val="1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BMS cycle counter</w:t>
      </w:r>
    </w:p>
    <w:p w:rsidRPr="001435B8" w:rsidR="001435B8" w:rsidP="4EEA4F04" w:rsidRDefault="001435B8" w14:paraId="1F55875A" w14:textId="77777777">
      <w:pPr>
        <w:numPr>
          <w:ilvl w:val="0"/>
          <w:numId w:val="19"/>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Historical degradation tracking</w:t>
      </w:r>
    </w:p>
    <w:p w:rsidRPr="001435B8" w:rsidR="001435B8" w:rsidP="4EEA4F04" w:rsidRDefault="00000000" w14:paraId="2F364151" w14:textId="77777777">
      <w:pPr>
        <w:rPr>
          <w:rFonts w:ascii="Aptos" w:hAnsi="Aptos" w:eastAsia="Aptos" w:cs="Aptos" w:asciiTheme="minorAscii" w:hAnsiTheme="minorAscii" w:eastAsiaTheme="minorAscii" w:cstheme="minorAscii"/>
          <w:sz w:val="22"/>
          <w:szCs w:val="22"/>
        </w:rPr>
      </w:pPr>
      <w:r>
        <w:pict w14:anchorId="0F39EDC1">
          <v:rect id="_x0000_i1040" style="width:0;height:1.5pt" o:hr="t" o:hrstd="t" o:hralign="center" fillcolor="#a0a0a0" stroked="f"/>
        </w:pict>
      </w:r>
    </w:p>
    <w:p w:rsidRPr="001435B8" w:rsidR="001435B8" w:rsidP="4EEA4F04" w:rsidRDefault="001435B8" w14:paraId="4F748E0D"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In real EV deployment, all these features can be extracted from:</w:t>
      </w:r>
    </w:p>
    <w:p w:rsidRPr="001435B8" w:rsidR="001435B8" w:rsidP="4EEA4F04" w:rsidRDefault="001435B8" w14:paraId="457A6974" w14:textId="77777777">
      <w:pPr>
        <w:numPr>
          <w:ilvl w:val="0"/>
          <w:numId w:val="2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Onboard Battery Management System (BMS)</w:t>
      </w:r>
    </w:p>
    <w:p w:rsidRPr="001435B8" w:rsidR="001435B8" w:rsidP="4EEA4F04" w:rsidRDefault="001435B8" w14:paraId="042C7417" w14:textId="77777777">
      <w:pPr>
        <w:numPr>
          <w:ilvl w:val="0"/>
          <w:numId w:val="2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CAN bus telemetry</w:t>
      </w:r>
    </w:p>
    <w:p w:rsidRPr="001435B8" w:rsidR="001435B8" w:rsidP="4EEA4F04" w:rsidRDefault="001435B8" w14:paraId="386E4DE1" w14:textId="77777777">
      <w:pPr>
        <w:numPr>
          <w:ilvl w:val="0"/>
          <w:numId w:val="2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Vehicle cloud data logging systems</w:t>
      </w:r>
    </w:p>
    <w:p w:rsidRPr="001435B8" w:rsidR="001435B8" w:rsidP="4EEA4F04" w:rsidRDefault="001435B8" w14:paraId="7AAE7B10" w14:textId="77777777">
      <w:pPr>
        <w:numPr>
          <w:ilvl w:val="0"/>
          <w:numId w:val="20"/>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Edge computing modules for predictive analytics</w:t>
      </w:r>
    </w:p>
    <w:p w:rsidRPr="001435B8" w:rsidR="001435B8" w:rsidP="4EEA4F04" w:rsidRDefault="00000000" w14:paraId="12B41C36" w14:textId="77777777">
      <w:pPr>
        <w:rPr>
          <w:rFonts w:ascii="Aptos" w:hAnsi="Aptos" w:eastAsia="Aptos" w:cs="Aptos" w:asciiTheme="minorAscii" w:hAnsiTheme="minorAscii" w:eastAsiaTheme="minorAscii" w:cstheme="minorAscii"/>
          <w:sz w:val="22"/>
          <w:szCs w:val="22"/>
        </w:rPr>
      </w:pPr>
      <w:r>
        <w:pict w14:anchorId="3C62B2BF">
          <v:rect id="_x0000_i1041" style="width:0;height:1.5pt" o:hr="t" o:hrstd="t" o:hralign="center" fillcolor="#a0a0a0" stroked="f"/>
        </w:pict>
      </w:r>
    </w:p>
    <w:p w:rsidRPr="001435B8" w:rsidR="001435B8" w:rsidP="4EEA4F04" w:rsidRDefault="001435B8" w14:paraId="22AAFFC9"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5. Model Evaluation Results</w:t>
      </w:r>
    </w:p>
    <w:p w:rsidRPr="001435B8" w:rsidR="001435B8" w:rsidP="4EEA4F04" w:rsidRDefault="001435B8" w14:paraId="15239664"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5.1 Cross-Validation Results</w:t>
      </w:r>
    </w:p>
    <w:p w:rsidRPr="001435B8" w:rsidR="001435B8" w:rsidP="4EEA4F04" w:rsidRDefault="001435B8" w14:paraId="114D420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Average 5-fold grouped cross-validation results:</w:t>
      </w:r>
    </w:p>
    <w:tbl>
      <w:tblPr>
        <w:tblW w:w="0" w:type="auto"/>
        <w:tblCellSpacing w:w="1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CellMar>
          <w:top w:w="15" w:type="dxa"/>
          <w:left w:w="15" w:type="dxa"/>
          <w:bottom w:w="15" w:type="dxa"/>
          <w:right w:w="15" w:type="dxa"/>
        </w:tblCellMar>
        <w:tblLook w:val="04A0" w:firstRow="1" w:lastRow="0" w:firstColumn="1" w:lastColumn="0" w:noHBand="0" w:noVBand="1"/>
      </w:tblPr>
      <w:tblGrid>
        <w:gridCol w:w="1909"/>
        <w:gridCol w:w="1391"/>
        <w:gridCol w:w="999"/>
        <w:gridCol w:w="1374"/>
        <w:gridCol w:w="997"/>
      </w:tblGrid>
      <w:tr w:rsidRPr="001435B8" w:rsidR="001435B8" w:rsidTr="4EEA4F04" w14:paraId="557C8B11" w14:textId="77777777">
        <w:trPr>
          <w:tblHeader/>
          <w:tblCellSpacing w:w="15" w:type="dxa"/>
        </w:trPr>
        <w:tc>
          <w:tcPr>
            <w:tcW w:w="0" w:type="auto"/>
            <w:tcMar/>
            <w:vAlign w:val="center"/>
            <w:hideMark/>
          </w:tcPr>
          <w:p w:rsidRPr="001435B8" w:rsidR="001435B8" w:rsidP="4EEA4F04" w:rsidRDefault="001435B8" w14:paraId="5BEB2697"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Model</w:t>
            </w:r>
          </w:p>
        </w:tc>
        <w:tc>
          <w:tcPr>
            <w:tcW w:w="0" w:type="auto"/>
            <w:tcMar/>
            <w:vAlign w:val="center"/>
            <w:hideMark/>
          </w:tcPr>
          <w:p w:rsidRPr="001435B8" w:rsidR="001435B8" w:rsidP="4EEA4F04" w:rsidRDefault="001435B8" w14:paraId="67344818"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SoH</w:t>
            </w:r>
            <w:r w:rsidRPr="4EEA4F04" w:rsidR="001435B8">
              <w:rPr>
                <w:rFonts w:ascii="Aptos" w:hAnsi="Aptos" w:eastAsia="Aptos" w:cs="Aptos" w:asciiTheme="minorAscii" w:hAnsiTheme="minorAscii" w:eastAsiaTheme="minorAscii" w:cstheme="minorAscii"/>
                <w:b w:val="1"/>
                <w:bCs w:val="1"/>
                <w:sz w:val="22"/>
                <w:szCs w:val="22"/>
              </w:rPr>
              <w:t xml:space="preserve"> RMSE ↓</w:t>
            </w:r>
          </w:p>
        </w:tc>
        <w:tc>
          <w:tcPr>
            <w:tcW w:w="0" w:type="auto"/>
            <w:tcMar/>
            <w:vAlign w:val="center"/>
            <w:hideMark/>
          </w:tcPr>
          <w:p w:rsidRPr="001435B8" w:rsidR="001435B8" w:rsidP="4EEA4F04" w:rsidRDefault="001435B8" w14:paraId="5BBEA75F"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SoH</w:t>
            </w:r>
            <w:r w:rsidRPr="4EEA4F04" w:rsidR="001435B8">
              <w:rPr>
                <w:rFonts w:ascii="Aptos" w:hAnsi="Aptos" w:eastAsia="Aptos" w:cs="Aptos" w:asciiTheme="minorAscii" w:hAnsiTheme="minorAscii" w:eastAsiaTheme="minorAscii" w:cstheme="minorAscii"/>
                <w:b w:val="1"/>
                <w:bCs w:val="1"/>
                <w:sz w:val="22"/>
                <w:szCs w:val="22"/>
              </w:rPr>
              <w:t xml:space="preserve"> R² ↑</w:t>
            </w:r>
          </w:p>
        </w:tc>
        <w:tc>
          <w:tcPr>
            <w:tcW w:w="0" w:type="auto"/>
            <w:tcMar/>
            <w:vAlign w:val="center"/>
            <w:hideMark/>
          </w:tcPr>
          <w:p w:rsidRPr="001435B8" w:rsidR="001435B8" w:rsidP="4EEA4F04" w:rsidRDefault="001435B8" w14:paraId="3C27BB82"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RUL RMSE ↓</w:t>
            </w:r>
          </w:p>
        </w:tc>
        <w:tc>
          <w:tcPr>
            <w:tcW w:w="0" w:type="auto"/>
            <w:tcMar/>
            <w:vAlign w:val="center"/>
            <w:hideMark/>
          </w:tcPr>
          <w:p w:rsidRPr="001435B8" w:rsidR="001435B8" w:rsidP="4EEA4F04" w:rsidRDefault="001435B8" w14:paraId="5B513574"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RUL R² ↑</w:t>
            </w:r>
          </w:p>
        </w:tc>
      </w:tr>
      <w:tr w:rsidRPr="001435B8" w:rsidR="001435B8" w:rsidTr="4EEA4F04" w14:paraId="002E29AC" w14:textId="77777777">
        <w:trPr>
          <w:tblCellSpacing w:w="15" w:type="dxa"/>
        </w:trPr>
        <w:tc>
          <w:tcPr>
            <w:tcW w:w="0" w:type="auto"/>
            <w:tcMar/>
            <w:vAlign w:val="center"/>
            <w:hideMark/>
          </w:tcPr>
          <w:p w:rsidRPr="001435B8" w:rsidR="001435B8" w:rsidP="4EEA4F04" w:rsidRDefault="001435B8" w14:paraId="25EFE28B"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Linear Regression</w:t>
            </w:r>
          </w:p>
        </w:tc>
        <w:tc>
          <w:tcPr>
            <w:tcW w:w="0" w:type="auto"/>
            <w:tcMar/>
            <w:vAlign w:val="center"/>
            <w:hideMark/>
          </w:tcPr>
          <w:p w:rsidRPr="001435B8" w:rsidR="001435B8" w:rsidP="4EEA4F04" w:rsidRDefault="001435B8" w14:paraId="7ED2C064"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0.1079</w:t>
            </w:r>
          </w:p>
        </w:tc>
        <w:tc>
          <w:tcPr>
            <w:tcW w:w="0" w:type="auto"/>
            <w:tcMar/>
            <w:vAlign w:val="center"/>
            <w:hideMark/>
          </w:tcPr>
          <w:p w:rsidRPr="001435B8" w:rsidR="001435B8" w:rsidP="4EEA4F04" w:rsidRDefault="001435B8" w14:paraId="762BAA9F"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-0.0904</w:t>
            </w:r>
          </w:p>
        </w:tc>
        <w:tc>
          <w:tcPr>
            <w:tcW w:w="0" w:type="auto"/>
            <w:tcMar/>
            <w:vAlign w:val="center"/>
            <w:hideMark/>
          </w:tcPr>
          <w:p w:rsidRPr="001435B8" w:rsidR="001435B8" w:rsidP="4EEA4F04" w:rsidRDefault="001435B8" w14:paraId="043D7DFE"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42.8253</w:t>
            </w:r>
          </w:p>
        </w:tc>
        <w:tc>
          <w:tcPr>
            <w:tcW w:w="0" w:type="auto"/>
            <w:tcMar/>
            <w:vAlign w:val="center"/>
            <w:hideMark/>
          </w:tcPr>
          <w:p w:rsidRPr="001435B8" w:rsidR="001435B8" w:rsidP="4EEA4F04" w:rsidRDefault="001435B8" w14:paraId="46171FDD"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-0.5953</w:t>
            </w:r>
          </w:p>
        </w:tc>
      </w:tr>
      <w:tr w:rsidRPr="001435B8" w:rsidR="001435B8" w:rsidTr="4EEA4F04" w14:paraId="62FA909A" w14:textId="77777777">
        <w:trPr>
          <w:tblCellSpacing w:w="15" w:type="dxa"/>
        </w:trPr>
        <w:tc>
          <w:tcPr>
            <w:tcW w:w="0" w:type="auto"/>
            <w:tcMar/>
            <w:vAlign w:val="center"/>
            <w:hideMark/>
          </w:tcPr>
          <w:p w:rsidRPr="001435B8" w:rsidR="001435B8" w:rsidP="4EEA4F04" w:rsidRDefault="001435B8" w14:paraId="06014A6F"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Random Forest</w:t>
            </w:r>
          </w:p>
        </w:tc>
        <w:tc>
          <w:tcPr>
            <w:tcW w:w="0" w:type="auto"/>
            <w:tcMar/>
            <w:vAlign w:val="center"/>
            <w:hideMark/>
          </w:tcPr>
          <w:p w:rsidRPr="001435B8" w:rsidR="001435B8" w:rsidP="4EEA4F04" w:rsidRDefault="001435B8" w14:paraId="7A913879"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0.0916</w:t>
            </w:r>
          </w:p>
        </w:tc>
        <w:tc>
          <w:tcPr>
            <w:tcW w:w="0" w:type="auto"/>
            <w:tcMar/>
            <w:vAlign w:val="center"/>
            <w:hideMark/>
          </w:tcPr>
          <w:p w:rsidRPr="001435B8" w:rsidR="001435B8" w:rsidP="4EEA4F04" w:rsidRDefault="001435B8" w14:paraId="3030725B"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0.1547</w:t>
            </w:r>
          </w:p>
        </w:tc>
        <w:tc>
          <w:tcPr>
            <w:tcW w:w="0" w:type="auto"/>
            <w:tcMar/>
            <w:vAlign w:val="center"/>
            <w:hideMark/>
          </w:tcPr>
          <w:p w:rsidRPr="001435B8" w:rsidR="001435B8" w:rsidP="4EEA4F04" w:rsidRDefault="001435B8" w14:paraId="4D9FCC13"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28.4258</w:t>
            </w:r>
          </w:p>
        </w:tc>
        <w:tc>
          <w:tcPr>
            <w:tcW w:w="0" w:type="auto"/>
            <w:tcMar/>
            <w:vAlign w:val="center"/>
            <w:hideMark/>
          </w:tcPr>
          <w:p w:rsidRPr="001435B8" w:rsidR="001435B8" w:rsidP="4EEA4F04" w:rsidRDefault="001435B8" w14:paraId="0664C587"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0.4402</w:t>
            </w:r>
          </w:p>
        </w:tc>
      </w:tr>
      <w:tr w:rsidRPr="001435B8" w:rsidR="001435B8" w:rsidTr="4EEA4F04" w14:paraId="3879AF73" w14:textId="77777777">
        <w:trPr>
          <w:tblCellSpacing w:w="15" w:type="dxa"/>
        </w:trPr>
        <w:tc>
          <w:tcPr>
            <w:tcW w:w="0" w:type="auto"/>
            <w:tcMar/>
            <w:vAlign w:val="center"/>
            <w:hideMark/>
          </w:tcPr>
          <w:p w:rsidRPr="001435B8" w:rsidR="001435B8" w:rsidP="4EEA4F04" w:rsidRDefault="001435B8" w14:paraId="418A4581"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SVR (Tuned)</w:t>
            </w:r>
          </w:p>
        </w:tc>
        <w:tc>
          <w:tcPr>
            <w:tcW w:w="0" w:type="auto"/>
            <w:tcMar/>
            <w:vAlign w:val="center"/>
            <w:hideMark/>
          </w:tcPr>
          <w:p w:rsidRPr="001435B8" w:rsidR="001435B8" w:rsidP="4EEA4F04" w:rsidRDefault="001435B8" w14:paraId="70992C5E"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0.0788</w:t>
            </w:r>
          </w:p>
        </w:tc>
        <w:tc>
          <w:tcPr>
            <w:tcW w:w="0" w:type="auto"/>
            <w:tcMar/>
            <w:vAlign w:val="center"/>
            <w:hideMark/>
          </w:tcPr>
          <w:p w:rsidRPr="001435B8" w:rsidR="001435B8" w:rsidP="4EEA4F04" w:rsidRDefault="001435B8" w14:paraId="3F480F6E"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0.4455</w:t>
            </w:r>
          </w:p>
        </w:tc>
        <w:tc>
          <w:tcPr>
            <w:tcW w:w="0" w:type="auto"/>
            <w:tcMar/>
            <w:vAlign w:val="center"/>
            <w:hideMark/>
          </w:tcPr>
          <w:p w:rsidRPr="001435B8" w:rsidR="001435B8" w:rsidP="4EEA4F04" w:rsidRDefault="001435B8" w14:paraId="4A84BD69"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26.1291</w:t>
            </w:r>
          </w:p>
        </w:tc>
        <w:tc>
          <w:tcPr>
            <w:tcW w:w="0" w:type="auto"/>
            <w:tcMar/>
            <w:vAlign w:val="center"/>
            <w:hideMark/>
          </w:tcPr>
          <w:p w:rsidRPr="001435B8" w:rsidR="001435B8" w:rsidP="4EEA4F04" w:rsidRDefault="001435B8" w14:paraId="616345CD"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0.5241</w:t>
            </w:r>
          </w:p>
        </w:tc>
      </w:tr>
      <w:tr w:rsidRPr="001435B8" w:rsidR="001435B8" w:rsidTr="4EEA4F04" w14:paraId="00169416" w14:textId="77777777">
        <w:trPr>
          <w:tblCellSpacing w:w="15" w:type="dxa"/>
        </w:trPr>
        <w:tc>
          <w:tcPr>
            <w:tcW w:w="0" w:type="auto"/>
            <w:tcMar/>
            <w:vAlign w:val="center"/>
            <w:hideMark/>
          </w:tcPr>
          <w:p w:rsidRPr="001435B8" w:rsidR="001435B8" w:rsidP="4EEA4F04" w:rsidRDefault="001435B8" w14:paraId="2F4CB0C9"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XGBoost</w:t>
            </w:r>
          </w:p>
        </w:tc>
        <w:tc>
          <w:tcPr>
            <w:tcW w:w="0" w:type="auto"/>
            <w:tcMar/>
            <w:vAlign w:val="center"/>
            <w:hideMark/>
          </w:tcPr>
          <w:p w:rsidRPr="001435B8" w:rsidR="001435B8" w:rsidP="4EEA4F04" w:rsidRDefault="001435B8" w14:paraId="2C26D8F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0.0909</w:t>
            </w:r>
          </w:p>
        </w:tc>
        <w:tc>
          <w:tcPr>
            <w:tcW w:w="0" w:type="auto"/>
            <w:tcMar/>
            <w:vAlign w:val="center"/>
            <w:hideMark/>
          </w:tcPr>
          <w:p w:rsidRPr="001435B8" w:rsidR="001435B8" w:rsidP="4EEA4F04" w:rsidRDefault="001435B8" w14:paraId="695EAD02"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0.1659</w:t>
            </w:r>
          </w:p>
        </w:tc>
        <w:tc>
          <w:tcPr>
            <w:tcW w:w="0" w:type="auto"/>
            <w:tcMar/>
            <w:vAlign w:val="center"/>
            <w:hideMark/>
          </w:tcPr>
          <w:p w:rsidRPr="001435B8" w:rsidR="001435B8" w:rsidP="4EEA4F04" w:rsidRDefault="001435B8" w14:paraId="70201CC9"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28.8278</w:t>
            </w:r>
          </w:p>
        </w:tc>
        <w:tc>
          <w:tcPr>
            <w:tcW w:w="0" w:type="auto"/>
            <w:tcMar/>
            <w:vAlign w:val="center"/>
            <w:hideMark/>
          </w:tcPr>
          <w:p w:rsidRPr="001435B8" w:rsidR="001435B8" w:rsidP="4EEA4F04" w:rsidRDefault="001435B8" w14:paraId="1AFD3CE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0.4273</w:t>
            </w:r>
          </w:p>
        </w:tc>
      </w:tr>
    </w:tbl>
    <w:p w:rsidRPr="001435B8" w:rsidR="001435B8" w:rsidP="4EEA4F04" w:rsidRDefault="00000000" w14:paraId="7D3BB082" w14:textId="77777777">
      <w:pPr>
        <w:rPr>
          <w:rFonts w:ascii="Aptos" w:hAnsi="Aptos" w:eastAsia="Aptos" w:cs="Aptos" w:asciiTheme="minorAscii" w:hAnsiTheme="minorAscii" w:eastAsiaTheme="minorAscii" w:cstheme="minorAscii"/>
          <w:sz w:val="22"/>
          <w:szCs w:val="22"/>
        </w:rPr>
      </w:pPr>
      <w:r>
        <w:pict w14:anchorId="3170149E">
          <v:rect id="_x0000_i1042" style="width:0;height:1.5pt" o:hr="t" o:hrstd="t" o:hralign="center" fillcolor="#a0a0a0" stroked="f"/>
        </w:pict>
      </w:r>
    </w:p>
    <w:p w:rsidRPr="001435B8" w:rsidR="001435B8" w:rsidP="4EEA4F04" w:rsidRDefault="001435B8" w14:paraId="75EF64FC"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5.2 Comparison with Reference Study</w:t>
      </w:r>
    </w:p>
    <w:p w:rsidRPr="001435B8" w:rsidR="001435B8" w:rsidP="4EEA4F04" w:rsidRDefault="001435B8" w14:paraId="7C020577"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The referenced exponential degradation model reported:</w:t>
      </w:r>
    </w:p>
    <w:p w:rsidRPr="001435B8" w:rsidR="001435B8" w:rsidP="4EEA4F04" w:rsidRDefault="001435B8" w14:paraId="7498920D" w14:textId="77777777">
      <w:pPr>
        <w:numPr>
          <w:ilvl w:val="0"/>
          <w:numId w:val="2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MSE = 0.091</w:t>
      </w:r>
    </w:p>
    <w:p w:rsidRPr="001435B8" w:rsidR="001435B8" w:rsidP="4EEA4F04" w:rsidRDefault="001435B8" w14:paraId="1C27E540" w14:textId="77777777">
      <w:pPr>
        <w:numPr>
          <w:ilvl w:val="0"/>
          <w:numId w:val="21"/>
        </w:num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MAE = 0.236</w:t>
      </w:r>
    </w:p>
    <w:p w:rsidRPr="001435B8" w:rsidR="001435B8" w:rsidP="4EEA4F04" w:rsidRDefault="001435B8" w14:paraId="41928AB6"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For the proposed SVR model:</w:t>
      </w:r>
    </w:p>
    <w:p w:rsidRPr="001435B8" w:rsidR="001435B8" w:rsidP="4EEA4F04" w:rsidRDefault="001435B8" w14:paraId="2DE04661"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MSE = (</w:t>
      </w:r>
      <w:r w:rsidRPr="4EEA4F04" w:rsidR="001435B8">
        <w:rPr>
          <w:rFonts w:ascii="Aptos" w:hAnsi="Aptos" w:eastAsia="Aptos" w:cs="Aptos" w:asciiTheme="minorAscii" w:hAnsiTheme="minorAscii" w:eastAsiaTheme="minorAscii" w:cstheme="minorAscii"/>
          <w:sz w:val="22"/>
          <w:szCs w:val="22"/>
        </w:rPr>
        <w:t>0.0788)²</w:t>
      </w:r>
      <w:r w:rsidRPr="4EEA4F04" w:rsidR="001435B8">
        <w:rPr>
          <w:rFonts w:ascii="Aptos" w:hAnsi="Aptos" w:eastAsia="Aptos" w:cs="Aptos" w:asciiTheme="minorAscii" w:hAnsiTheme="minorAscii" w:eastAsiaTheme="minorAscii" w:cstheme="minorAscii"/>
          <w:sz w:val="22"/>
          <w:szCs w:val="22"/>
        </w:rPr>
        <w:t xml:space="preserve"> = 0.00621</w:t>
      </w:r>
    </w:p>
    <w:tbl>
      <w:tblPr>
        <w:tblW w:w="0" w:type="auto"/>
        <w:tblCellSpacing w:w="1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CellMar>
          <w:top w:w="15" w:type="dxa"/>
          <w:left w:w="15" w:type="dxa"/>
          <w:bottom w:w="15" w:type="dxa"/>
          <w:right w:w="15" w:type="dxa"/>
        </w:tblCellMar>
        <w:tblLook w:val="04A0" w:firstRow="1" w:lastRow="0" w:firstColumn="1" w:lastColumn="0" w:noHBand="0" w:noVBand="1"/>
      </w:tblPr>
      <w:tblGrid>
        <w:gridCol w:w="1170"/>
        <w:gridCol w:w="1771"/>
        <w:gridCol w:w="2333"/>
      </w:tblGrid>
      <w:tr w:rsidRPr="001435B8" w:rsidR="001435B8" w:rsidTr="4EEA4F04" w14:paraId="07255D7E" w14:textId="77777777">
        <w:trPr>
          <w:tblHeader/>
          <w:tblCellSpacing w:w="15" w:type="dxa"/>
        </w:trPr>
        <w:tc>
          <w:tcPr>
            <w:tcW w:w="0" w:type="auto"/>
            <w:tcMar/>
            <w:vAlign w:val="center"/>
            <w:hideMark/>
          </w:tcPr>
          <w:p w:rsidRPr="001435B8" w:rsidR="001435B8" w:rsidP="4EEA4F04" w:rsidRDefault="001435B8" w14:paraId="0FF8BE0C"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Metric</w:t>
            </w:r>
          </w:p>
        </w:tc>
        <w:tc>
          <w:tcPr>
            <w:tcW w:w="0" w:type="auto"/>
            <w:tcMar/>
            <w:vAlign w:val="center"/>
            <w:hideMark/>
          </w:tcPr>
          <w:p w:rsidRPr="001435B8" w:rsidR="001435B8" w:rsidP="4EEA4F04" w:rsidRDefault="001435B8" w14:paraId="549F9EC9"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Research Paper</w:t>
            </w:r>
          </w:p>
        </w:tc>
        <w:tc>
          <w:tcPr>
            <w:tcW w:w="0" w:type="auto"/>
            <w:tcMar/>
            <w:vAlign w:val="center"/>
            <w:hideMark/>
          </w:tcPr>
          <w:p w:rsidRPr="001435B8" w:rsidR="001435B8" w:rsidP="4EEA4F04" w:rsidRDefault="001435B8" w14:paraId="0A9B695A"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Proposed SVR Model</w:t>
            </w:r>
          </w:p>
        </w:tc>
      </w:tr>
      <w:tr w:rsidRPr="001435B8" w:rsidR="001435B8" w:rsidTr="4EEA4F04" w14:paraId="3650ED94" w14:textId="77777777">
        <w:trPr>
          <w:tblCellSpacing w:w="15" w:type="dxa"/>
        </w:trPr>
        <w:tc>
          <w:tcPr>
            <w:tcW w:w="0" w:type="auto"/>
            <w:tcMar/>
            <w:vAlign w:val="center"/>
            <w:hideMark/>
          </w:tcPr>
          <w:p w:rsidRPr="001435B8" w:rsidR="001435B8" w:rsidP="4EEA4F04" w:rsidRDefault="001435B8" w14:paraId="3F805C4D"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MSE</w:t>
            </w:r>
          </w:p>
        </w:tc>
        <w:tc>
          <w:tcPr>
            <w:tcW w:w="0" w:type="auto"/>
            <w:tcMar/>
            <w:vAlign w:val="center"/>
            <w:hideMark/>
          </w:tcPr>
          <w:p w:rsidRPr="001435B8" w:rsidR="001435B8" w:rsidP="4EEA4F04" w:rsidRDefault="001435B8" w14:paraId="3A61D249"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0.091</w:t>
            </w:r>
          </w:p>
        </w:tc>
        <w:tc>
          <w:tcPr>
            <w:tcW w:w="0" w:type="auto"/>
            <w:tcMar/>
            <w:vAlign w:val="center"/>
            <w:hideMark/>
          </w:tcPr>
          <w:p w:rsidRPr="001435B8" w:rsidR="001435B8" w:rsidP="4EEA4F04" w:rsidRDefault="001435B8" w14:paraId="55CD0BF7"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0.00621</w:t>
            </w:r>
          </w:p>
        </w:tc>
      </w:tr>
      <w:tr w:rsidRPr="001435B8" w:rsidR="001435B8" w:rsidTr="4EEA4F04" w14:paraId="6CF618A7" w14:textId="77777777">
        <w:trPr>
          <w:tblCellSpacing w:w="15" w:type="dxa"/>
        </w:trPr>
        <w:tc>
          <w:tcPr>
            <w:tcW w:w="0" w:type="auto"/>
            <w:tcMar/>
            <w:vAlign w:val="center"/>
            <w:hideMark/>
          </w:tcPr>
          <w:p w:rsidRPr="001435B8" w:rsidR="001435B8" w:rsidP="4EEA4F04" w:rsidRDefault="001435B8" w14:paraId="59B7215A"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SoH</w:t>
            </w:r>
            <w:r w:rsidRPr="4EEA4F04" w:rsidR="001435B8">
              <w:rPr>
                <w:rFonts w:ascii="Aptos" w:hAnsi="Aptos" w:eastAsia="Aptos" w:cs="Aptos" w:asciiTheme="minorAscii" w:hAnsiTheme="minorAscii" w:eastAsiaTheme="minorAscii" w:cstheme="minorAscii"/>
                <w:sz w:val="22"/>
                <w:szCs w:val="22"/>
              </w:rPr>
              <w:t xml:space="preserve"> RMSE</w:t>
            </w:r>
          </w:p>
        </w:tc>
        <w:tc>
          <w:tcPr>
            <w:tcW w:w="0" w:type="auto"/>
            <w:tcMar/>
            <w:vAlign w:val="center"/>
            <w:hideMark/>
          </w:tcPr>
          <w:p w:rsidRPr="001435B8" w:rsidR="001435B8" w:rsidP="4EEA4F04" w:rsidRDefault="001435B8" w14:paraId="61876AAF"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0.3017</w:t>
            </w:r>
          </w:p>
        </w:tc>
        <w:tc>
          <w:tcPr>
            <w:tcW w:w="0" w:type="auto"/>
            <w:tcMar/>
            <w:vAlign w:val="center"/>
            <w:hideMark/>
          </w:tcPr>
          <w:p w:rsidRPr="001435B8" w:rsidR="001435B8" w:rsidP="4EEA4F04" w:rsidRDefault="001435B8" w14:paraId="2314B87B"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0.0788</w:t>
            </w:r>
          </w:p>
        </w:tc>
      </w:tr>
      <w:tr w:rsidRPr="001435B8" w:rsidR="001435B8" w:rsidTr="4EEA4F04" w14:paraId="3668DA3E" w14:textId="77777777">
        <w:trPr>
          <w:tblCellSpacing w:w="15" w:type="dxa"/>
        </w:trPr>
        <w:tc>
          <w:tcPr>
            <w:tcW w:w="0" w:type="auto"/>
            <w:tcMar/>
            <w:vAlign w:val="center"/>
            <w:hideMark/>
          </w:tcPr>
          <w:p w:rsidRPr="001435B8" w:rsidR="001435B8" w:rsidP="4EEA4F04" w:rsidRDefault="001435B8" w14:paraId="381CB3EE"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R²</w:t>
            </w:r>
          </w:p>
        </w:tc>
        <w:tc>
          <w:tcPr>
            <w:tcW w:w="0" w:type="auto"/>
            <w:tcMar/>
            <w:vAlign w:val="center"/>
            <w:hideMark/>
          </w:tcPr>
          <w:p w:rsidRPr="001435B8" w:rsidR="001435B8" w:rsidP="4EEA4F04" w:rsidRDefault="001435B8" w14:paraId="402F95A4"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Not Reported</w:t>
            </w:r>
          </w:p>
        </w:tc>
        <w:tc>
          <w:tcPr>
            <w:tcW w:w="0" w:type="auto"/>
            <w:tcMar/>
            <w:vAlign w:val="center"/>
            <w:hideMark/>
          </w:tcPr>
          <w:p w:rsidRPr="001435B8" w:rsidR="001435B8" w:rsidP="4EEA4F04" w:rsidRDefault="001435B8" w14:paraId="7C8C88CB" w14:textId="77777777">
            <w:pPr>
              <w:rPr>
                <w:rFonts w:ascii="Aptos" w:hAnsi="Aptos" w:eastAsia="Aptos" w:cs="Aptos" w:asciiTheme="minorAscii" w:hAnsiTheme="minorAscii" w:eastAsiaTheme="minorAscii" w:cstheme="minorAscii"/>
                <w:sz w:val="22"/>
                <w:szCs w:val="22"/>
              </w:rPr>
            </w:pPr>
            <w:r w:rsidRPr="4EEA4F04" w:rsidR="001435B8">
              <w:rPr>
                <w:rFonts w:ascii="Aptos" w:hAnsi="Aptos" w:eastAsia="Aptos" w:cs="Aptos" w:asciiTheme="minorAscii" w:hAnsiTheme="minorAscii" w:eastAsiaTheme="minorAscii" w:cstheme="minorAscii"/>
                <w:sz w:val="22"/>
                <w:szCs w:val="22"/>
              </w:rPr>
              <w:t>0.4455</w:t>
            </w:r>
          </w:p>
        </w:tc>
      </w:tr>
    </w:tbl>
    <w:p w:rsidRPr="001435B8" w:rsidR="001435B8" w:rsidP="4EEA4F04" w:rsidRDefault="00000000" w14:paraId="6F895828" w14:textId="77777777">
      <w:pPr>
        <w:rPr>
          <w:rFonts w:ascii="Aptos" w:hAnsi="Aptos" w:eastAsia="Aptos" w:cs="Aptos" w:asciiTheme="minorAscii" w:hAnsiTheme="minorAscii" w:eastAsiaTheme="minorAscii" w:cstheme="minorAscii"/>
          <w:sz w:val="22"/>
          <w:szCs w:val="22"/>
        </w:rPr>
      </w:pPr>
      <w:r>
        <w:pict w14:anchorId="33D3B2F6">
          <v:rect id="_x0000_i1043" style="width:0;height:1.5pt" o:hr="t" o:hrstd="t" o:hralign="center" fillcolor="#a0a0a0" stroked="f"/>
        </w:pict>
      </w:r>
    </w:p>
    <w:p w:rsidRPr="001435B8" w:rsidR="001435B8" w:rsidP="4EEA4F04" w:rsidRDefault="001435B8" w14:paraId="0307FC5B" w14:textId="77777777">
      <w:pPr>
        <w:rPr>
          <w:rFonts w:ascii="Aptos" w:hAnsi="Aptos" w:eastAsia="Aptos" w:cs="Aptos" w:asciiTheme="minorAscii" w:hAnsiTheme="minorAscii" w:eastAsiaTheme="minorAscii" w:cstheme="minorAscii"/>
          <w:b w:val="1"/>
          <w:bCs w:val="1"/>
          <w:sz w:val="22"/>
          <w:szCs w:val="22"/>
        </w:rPr>
      </w:pPr>
      <w:r w:rsidRPr="4EEA4F04" w:rsidR="001435B8">
        <w:rPr>
          <w:rFonts w:ascii="Aptos" w:hAnsi="Aptos" w:eastAsia="Aptos" w:cs="Aptos" w:asciiTheme="minorAscii" w:hAnsiTheme="minorAscii" w:eastAsiaTheme="minorAscii" w:cstheme="minorAscii"/>
          <w:b w:val="1"/>
          <w:bCs w:val="1"/>
          <w:sz w:val="22"/>
          <w:szCs w:val="22"/>
        </w:rPr>
        <w:t>6. Conclusion</w:t>
      </w:r>
    </w:p>
    <w:p w:rsidR="692CD311" w:rsidP="4EEA4F04" w:rsidRDefault="692CD311" w14:paraId="1198D500" w14:textId="435F7540">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This study presented a structured machine learning framework for predicting lithium-ion battery State of Health (</w:t>
      </w:r>
      <w:r w:rsidRPr="4EEA4F04" w:rsidR="692CD311">
        <w:rPr>
          <w:rFonts w:ascii="Aptos" w:hAnsi="Aptos" w:eastAsia="Aptos" w:cs="Aptos" w:asciiTheme="minorAscii" w:hAnsiTheme="minorAscii" w:eastAsiaTheme="minorAscii" w:cstheme="minorAscii"/>
          <w:noProof w:val="0"/>
          <w:sz w:val="22"/>
          <w:szCs w:val="22"/>
          <w:lang w:val="en-CA"/>
        </w:rPr>
        <w:t>SoH</w:t>
      </w:r>
      <w:r w:rsidRPr="4EEA4F04" w:rsidR="692CD311">
        <w:rPr>
          <w:rFonts w:ascii="Aptos" w:hAnsi="Aptos" w:eastAsia="Aptos" w:cs="Aptos" w:asciiTheme="minorAscii" w:hAnsiTheme="minorAscii" w:eastAsiaTheme="minorAscii" w:cstheme="minorAscii"/>
          <w:noProof w:val="0"/>
          <w:sz w:val="22"/>
          <w:szCs w:val="22"/>
          <w:lang w:val="en-CA"/>
        </w:rPr>
        <w:t>) and Remaining Useful Life (RUL) using cycle-level degradation data.</w:t>
      </w:r>
    </w:p>
    <w:p w:rsidR="692CD311" w:rsidP="4EEA4F04" w:rsidRDefault="692CD311" w14:paraId="4AB4BEBB" w14:textId="6D0B559C">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 xml:space="preserve">Unlike traditional exponential degradation models, which assume smooth and monotonic decay patterns, the proposed data-driven approach captures nonlinear degradation behavior and battery-specific variability. The experimental results </w:t>
      </w:r>
      <w:r w:rsidRPr="4EEA4F04" w:rsidR="692CD311">
        <w:rPr>
          <w:rFonts w:ascii="Aptos" w:hAnsi="Aptos" w:eastAsia="Aptos" w:cs="Aptos" w:asciiTheme="minorAscii" w:hAnsiTheme="minorAscii" w:eastAsiaTheme="minorAscii" w:cstheme="minorAscii"/>
          <w:noProof w:val="0"/>
          <w:sz w:val="22"/>
          <w:szCs w:val="22"/>
          <w:lang w:val="en-CA"/>
        </w:rPr>
        <w:t>demonstrate</w:t>
      </w:r>
      <w:r w:rsidRPr="4EEA4F04" w:rsidR="692CD311">
        <w:rPr>
          <w:rFonts w:ascii="Aptos" w:hAnsi="Aptos" w:eastAsia="Aptos" w:cs="Aptos" w:asciiTheme="minorAscii" w:hAnsiTheme="minorAscii" w:eastAsiaTheme="minorAscii" w:cstheme="minorAscii"/>
          <w:noProof w:val="0"/>
          <w:sz w:val="22"/>
          <w:szCs w:val="22"/>
          <w:lang w:val="en-CA"/>
        </w:rPr>
        <w:t xml:space="preserve"> that the </w:t>
      </w:r>
      <w:r w:rsidRPr="4EEA4F04" w:rsidR="692CD311">
        <w:rPr>
          <w:rFonts w:ascii="Aptos" w:hAnsi="Aptos" w:eastAsia="Aptos" w:cs="Aptos" w:asciiTheme="minorAscii" w:hAnsiTheme="minorAscii" w:eastAsiaTheme="minorAscii" w:cstheme="minorAscii"/>
          <w:noProof w:val="0"/>
          <w:sz w:val="22"/>
          <w:szCs w:val="22"/>
          <w:lang w:val="en-CA"/>
        </w:rPr>
        <w:t>tuned Support Vector Regression (SVR) model significantly outperforms the reference exponential model, achieving:</w:t>
      </w:r>
    </w:p>
    <w:p w:rsidR="692CD311" w:rsidP="4EEA4F04" w:rsidRDefault="692CD311" w14:paraId="30DFB1E3" w14:textId="659129EC">
      <w:pPr>
        <w:pStyle w:val="ListParagraph"/>
        <w:numPr>
          <w:ilvl w:val="0"/>
          <w:numId w:val="24"/>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SoH</w:t>
      </w:r>
      <w:r w:rsidRPr="4EEA4F04" w:rsidR="692CD311">
        <w:rPr>
          <w:rFonts w:ascii="Aptos" w:hAnsi="Aptos" w:eastAsia="Aptos" w:cs="Aptos" w:asciiTheme="minorAscii" w:hAnsiTheme="minorAscii" w:eastAsiaTheme="minorAscii" w:cstheme="minorAscii"/>
          <w:noProof w:val="0"/>
          <w:sz w:val="22"/>
          <w:szCs w:val="22"/>
          <w:lang w:val="en-CA"/>
        </w:rPr>
        <w:t xml:space="preserve"> MSE = 0.00621 (compared to 0.091 in the reference study)</w:t>
      </w:r>
    </w:p>
    <w:p w:rsidR="692CD311" w:rsidP="4EEA4F04" w:rsidRDefault="692CD311" w14:paraId="71C57BB0" w14:textId="140C0576">
      <w:pPr>
        <w:pStyle w:val="ListParagraph"/>
        <w:numPr>
          <w:ilvl w:val="0"/>
          <w:numId w:val="24"/>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SoH</w:t>
      </w:r>
      <w:r w:rsidRPr="4EEA4F04" w:rsidR="692CD311">
        <w:rPr>
          <w:rFonts w:ascii="Aptos" w:hAnsi="Aptos" w:eastAsia="Aptos" w:cs="Aptos" w:asciiTheme="minorAscii" w:hAnsiTheme="minorAscii" w:eastAsiaTheme="minorAscii" w:cstheme="minorAscii"/>
          <w:noProof w:val="0"/>
          <w:sz w:val="22"/>
          <w:szCs w:val="22"/>
          <w:lang w:val="en-CA"/>
        </w:rPr>
        <w:t xml:space="preserve"> RMSE = 0.0788</w:t>
      </w:r>
    </w:p>
    <w:p w:rsidR="692CD311" w:rsidP="4EEA4F04" w:rsidRDefault="692CD311" w14:paraId="4D8ED45A" w14:textId="1694C091">
      <w:pPr>
        <w:pStyle w:val="ListParagraph"/>
        <w:numPr>
          <w:ilvl w:val="0"/>
          <w:numId w:val="24"/>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SoH</w:t>
      </w:r>
      <w:r w:rsidRPr="4EEA4F04" w:rsidR="692CD311">
        <w:rPr>
          <w:rFonts w:ascii="Aptos" w:hAnsi="Aptos" w:eastAsia="Aptos" w:cs="Aptos" w:asciiTheme="minorAscii" w:hAnsiTheme="minorAscii" w:eastAsiaTheme="minorAscii" w:cstheme="minorAscii"/>
          <w:noProof w:val="0"/>
          <w:sz w:val="22"/>
          <w:szCs w:val="22"/>
          <w:lang w:val="en-CA"/>
        </w:rPr>
        <w:t xml:space="preserve"> R² = 0.4455</w:t>
      </w:r>
    </w:p>
    <w:p w:rsidR="692CD311" w:rsidP="4EEA4F04" w:rsidRDefault="692CD311" w14:paraId="049803F8" w14:textId="3B3DAD7A">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Grouped cross-validation ensured that the model generalizes across different batteries rather than merely predicting future cycles of a known battery.</w:t>
      </w:r>
    </w:p>
    <w:p w:rsidR="692CD311" w:rsidP="4EEA4F04" w:rsidRDefault="692CD311" w14:paraId="6DAA762F" w14:textId="30262BE8">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Although deep learning models such as LSTM are widely adopted in recent literature, experimental results show that tuned SVR provides superior stability and generalization for the NASA cycle-level dataset.</w:t>
      </w:r>
    </w:p>
    <w:p w:rsidR="692CD311" w:rsidP="4EEA4F04" w:rsidRDefault="692CD311" w14:paraId="5E7792BD" w14:textId="14FEB2BC">
      <w:pPr>
        <w:spacing w:before="240" w:beforeAutospacing="off" w:after="240" w:afterAutospacing="off"/>
        <w:rPr>
          <w:rFonts w:ascii="Aptos" w:hAnsi="Aptos" w:eastAsia="Aptos" w:cs="Aptos" w:asciiTheme="minorAscii" w:hAnsiTheme="minorAscii" w:eastAsiaTheme="minorAscii" w:cstheme="minorAscii"/>
          <w:noProof w:val="0"/>
          <w:sz w:val="22"/>
          <w:szCs w:val="22"/>
          <w:lang w:val="en-CA"/>
        </w:rPr>
      </w:pPr>
      <w:r w:rsidRPr="4EEA4F04" w:rsidR="692CD311">
        <w:rPr>
          <w:rFonts w:ascii="Aptos" w:hAnsi="Aptos" w:eastAsia="Aptos" w:cs="Aptos" w:asciiTheme="minorAscii" w:hAnsiTheme="minorAscii" w:eastAsiaTheme="minorAscii" w:cstheme="minorAscii"/>
          <w:noProof w:val="0"/>
          <w:sz w:val="22"/>
          <w:szCs w:val="22"/>
          <w:lang w:val="en-CA"/>
        </w:rPr>
        <w:t xml:space="preserve">The proposed framework </w:t>
      </w:r>
      <w:r w:rsidRPr="4EEA4F04" w:rsidR="692CD311">
        <w:rPr>
          <w:rFonts w:ascii="Aptos" w:hAnsi="Aptos" w:eastAsia="Aptos" w:cs="Aptos" w:asciiTheme="minorAscii" w:hAnsiTheme="minorAscii" w:eastAsiaTheme="minorAscii" w:cstheme="minorAscii"/>
          <w:noProof w:val="0"/>
          <w:sz w:val="22"/>
          <w:szCs w:val="22"/>
          <w:lang w:val="en-CA"/>
        </w:rPr>
        <w:t>demonstrates</w:t>
      </w:r>
      <w:r w:rsidRPr="4EEA4F04" w:rsidR="692CD311">
        <w:rPr>
          <w:rFonts w:ascii="Aptos" w:hAnsi="Aptos" w:eastAsia="Aptos" w:cs="Aptos" w:asciiTheme="minorAscii" w:hAnsiTheme="minorAscii" w:eastAsiaTheme="minorAscii" w:cstheme="minorAscii"/>
          <w:noProof w:val="0"/>
          <w:sz w:val="22"/>
          <w:szCs w:val="22"/>
          <w:lang w:val="en-CA"/>
        </w:rPr>
        <w:t xml:space="preserve"> strong potential for real-world EV battery health monitoring and can be extended to predictive maintenance and second-life battery applications.</w:t>
      </w:r>
    </w:p>
    <w:p w:rsidR="4EEA4F04" w:rsidP="4EEA4F04" w:rsidRDefault="4EEA4F04" w14:paraId="3AEFEEED" w14:textId="3CC270FC">
      <w:pPr>
        <w:rPr>
          <w:rFonts w:ascii="Aptos" w:hAnsi="Aptos" w:eastAsia="Aptos" w:cs="Aptos" w:asciiTheme="minorAscii" w:hAnsiTheme="minorAscii" w:eastAsiaTheme="minorAscii" w:cstheme="minorAscii"/>
          <w:sz w:val="22"/>
          <w:szCs w:val="22"/>
        </w:rPr>
      </w:pPr>
    </w:p>
    <w:p w:rsidRPr="001435B8" w:rsidR="00C30A1F" w:rsidP="4EEA4F04" w:rsidRDefault="00C30A1F" w14:paraId="5C2DBDAE" w14:textId="77777777">
      <w:pPr>
        <w:rPr>
          <w:rFonts w:ascii="Aptos" w:hAnsi="Aptos" w:eastAsia="Aptos" w:cs="Aptos" w:asciiTheme="minorAscii" w:hAnsiTheme="minorAscii" w:eastAsiaTheme="minorAscii" w:cstheme="minorAscii"/>
          <w:sz w:val="22"/>
          <w:szCs w:val="22"/>
        </w:rPr>
      </w:pPr>
    </w:p>
    <w:p w:rsidR="00551A74" w:rsidP="4EEA4F04" w:rsidRDefault="00551A74" w14:paraId="57580B2A" w14:textId="77777777">
      <w:pPr>
        <w:rPr>
          <w:rFonts w:ascii="Aptos" w:hAnsi="Aptos" w:eastAsia="Aptos" w:cs="Aptos" w:asciiTheme="minorAscii" w:hAnsiTheme="minorAscii" w:eastAsiaTheme="minorAscii" w:cstheme="minorAscii"/>
          <w:sz w:val="22"/>
          <w:szCs w:val="22"/>
        </w:rPr>
      </w:pPr>
    </w:p>
    <w:p w:rsidR="005F6958" w:rsidP="4EEA4F04" w:rsidRDefault="005F6958" w14:paraId="5166EFDC" w14:textId="2CC266DE">
      <w:pPr>
        <w:rPr>
          <w:rFonts w:ascii="Aptos" w:hAnsi="Aptos" w:eastAsia="Aptos" w:cs="Aptos" w:asciiTheme="minorAscii" w:hAnsiTheme="minorAscii" w:eastAsiaTheme="minorAscii" w:cstheme="minorAscii"/>
          <w:b w:val="1"/>
          <w:bCs w:val="1"/>
          <w:sz w:val="22"/>
          <w:szCs w:val="22"/>
        </w:rPr>
      </w:pPr>
      <w:r w:rsidRPr="4EEA4F04" w:rsidR="005F6958">
        <w:rPr>
          <w:rFonts w:ascii="Aptos" w:hAnsi="Aptos" w:eastAsia="Aptos" w:cs="Aptos" w:asciiTheme="minorAscii" w:hAnsiTheme="minorAscii" w:eastAsiaTheme="minorAscii" w:cstheme="minorAscii"/>
          <w:b w:val="1"/>
          <w:bCs w:val="1"/>
          <w:sz w:val="22"/>
          <w:szCs w:val="22"/>
        </w:rPr>
        <w:t>References:</w:t>
      </w:r>
    </w:p>
    <w:p w:rsidRPr="005F6958" w:rsidR="005F6958" w:rsidP="4EEA4F04" w:rsidRDefault="005F6958" w14:paraId="725F6A68" w14:textId="77777777">
      <w:pPr>
        <w:rPr>
          <w:rFonts w:ascii="Aptos" w:hAnsi="Aptos" w:eastAsia="Aptos" w:cs="Aptos" w:asciiTheme="minorAscii" w:hAnsiTheme="minorAscii" w:eastAsiaTheme="minorAscii" w:cstheme="minorAscii"/>
          <w:b w:val="1"/>
          <w:bCs w:val="1"/>
          <w:sz w:val="22"/>
          <w:szCs w:val="22"/>
        </w:rPr>
      </w:pPr>
      <w:r w:rsidRPr="4EEA4F04" w:rsidR="005F6958">
        <w:rPr>
          <w:rFonts w:ascii="Aptos" w:hAnsi="Aptos" w:eastAsia="Aptos" w:cs="Aptos" w:asciiTheme="minorAscii" w:hAnsiTheme="minorAscii" w:eastAsiaTheme="minorAscii" w:cstheme="minorAscii"/>
          <w:b w:val="1"/>
          <w:bCs w:val="1"/>
          <w:sz w:val="22"/>
          <w:szCs w:val="22"/>
        </w:rPr>
        <w:t>Remaining</w:t>
      </w:r>
      <w:r w:rsidRPr="4EEA4F04" w:rsidR="005F6958">
        <w:rPr>
          <w:rFonts w:ascii="Aptos" w:hAnsi="Aptos" w:eastAsia="Aptos" w:cs="Aptos" w:asciiTheme="minorAscii" w:hAnsiTheme="minorAscii" w:eastAsiaTheme="minorAscii" w:cstheme="minorAscii"/>
          <w:b w:val="1"/>
          <w:bCs w:val="1"/>
          <w:sz w:val="22"/>
          <w:szCs w:val="22"/>
        </w:rPr>
        <w:t xml:space="preserve"> Useful Life Predictor for EV Batteries Using Machine Learning  </w:t>
      </w:r>
      <w:hyperlink r:id="R099f760b576f4867">
        <w:r w:rsidRPr="4EEA4F04" w:rsidR="005F6958">
          <w:rPr>
            <w:rStyle w:val="Hyperlink"/>
            <w:rFonts w:ascii="Aptos" w:hAnsi="Aptos" w:eastAsia="Aptos" w:cs="Aptos" w:asciiTheme="minorAscii" w:hAnsiTheme="minorAscii" w:eastAsiaTheme="minorAscii" w:cstheme="minorAscii"/>
            <w:b w:val="1"/>
            <w:bCs w:val="1"/>
            <w:sz w:val="22"/>
            <w:szCs w:val="22"/>
          </w:rPr>
          <w:t>https://ieeexplore.i</w:t>
        </w:r>
        <w:r w:rsidRPr="4EEA4F04" w:rsidR="005F6958">
          <w:rPr>
            <w:rStyle w:val="Hyperlink"/>
            <w:rFonts w:ascii="Aptos" w:hAnsi="Aptos" w:eastAsia="Aptos" w:cs="Aptos" w:asciiTheme="minorAscii" w:hAnsiTheme="minorAscii" w:eastAsiaTheme="minorAscii" w:cstheme="minorAscii"/>
            <w:b w:val="1"/>
            <w:bCs w:val="1"/>
            <w:sz w:val="22"/>
            <w:szCs w:val="22"/>
          </w:rPr>
          <w:t>e</w:t>
        </w:r>
        <w:r w:rsidRPr="4EEA4F04" w:rsidR="005F6958">
          <w:rPr>
            <w:rStyle w:val="Hyperlink"/>
            <w:rFonts w:ascii="Aptos" w:hAnsi="Aptos" w:eastAsia="Aptos" w:cs="Aptos" w:asciiTheme="minorAscii" w:hAnsiTheme="minorAscii" w:eastAsiaTheme="minorAscii" w:cstheme="minorAscii"/>
            <w:b w:val="1"/>
            <w:bCs w:val="1"/>
            <w:sz w:val="22"/>
            <w:szCs w:val="22"/>
          </w:rPr>
          <w:t>ee.org/stamp/stamp.jsp?arnumber=10681082</w:t>
        </w:r>
      </w:hyperlink>
    </w:p>
    <w:p w:rsidR="005F6958" w:rsidRDefault="005F6958" w14:paraId="17A364D1" w14:textId="77777777"/>
    <w:sectPr w:rsidR="005F6958">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51bc4e6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48f41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004777"/>
    <w:multiLevelType w:val="multilevel"/>
    <w:tmpl w:val="C3E25B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5719F6"/>
    <w:multiLevelType w:val="hybridMultilevel"/>
    <w:tmpl w:val="C0A863D8"/>
    <w:lvl w:ilvl="0" w:tplc="1009000D">
      <w:start w:val="1"/>
      <w:numFmt w:val="bullet"/>
      <w:lvlText w:val=""/>
      <w:lvlJc w:val="left"/>
      <w:pPr>
        <w:ind w:left="720" w:hanging="360"/>
      </w:pPr>
      <w:rPr>
        <w:rFonts w:hint="default" w:ascii="Wingdings" w:hAnsi="Wingdings"/>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A58708A"/>
    <w:multiLevelType w:val="multilevel"/>
    <w:tmpl w:val="56EAE3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4D2017A"/>
    <w:multiLevelType w:val="multilevel"/>
    <w:tmpl w:val="A4EEB6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F2B419F"/>
    <w:multiLevelType w:val="multilevel"/>
    <w:tmpl w:val="7338BB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59F5368"/>
    <w:multiLevelType w:val="multilevel"/>
    <w:tmpl w:val="09D0ABB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C45638C"/>
    <w:multiLevelType w:val="multilevel"/>
    <w:tmpl w:val="59B00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3FEA27F8"/>
    <w:multiLevelType w:val="multilevel"/>
    <w:tmpl w:val="20A026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2EA3C66"/>
    <w:multiLevelType w:val="multilevel"/>
    <w:tmpl w:val="B9A2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100672"/>
    <w:multiLevelType w:val="multilevel"/>
    <w:tmpl w:val="F1E6BA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FA40CBA"/>
    <w:multiLevelType w:val="multilevel"/>
    <w:tmpl w:val="CAD4DC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96F3BDB"/>
    <w:multiLevelType w:val="multilevel"/>
    <w:tmpl w:val="F6304A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59D75BE9"/>
    <w:multiLevelType w:val="multilevel"/>
    <w:tmpl w:val="9228B2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BB502D4"/>
    <w:multiLevelType w:val="multilevel"/>
    <w:tmpl w:val="7026DF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0EC0544"/>
    <w:multiLevelType w:val="multilevel"/>
    <w:tmpl w:val="460C90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50666CA"/>
    <w:multiLevelType w:val="multilevel"/>
    <w:tmpl w:val="1D78FF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F1D0CA6"/>
    <w:multiLevelType w:val="multilevel"/>
    <w:tmpl w:val="E8A249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F3C2F0E"/>
    <w:multiLevelType w:val="multilevel"/>
    <w:tmpl w:val="CDCA45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73AF5511"/>
    <w:multiLevelType w:val="multilevel"/>
    <w:tmpl w:val="6986B0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4A24180"/>
    <w:multiLevelType w:val="multilevel"/>
    <w:tmpl w:val="2BEA13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76CA7E49"/>
    <w:multiLevelType w:val="multilevel"/>
    <w:tmpl w:val="1C1E2F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B496E8B"/>
    <w:multiLevelType w:val="multilevel"/>
    <w:tmpl w:val="2A66E5A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7FAC3FEC"/>
    <w:multiLevelType w:val="multilevel"/>
    <w:tmpl w:val="F52082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25">
    <w:abstractNumId w:val="24"/>
  </w:num>
  <w:num w:numId="24">
    <w:abstractNumId w:val="23"/>
  </w:num>
  <w:num w:numId="1" w16cid:durableId="1203909283">
    <w:abstractNumId w:val="22"/>
  </w:num>
  <w:num w:numId="2" w16cid:durableId="1768191373">
    <w:abstractNumId w:val="8"/>
  </w:num>
  <w:num w:numId="3" w16cid:durableId="811945718">
    <w:abstractNumId w:val="0"/>
  </w:num>
  <w:num w:numId="4" w16cid:durableId="84959045">
    <w:abstractNumId w:val="21"/>
  </w:num>
  <w:num w:numId="5" w16cid:durableId="1897542888">
    <w:abstractNumId w:val="4"/>
  </w:num>
  <w:num w:numId="6" w16cid:durableId="1988629911">
    <w:abstractNumId w:val="16"/>
  </w:num>
  <w:num w:numId="7" w16cid:durableId="660892280">
    <w:abstractNumId w:val="19"/>
  </w:num>
  <w:num w:numId="8" w16cid:durableId="1164708008">
    <w:abstractNumId w:val="10"/>
  </w:num>
  <w:num w:numId="9" w16cid:durableId="410391941">
    <w:abstractNumId w:val="5"/>
  </w:num>
  <w:num w:numId="10" w16cid:durableId="2119905914">
    <w:abstractNumId w:val="9"/>
  </w:num>
  <w:num w:numId="11" w16cid:durableId="372118931">
    <w:abstractNumId w:val="7"/>
  </w:num>
  <w:num w:numId="12" w16cid:durableId="700056040">
    <w:abstractNumId w:val="11"/>
  </w:num>
  <w:num w:numId="13" w16cid:durableId="368723481">
    <w:abstractNumId w:val="12"/>
  </w:num>
  <w:num w:numId="14" w16cid:durableId="1370764630">
    <w:abstractNumId w:val="20"/>
  </w:num>
  <w:num w:numId="15" w16cid:durableId="406610183">
    <w:abstractNumId w:val="13"/>
  </w:num>
  <w:num w:numId="16" w16cid:durableId="919758479">
    <w:abstractNumId w:val="2"/>
  </w:num>
  <w:num w:numId="17" w16cid:durableId="450518388">
    <w:abstractNumId w:val="6"/>
  </w:num>
  <w:num w:numId="18" w16cid:durableId="1233157768">
    <w:abstractNumId w:val="15"/>
  </w:num>
  <w:num w:numId="19" w16cid:durableId="622662325">
    <w:abstractNumId w:val="18"/>
  </w:num>
  <w:num w:numId="20" w16cid:durableId="1567647323">
    <w:abstractNumId w:val="17"/>
  </w:num>
  <w:num w:numId="21" w16cid:durableId="2101949083">
    <w:abstractNumId w:val="14"/>
  </w:num>
  <w:num w:numId="22" w16cid:durableId="1889800272">
    <w:abstractNumId w:val="1"/>
  </w:num>
  <w:num w:numId="23" w16cid:durableId="1817797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52C"/>
    <w:rsid w:val="00000000"/>
    <w:rsid w:val="001435B8"/>
    <w:rsid w:val="0018636D"/>
    <w:rsid w:val="00551A74"/>
    <w:rsid w:val="005F6958"/>
    <w:rsid w:val="006123CF"/>
    <w:rsid w:val="007C1B88"/>
    <w:rsid w:val="00B0152C"/>
    <w:rsid w:val="00C30A1F"/>
    <w:rsid w:val="00C84383"/>
    <w:rsid w:val="00F24C17"/>
    <w:rsid w:val="0C2F9DF9"/>
    <w:rsid w:val="1264F2FA"/>
    <w:rsid w:val="1F7356F0"/>
    <w:rsid w:val="4D26C5AF"/>
    <w:rsid w:val="4EEA4F04"/>
    <w:rsid w:val="51947FDF"/>
    <w:rsid w:val="5D40330F"/>
    <w:rsid w:val="63497EAA"/>
    <w:rsid w:val="692CD311"/>
    <w:rsid w:val="695D315F"/>
    <w:rsid w:val="714C7E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28D2B"/>
  <w15:chartTrackingRefBased/>
  <w15:docId w15:val="{88FFF96A-AE12-4D6C-B3A1-21FC4B8BA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0152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52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5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5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5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5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5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5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52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0152C"/>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B0152C"/>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0152C"/>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0152C"/>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0152C"/>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0152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0152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0152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0152C"/>
    <w:rPr>
      <w:rFonts w:eastAsiaTheme="majorEastAsia" w:cstheme="majorBidi"/>
      <w:color w:val="272727" w:themeColor="text1" w:themeTint="D8"/>
    </w:rPr>
  </w:style>
  <w:style w:type="paragraph" w:styleId="Title">
    <w:name w:val="Title"/>
    <w:basedOn w:val="Normal"/>
    <w:next w:val="Normal"/>
    <w:link w:val="TitleChar"/>
    <w:uiPriority w:val="10"/>
    <w:qFormat/>
    <w:rsid w:val="00B0152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0152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0152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01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52C"/>
    <w:pPr>
      <w:spacing w:before="160"/>
      <w:jc w:val="center"/>
    </w:pPr>
    <w:rPr>
      <w:i/>
      <w:iCs/>
      <w:color w:val="404040" w:themeColor="text1" w:themeTint="BF"/>
    </w:rPr>
  </w:style>
  <w:style w:type="character" w:styleId="QuoteChar" w:customStyle="1">
    <w:name w:val="Quote Char"/>
    <w:basedOn w:val="DefaultParagraphFont"/>
    <w:link w:val="Quote"/>
    <w:uiPriority w:val="29"/>
    <w:rsid w:val="00B0152C"/>
    <w:rPr>
      <w:i/>
      <w:iCs/>
      <w:color w:val="404040" w:themeColor="text1" w:themeTint="BF"/>
    </w:rPr>
  </w:style>
  <w:style w:type="paragraph" w:styleId="ListParagraph">
    <w:name w:val="List Paragraph"/>
    <w:basedOn w:val="Normal"/>
    <w:uiPriority w:val="34"/>
    <w:qFormat/>
    <w:rsid w:val="00B0152C"/>
    <w:pPr>
      <w:ind w:left="720"/>
      <w:contextualSpacing/>
    </w:pPr>
  </w:style>
  <w:style w:type="character" w:styleId="IntenseEmphasis">
    <w:name w:val="Intense Emphasis"/>
    <w:basedOn w:val="DefaultParagraphFont"/>
    <w:uiPriority w:val="21"/>
    <w:qFormat/>
    <w:rsid w:val="00B0152C"/>
    <w:rPr>
      <w:i/>
      <w:iCs/>
      <w:color w:val="0F4761" w:themeColor="accent1" w:themeShade="BF"/>
    </w:rPr>
  </w:style>
  <w:style w:type="paragraph" w:styleId="IntenseQuote">
    <w:name w:val="Intense Quote"/>
    <w:basedOn w:val="Normal"/>
    <w:next w:val="Normal"/>
    <w:link w:val="IntenseQuoteChar"/>
    <w:uiPriority w:val="30"/>
    <w:qFormat/>
    <w:rsid w:val="00B0152C"/>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0152C"/>
    <w:rPr>
      <w:i/>
      <w:iCs/>
      <w:color w:val="0F4761" w:themeColor="accent1" w:themeShade="BF"/>
    </w:rPr>
  </w:style>
  <w:style w:type="character" w:styleId="IntenseReference">
    <w:name w:val="Intense Reference"/>
    <w:basedOn w:val="DefaultParagraphFont"/>
    <w:uiPriority w:val="32"/>
    <w:qFormat/>
    <w:rsid w:val="00B0152C"/>
    <w:rPr>
      <w:b/>
      <w:bCs/>
      <w:smallCaps/>
      <w:color w:val="0F4761" w:themeColor="accent1" w:themeShade="BF"/>
      <w:spacing w:val="5"/>
    </w:rPr>
  </w:style>
  <w:style w:type="character" w:styleId="Hyperlink">
    <w:name w:val="Hyperlink"/>
    <w:basedOn w:val="DefaultParagraphFont"/>
    <w:uiPriority w:val="99"/>
    <w:unhideWhenUsed/>
    <w:rsid w:val="005F6958"/>
    <w:rPr>
      <w:color w:val="467886" w:themeColor="hyperlink"/>
      <w:u w:val="single"/>
    </w:rPr>
  </w:style>
  <w:style w:type="character" w:styleId="FollowedHyperlink">
    <w:name w:val="FollowedHyperlink"/>
    <w:basedOn w:val="DefaultParagraphFont"/>
    <w:uiPriority w:val="99"/>
    <w:semiHidden/>
    <w:unhideWhenUsed/>
    <w:rsid w:val="005F695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 Type="http://schemas.openxmlformats.org/officeDocument/2006/relationships/hyperlink" Target="https://ieeexplore.ieee.org/stamp/stamp.jsp?arnumber=10681082" TargetMode="External" Id="R099f760b576f486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Murad, Nagham</dc:creator>
  <keywords/>
  <dc:description/>
  <lastModifiedBy>Alsharif, Heba</lastModifiedBy>
  <revision>6</revision>
  <dcterms:created xsi:type="dcterms:W3CDTF">2026-02-22T19:15:00.0000000Z</dcterms:created>
  <dcterms:modified xsi:type="dcterms:W3CDTF">2026-02-22T20:36:59.3902075Z</dcterms:modified>
</coreProperties>
</file>