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1309" w14:textId="77777777" w:rsidR="00CF19C5" w:rsidRPr="00CF19C5" w:rsidRDefault="00CF19C5" w:rsidP="00CF19C5">
      <w:pPr>
        <w:rPr>
          <w:b/>
          <w:bCs/>
          <w:sz w:val="22"/>
          <w:szCs w:val="22"/>
          <w:lang w:val="en-US"/>
        </w:rPr>
      </w:pPr>
      <w:r w:rsidRPr="00CF19C5">
        <w:rPr>
          <w:b/>
          <w:bCs/>
          <w:sz w:val="22"/>
          <w:szCs w:val="22"/>
          <w:lang w:val="en-US"/>
        </w:rPr>
        <w:t>1. Introduction</w:t>
      </w:r>
    </w:p>
    <w:p w14:paraId="7CA20B7F" w14:textId="77777777" w:rsidR="00CF19C5" w:rsidRPr="00CF19C5" w:rsidRDefault="00CF19C5" w:rsidP="00CF19C5">
      <w:pPr>
        <w:rPr>
          <w:sz w:val="22"/>
          <w:szCs w:val="22"/>
          <w:lang w:val="en-US"/>
        </w:rPr>
      </w:pPr>
      <w:r w:rsidRPr="00CF19C5">
        <w:rPr>
          <w:sz w:val="22"/>
          <w:szCs w:val="22"/>
          <w:lang w:val="en-US"/>
        </w:rPr>
        <w:t>The global transition toward electric vehicles (EVs) represents a major shift in modern transportation systems aimed at reducing greenhouse gas emissions and dependence on fossil fuels. Central to the performance and reliability of EVs is the lithium-ion battery pack, which directly determines driving range, safety, efficiency, and total cost of ownership. As EV deployment accelerates, accurate monitoring and prediction of battery degradation have become critical challenges for both researchers and industry.</w:t>
      </w:r>
    </w:p>
    <w:p w14:paraId="6F9FEF0F" w14:textId="05EF45A4" w:rsidR="00CF19C5" w:rsidRPr="00CF19C5" w:rsidRDefault="00CF19C5" w:rsidP="00CF19C5">
      <w:pPr>
        <w:rPr>
          <w:sz w:val="22"/>
          <w:szCs w:val="22"/>
          <w:lang w:val="en-US"/>
        </w:rPr>
      </w:pPr>
      <w:r w:rsidRPr="00CF19C5">
        <w:rPr>
          <w:sz w:val="22"/>
          <w:szCs w:val="22"/>
          <w:lang w:val="en-US"/>
        </w:rPr>
        <w:t xml:space="preserve">Lithium-ion batteries degrade progressively due to complex electrochemical aging mechanisms influenced by repeated charge–discharge cycling, temperature fluctuations, current rates, and operational stress conditions. Over time, degradation manifests as capacity </w:t>
      </w:r>
      <w:r w:rsidRPr="001A04BF">
        <w:rPr>
          <w:sz w:val="22"/>
          <w:szCs w:val="22"/>
          <w:lang w:val="en-US"/>
        </w:rPr>
        <w:t>fades</w:t>
      </w:r>
      <w:r w:rsidRPr="00CF19C5">
        <w:rPr>
          <w:sz w:val="22"/>
          <w:szCs w:val="22"/>
          <w:lang w:val="en-US"/>
        </w:rPr>
        <w:t xml:space="preserve"> and increased internal resistance, leading to reduced driving range and potential reliability risks. Effective degradation modeling is therefore essential for advanced Battery Management Systems (BMS), predictive maintenance strategies, and second-life battery applications.</w:t>
      </w:r>
    </w:p>
    <w:p w14:paraId="65A31040" w14:textId="3815D74E" w:rsidR="00CF19C5" w:rsidRPr="00CF19C5" w:rsidRDefault="00CF19C5" w:rsidP="00CF19C5">
      <w:pPr>
        <w:rPr>
          <w:sz w:val="22"/>
          <w:szCs w:val="22"/>
          <w:lang w:val="en-US"/>
        </w:rPr>
      </w:pPr>
      <w:r w:rsidRPr="00CF19C5">
        <w:rPr>
          <w:sz w:val="22"/>
          <w:szCs w:val="22"/>
          <w:lang w:val="en-US"/>
        </w:rPr>
        <w:t xml:space="preserve">Battery health is typically </w:t>
      </w:r>
      <w:r w:rsidRPr="001A04BF">
        <w:rPr>
          <w:sz w:val="22"/>
          <w:szCs w:val="22"/>
          <w:lang w:val="en-US"/>
        </w:rPr>
        <w:t>characterized by</w:t>
      </w:r>
      <w:r w:rsidRPr="00CF19C5">
        <w:rPr>
          <w:sz w:val="22"/>
          <w:szCs w:val="22"/>
          <w:lang w:val="en-US"/>
        </w:rPr>
        <w:t xml:space="preserve"> using two primary indicators: State of Health (</w:t>
      </w:r>
      <w:proofErr w:type="spellStart"/>
      <w:r w:rsidRPr="00CF19C5">
        <w:rPr>
          <w:sz w:val="22"/>
          <w:szCs w:val="22"/>
          <w:lang w:val="en-US"/>
        </w:rPr>
        <w:t>SoH</w:t>
      </w:r>
      <w:proofErr w:type="spellEnd"/>
      <w:r w:rsidRPr="00CF19C5">
        <w:rPr>
          <w:sz w:val="22"/>
          <w:szCs w:val="22"/>
          <w:lang w:val="en-US"/>
        </w:rPr>
        <w:t xml:space="preserve">) and Remaining Useful Life (RUL). </w:t>
      </w:r>
      <w:proofErr w:type="spellStart"/>
      <w:r w:rsidRPr="00CF19C5">
        <w:rPr>
          <w:sz w:val="22"/>
          <w:szCs w:val="22"/>
          <w:lang w:val="en-US"/>
        </w:rPr>
        <w:t>SoH</w:t>
      </w:r>
      <w:proofErr w:type="spellEnd"/>
      <w:r w:rsidRPr="00CF19C5">
        <w:rPr>
          <w:sz w:val="22"/>
          <w:szCs w:val="22"/>
          <w:lang w:val="en-US"/>
        </w:rPr>
        <w:t xml:space="preserve"> represents the ratio between the current maximum capacity and the nominal capacity of the battery, providing a normalized measure of degradation. RUL estimates the remaining number of cycles or time before the battery reaches its end-of-life threshold, commonly defined as a specific percentage of capacity loss. Accurate prediction of these metrics enables optimized charging strategies, cost-effective maintenance planning, and enhanced operational safety.</w:t>
      </w:r>
    </w:p>
    <w:p w14:paraId="3BB3668E" w14:textId="77777777" w:rsidR="00CF19C5" w:rsidRPr="00CF19C5" w:rsidRDefault="00CF19C5" w:rsidP="00CF19C5">
      <w:pPr>
        <w:rPr>
          <w:sz w:val="22"/>
          <w:szCs w:val="22"/>
          <w:lang w:val="en-US"/>
        </w:rPr>
      </w:pPr>
      <w:r w:rsidRPr="00CF19C5">
        <w:rPr>
          <w:sz w:val="22"/>
          <w:szCs w:val="22"/>
          <w:lang w:val="en-US"/>
        </w:rPr>
        <w:t>Traditional battery degradation modeling approaches rely on empirical curve-fitting techniques, such as exponential or polynomial models. While these methods are computationally efficient and mathematically interpretable, they assume predefined functional forms that may not adequately reflect the nonlinear and stochastic characteristics of real-world degradation. In practice, battery behavior can be influenced by variable operating conditions, transient thermal effects, and usage patterns that introduce irregularities not captured by simple parametric models. Moreover, empirical models often exhibit limited generalization capability when applied to different battery units.</w:t>
      </w:r>
    </w:p>
    <w:p w14:paraId="6C72205D" w14:textId="77777777" w:rsidR="00CF19C5" w:rsidRPr="00CF19C5" w:rsidRDefault="00CF19C5" w:rsidP="00CF19C5">
      <w:pPr>
        <w:rPr>
          <w:sz w:val="22"/>
          <w:szCs w:val="22"/>
          <w:lang w:val="en-US"/>
        </w:rPr>
      </w:pPr>
      <w:r w:rsidRPr="00CF19C5">
        <w:rPr>
          <w:sz w:val="22"/>
          <w:szCs w:val="22"/>
          <w:lang w:val="en-US"/>
        </w:rPr>
        <w:t>Recent advances in machine learning have introduced data-driven alternatives capable of modeling complex nonlinear relationships directly from measured operational data. By leveraging features such as voltage profiles, temperature measurements, current rates, and cycle-dependent capacity evolution, machine learning algorithms can learn degradation patterns without imposing strict structural assumptions. Regression-based models, including Support Vector Regression, Random Forest, and Gradient Boosting techniques, have demonstrated improved predictive performance in several battery prognostics studies.</w:t>
      </w:r>
    </w:p>
    <w:p w14:paraId="71507443" w14:textId="77777777" w:rsidR="00CF19C5" w:rsidRPr="00CF19C5" w:rsidRDefault="00CF19C5" w:rsidP="00CF19C5">
      <w:pPr>
        <w:rPr>
          <w:sz w:val="22"/>
          <w:szCs w:val="22"/>
          <w:lang w:val="en-US"/>
        </w:rPr>
      </w:pPr>
      <w:r w:rsidRPr="00CF19C5">
        <w:rPr>
          <w:sz w:val="22"/>
          <w:szCs w:val="22"/>
          <w:lang w:val="en-US"/>
        </w:rPr>
        <w:t xml:space="preserve">This study proposes a machine learning-based framework for predicting </w:t>
      </w:r>
      <w:proofErr w:type="spellStart"/>
      <w:r w:rsidRPr="00CF19C5">
        <w:rPr>
          <w:sz w:val="22"/>
          <w:szCs w:val="22"/>
          <w:lang w:val="en-US"/>
        </w:rPr>
        <w:t>SoH</w:t>
      </w:r>
      <w:proofErr w:type="spellEnd"/>
      <w:r w:rsidRPr="00CF19C5">
        <w:rPr>
          <w:sz w:val="22"/>
          <w:szCs w:val="22"/>
          <w:lang w:val="en-US"/>
        </w:rPr>
        <w:t xml:space="preserve"> and RUL using cycle-level battery data. Multiple regression models are developed and systematically evaluated to compare predictive accuracy and robustness. To ensure reliable generalization, Grouped Cross-</w:t>
      </w:r>
      <w:r w:rsidRPr="00CF19C5">
        <w:rPr>
          <w:sz w:val="22"/>
          <w:szCs w:val="22"/>
          <w:lang w:val="en-US"/>
        </w:rPr>
        <w:lastRenderedPageBreak/>
        <w:t>Validation is implemented, where models are validated on entirely unseen battery units rather than future cycles of the same battery. This evaluation strategy better reflects real-world deployment scenarios, in which a BMS must operate on previously unobserved battery packs. The results demonstrate the potential of data-driven models to enhance battery health estimation accuracy and support more reliable EV operation.</w:t>
      </w:r>
    </w:p>
    <w:p w14:paraId="63E5E2A0" w14:textId="5E364B8B" w:rsidR="001435B8" w:rsidRPr="001A04BF" w:rsidRDefault="001435B8" w:rsidP="4EEA4F04">
      <w:pPr>
        <w:rPr>
          <w:sz w:val="22"/>
          <w:szCs w:val="22"/>
        </w:rPr>
      </w:pPr>
    </w:p>
    <w:p w14:paraId="2AB7531F" w14:textId="77777777" w:rsidR="00EF16FD" w:rsidRPr="00EF16FD" w:rsidRDefault="00EF16FD" w:rsidP="00EF16FD">
      <w:pPr>
        <w:rPr>
          <w:rFonts w:eastAsiaTheme="minorEastAsia"/>
          <w:b/>
          <w:bCs/>
          <w:sz w:val="22"/>
          <w:szCs w:val="22"/>
          <w:lang w:val="en-US"/>
        </w:rPr>
      </w:pPr>
      <w:r w:rsidRPr="00EF16FD">
        <w:rPr>
          <w:rFonts w:eastAsiaTheme="minorEastAsia"/>
          <w:b/>
          <w:bCs/>
          <w:sz w:val="22"/>
          <w:szCs w:val="22"/>
          <w:lang w:val="en-US"/>
        </w:rPr>
        <w:t>2. Related Work</w:t>
      </w:r>
    </w:p>
    <w:p w14:paraId="55FC83BF" w14:textId="77777777" w:rsidR="00EF16FD" w:rsidRPr="00EF16FD" w:rsidRDefault="00EF16FD" w:rsidP="00EF16FD">
      <w:pPr>
        <w:rPr>
          <w:rFonts w:eastAsiaTheme="minorEastAsia"/>
          <w:sz w:val="22"/>
          <w:szCs w:val="22"/>
          <w:lang w:val="en-US"/>
        </w:rPr>
      </w:pPr>
      <w:r w:rsidRPr="00EF16FD">
        <w:rPr>
          <w:rFonts w:eastAsiaTheme="minorEastAsia"/>
          <w:sz w:val="22"/>
          <w:szCs w:val="22"/>
          <w:lang w:val="en-US"/>
        </w:rPr>
        <w:t>Battery health estimation has been an active area of research for more than a decade, driven by the growing demand for reliable electric vehicle (EV) battery management systems. Existing approaches for estimating State of Health (</w:t>
      </w:r>
      <w:proofErr w:type="spellStart"/>
      <w:r w:rsidRPr="00EF16FD">
        <w:rPr>
          <w:rFonts w:eastAsiaTheme="minorEastAsia"/>
          <w:sz w:val="22"/>
          <w:szCs w:val="22"/>
          <w:lang w:val="en-US"/>
        </w:rPr>
        <w:t>SoH</w:t>
      </w:r>
      <w:proofErr w:type="spellEnd"/>
      <w:r w:rsidRPr="00EF16FD">
        <w:rPr>
          <w:rFonts w:eastAsiaTheme="minorEastAsia"/>
          <w:sz w:val="22"/>
          <w:szCs w:val="22"/>
          <w:lang w:val="en-US"/>
        </w:rPr>
        <w:t>) and Remaining Useful Life (RUL) can broadly be categorized into physics-based models, empirical degradation models, and data-driven machine learning approaches. Each category offers distinct trade-offs in terms of interpretability, computational complexity, and generalization capability.</w:t>
      </w:r>
    </w:p>
    <w:p w14:paraId="5357106A" w14:textId="77777777" w:rsidR="00EF16FD" w:rsidRPr="00EF16FD" w:rsidRDefault="00EF16FD" w:rsidP="00EF16FD">
      <w:pPr>
        <w:rPr>
          <w:rFonts w:eastAsiaTheme="minorEastAsia"/>
          <w:sz w:val="22"/>
          <w:szCs w:val="22"/>
          <w:lang w:val="en-US"/>
        </w:rPr>
      </w:pPr>
      <w:r w:rsidRPr="00EF16FD">
        <w:rPr>
          <w:rFonts w:eastAsiaTheme="minorEastAsia"/>
          <w:sz w:val="22"/>
          <w:szCs w:val="22"/>
          <w:lang w:val="en-US"/>
        </w:rPr>
        <w:t>Physics-based models rely on electrochemical principles to describe degradation mechanisms such as solid electrolyte interphase (SEI) growth, lithium plating, and loss of active material. These approaches aim to model the internal chemical and physical processes governing battery aging. While they provide strong theoretical interpretability and insight into degradation phenomena, they typically require detailed knowledge of battery chemistry and internal parameters that are difficult to measure in real-world EV environments. Furthermore, high-fidelity electrochemical models are computationally intensive, limiting their applicability in real-time Battery Management Systems (BMS).</w:t>
      </w:r>
    </w:p>
    <w:p w14:paraId="4E1D8261" w14:textId="77777777" w:rsidR="00EF16FD" w:rsidRPr="00EF16FD" w:rsidRDefault="00EF16FD" w:rsidP="00EF16FD">
      <w:pPr>
        <w:rPr>
          <w:rFonts w:eastAsiaTheme="minorEastAsia"/>
          <w:sz w:val="22"/>
          <w:szCs w:val="22"/>
          <w:lang w:val="en-US"/>
        </w:rPr>
      </w:pPr>
      <w:r w:rsidRPr="00EF16FD">
        <w:rPr>
          <w:rFonts w:eastAsiaTheme="minorEastAsia"/>
          <w:sz w:val="22"/>
          <w:szCs w:val="22"/>
          <w:lang w:val="en-US"/>
        </w:rPr>
        <w:t>To address these challenges, empirical degradation models have been widely adopted as a more practical alternative. These models approximate capacity fade behavior using curve-fitting techniques. In the study “Remaining Useful Life Predictor for EV Batteries Using Machine Learning” (IEEE 10681082), the authors proposed a dual-exponential degradation formulation:</w:t>
      </w:r>
    </w:p>
    <w:p w14:paraId="5D1FB534" w14:textId="0844E793" w:rsidR="00EF16FD" w:rsidRPr="00EF16FD" w:rsidRDefault="00EF16FD" w:rsidP="00EF16FD">
      <w:pPr>
        <w:rPr>
          <w:rFonts w:eastAsiaTheme="minorEastAsia"/>
          <w:b/>
          <w:bCs/>
          <w:sz w:val="22"/>
          <w:szCs w:val="22"/>
          <w:lang w:val="en-US"/>
        </w:rPr>
      </w:pPr>
      <m:oMathPara>
        <m:oMath>
          <m:r>
            <m:rPr>
              <m:sty m:val="bi"/>
            </m:rPr>
            <w:rPr>
              <w:rFonts w:ascii="Cambria Math" w:eastAsiaTheme="minorEastAsia" w:hAnsi="Cambria Math"/>
              <w:sz w:val="22"/>
              <w:szCs w:val="22"/>
              <w:lang w:val="en-US"/>
            </w:rPr>
            <m:t>C(n)=a⋅</m:t>
          </m:r>
          <m:r>
            <m:rPr>
              <m:sty m:val="b"/>
            </m:rPr>
            <w:rPr>
              <w:rFonts w:ascii="Cambria Math" w:eastAsiaTheme="minorEastAsia" w:hAnsi="Cambria Math"/>
              <w:sz w:val="22"/>
              <w:szCs w:val="22"/>
              <w:lang w:val="en-US"/>
            </w:rPr>
            <m:t>exp</m:t>
          </m:r>
          <m:r>
            <m:rPr>
              <m:sty m:val="bi"/>
            </m:rPr>
            <w:rPr>
              <w:rFonts w:ascii="Cambria Math" w:eastAsiaTheme="minorEastAsia" w:hAnsi="Cambria Math"/>
              <w:sz w:val="22"/>
              <w:szCs w:val="22"/>
              <w:lang w:val="en-US"/>
            </w:rPr>
            <m:t>⁡(b⋅n)+c⋅</m:t>
          </m:r>
          <m:r>
            <m:rPr>
              <m:sty m:val="b"/>
            </m:rPr>
            <w:rPr>
              <w:rFonts w:ascii="Cambria Math" w:eastAsiaTheme="minorEastAsia" w:hAnsi="Cambria Math"/>
              <w:sz w:val="22"/>
              <w:szCs w:val="22"/>
              <w:lang w:val="en-US"/>
            </w:rPr>
            <m:t>exp</m:t>
          </m:r>
          <m:r>
            <m:rPr>
              <m:sty m:val="bi"/>
            </m:rPr>
            <w:rPr>
              <w:rFonts w:ascii="Cambria Math" w:eastAsiaTheme="minorEastAsia" w:hAnsi="Cambria Math"/>
              <w:sz w:val="22"/>
              <w:szCs w:val="22"/>
              <w:lang w:val="en-US"/>
            </w:rPr>
            <m:t>⁡(d⋅n)</m:t>
          </m:r>
          <m:r>
            <w:rPr>
              <w:rFonts w:eastAsiaTheme="minorEastAsia"/>
              <w:b/>
              <w:bCs/>
              <w:i/>
              <w:sz w:val="22"/>
              <w:szCs w:val="22"/>
              <w:lang w:val="en-US"/>
            </w:rPr>
            <w:br/>
          </m:r>
        </m:oMath>
      </m:oMathPara>
    </w:p>
    <w:p w14:paraId="2477704C" w14:textId="112E780A" w:rsidR="00EF16FD" w:rsidRPr="00EF16FD" w:rsidRDefault="00EF16FD" w:rsidP="00EF16FD">
      <w:pPr>
        <w:rPr>
          <w:rFonts w:eastAsiaTheme="minorEastAsia"/>
          <w:sz w:val="22"/>
          <w:szCs w:val="22"/>
          <w:lang w:val="en-US"/>
        </w:rPr>
      </w:pPr>
      <w:r w:rsidRPr="00EF16FD">
        <w:rPr>
          <w:rFonts w:eastAsiaTheme="minorEastAsia"/>
          <w:sz w:val="22"/>
          <w:szCs w:val="22"/>
          <w:lang w:val="en-US"/>
        </w:rPr>
        <w:t xml:space="preserve">where </w:t>
      </w:r>
      <m:oMath>
        <m:r>
          <w:rPr>
            <w:rFonts w:ascii="Cambria Math" w:eastAsiaTheme="minorEastAsia" w:hAnsi="Cambria Math"/>
            <w:sz w:val="22"/>
            <w:szCs w:val="22"/>
            <w:lang w:val="en-US"/>
          </w:rPr>
          <m:t>C(n)</m:t>
        </m:r>
      </m:oMath>
      <w:r w:rsidRPr="00EF16FD">
        <w:rPr>
          <w:rFonts w:eastAsiaTheme="minorEastAsia"/>
          <w:sz w:val="22"/>
          <w:szCs w:val="22"/>
          <w:lang w:val="en-US"/>
        </w:rPr>
        <w:t xml:space="preserve">denotes battery capacity at cycle </w:t>
      </w:r>
      <m:oMath>
        <m:r>
          <w:rPr>
            <w:rFonts w:ascii="Cambria Math" w:eastAsiaTheme="minorEastAsia" w:hAnsi="Cambria Math"/>
            <w:sz w:val="22"/>
            <w:szCs w:val="22"/>
            <w:lang w:val="en-US"/>
          </w:rPr>
          <m:t>n</m:t>
        </m:r>
      </m:oMath>
      <w:r w:rsidRPr="00EF16FD">
        <w:rPr>
          <w:rFonts w:eastAsiaTheme="minorEastAsia"/>
          <w:sz w:val="22"/>
          <w:szCs w:val="22"/>
          <w:lang w:val="en-US"/>
        </w:rPr>
        <w:t xml:space="preserve">, and </w:t>
      </w:r>
      <m:oMath>
        <m:r>
          <w:rPr>
            <w:rFonts w:ascii="Cambria Math" w:eastAsiaTheme="minorEastAsia" w:hAnsi="Cambria Math"/>
            <w:sz w:val="22"/>
            <w:szCs w:val="22"/>
            <w:lang w:val="en-US"/>
          </w:rPr>
          <m:t>a,b,c,d</m:t>
        </m:r>
      </m:oMath>
      <w:r w:rsidRPr="00EF16FD">
        <w:rPr>
          <w:rFonts w:eastAsiaTheme="minorEastAsia"/>
          <w:sz w:val="22"/>
          <w:szCs w:val="22"/>
          <w:lang w:val="en-US"/>
        </w:rPr>
        <w:t xml:space="preserve">are empirically </w:t>
      </w:r>
      <w:r w:rsidRPr="00EF16FD">
        <w:rPr>
          <w:rFonts w:eastAsiaTheme="minorEastAsia"/>
          <w:sz w:val="22"/>
          <w:szCs w:val="22"/>
          <w:lang w:val="en-US"/>
        </w:rPr>
        <w:t>fit</w:t>
      </w:r>
      <w:r w:rsidRPr="00EF16FD">
        <w:rPr>
          <w:rFonts w:eastAsiaTheme="minorEastAsia"/>
          <w:sz w:val="22"/>
          <w:szCs w:val="22"/>
          <w:lang w:val="en-US"/>
        </w:rPr>
        <w:t xml:space="preserve"> parameters. This formulation captures short- and long-term degradation trends while remaining computationally efficient and analytically interpretable. Such models are attractive for embedded implementation due to their simplicity.</w:t>
      </w:r>
    </w:p>
    <w:p w14:paraId="151BD660" w14:textId="77777777" w:rsidR="00EF16FD" w:rsidRPr="00EF16FD" w:rsidRDefault="00EF16FD" w:rsidP="00EF16FD">
      <w:pPr>
        <w:rPr>
          <w:rFonts w:eastAsiaTheme="minorEastAsia"/>
          <w:sz w:val="22"/>
          <w:szCs w:val="22"/>
          <w:lang w:val="en-US"/>
        </w:rPr>
      </w:pPr>
      <w:r w:rsidRPr="00EF16FD">
        <w:rPr>
          <w:rFonts w:eastAsiaTheme="minorEastAsia"/>
          <w:sz w:val="22"/>
          <w:szCs w:val="22"/>
          <w:lang w:val="en-US"/>
        </w:rPr>
        <w:t xml:space="preserve">Despite these advantages, empirical exponential models assume smooth and monotonic degradation trajectories. In practice, lithium-ion batteries frequently exhibit non-monotonic behavior. Temporary capacity recovery may occur following rest periods due to electrochemical relaxation processes, and abrupt degradation shifts can arise from thermal stress, high-discharge pulses, or irregular load conditions. These nonlinear and stochastic behaviors cannot be adequately represented by fixed parametric functions. Although the referenced study reported a </w:t>
      </w:r>
      <w:r w:rsidRPr="00EF16FD">
        <w:rPr>
          <w:rFonts w:eastAsiaTheme="minorEastAsia"/>
          <w:sz w:val="22"/>
          <w:szCs w:val="22"/>
          <w:lang w:val="en-US"/>
        </w:rPr>
        <w:lastRenderedPageBreak/>
        <w:t xml:space="preserve">Mean Squared Error (MSE) of 0.091 and a Mean Absolute Error (MAE) of 0.236, such error magnitudes may still be significant in safety-critical BMS applications, where small deviations in </w:t>
      </w:r>
      <w:proofErr w:type="spellStart"/>
      <w:r w:rsidRPr="00EF16FD">
        <w:rPr>
          <w:rFonts w:eastAsiaTheme="minorEastAsia"/>
          <w:sz w:val="22"/>
          <w:szCs w:val="22"/>
          <w:lang w:val="en-US"/>
        </w:rPr>
        <w:t>SoH</w:t>
      </w:r>
      <w:proofErr w:type="spellEnd"/>
      <w:r w:rsidRPr="00EF16FD">
        <w:rPr>
          <w:rFonts w:eastAsiaTheme="minorEastAsia"/>
          <w:sz w:val="22"/>
          <w:szCs w:val="22"/>
          <w:lang w:val="en-US"/>
        </w:rPr>
        <w:t xml:space="preserve"> prediction can propagate into inaccurate RUL estimation and suboptimal operational decisions.</w:t>
      </w:r>
    </w:p>
    <w:p w14:paraId="67FBCE48" w14:textId="77777777" w:rsidR="00EF16FD" w:rsidRPr="00EF16FD" w:rsidRDefault="00EF16FD" w:rsidP="00EF16FD">
      <w:pPr>
        <w:rPr>
          <w:rFonts w:eastAsiaTheme="minorEastAsia"/>
          <w:sz w:val="22"/>
          <w:szCs w:val="22"/>
          <w:lang w:val="en-US"/>
        </w:rPr>
      </w:pPr>
      <w:r w:rsidRPr="00EF16FD">
        <w:rPr>
          <w:rFonts w:eastAsiaTheme="minorEastAsia"/>
          <w:sz w:val="22"/>
          <w:szCs w:val="22"/>
          <w:lang w:val="en-US"/>
        </w:rPr>
        <w:t>Recognizing these limitations, recent research has increasingly shifted toward data-driven modeling techniques. Machine learning approaches do not impose predefined degradation structures; instead, they learn nonlinear mappings directly from operational data. Algorithms such as Support Vector Regression (SVR), Random Forest (RF), and Extreme Gradient Boosting (</w:t>
      </w:r>
      <w:proofErr w:type="spellStart"/>
      <w:r w:rsidRPr="00EF16FD">
        <w:rPr>
          <w:rFonts w:eastAsiaTheme="minorEastAsia"/>
          <w:sz w:val="22"/>
          <w:szCs w:val="22"/>
          <w:lang w:val="en-US"/>
        </w:rPr>
        <w:t>XGBoost</w:t>
      </w:r>
      <w:proofErr w:type="spellEnd"/>
      <w:r w:rsidRPr="00EF16FD">
        <w:rPr>
          <w:rFonts w:eastAsiaTheme="minorEastAsia"/>
          <w:sz w:val="22"/>
          <w:szCs w:val="22"/>
          <w:lang w:val="en-US"/>
        </w:rPr>
        <w:t>) have demonstrated strong performance in battery prognostics tasks. These models leverage structured features derived from voltage, temperature, current, cycle progression, and historical capacity measurements to capture complex degradation dynamics.</w:t>
      </w:r>
    </w:p>
    <w:p w14:paraId="42257CD8" w14:textId="5229A721" w:rsidR="00EF16FD" w:rsidRPr="00EF16FD" w:rsidRDefault="00EF16FD" w:rsidP="00EF16FD">
      <w:pPr>
        <w:rPr>
          <w:rFonts w:eastAsiaTheme="minorEastAsia"/>
          <w:sz w:val="22"/>
          <w:szCs w:val="22"/>
          <w:lang w:val="en-US"/>
        </w:rPr>
      </w:pPr>
      <w:r w:rsidRPr="00EF16FD">
        <w:rPr>
          <w:rFonts w:eastAsiaTheme="minorEastAsia"/>
          <w:sz w:val="22"/>
          <w:szCs w:val="22"/>
          <w:lang w:val="en-US"/>
        </w:rPr>
        <w:t xml:space="preserve">In addition to feature-based regression methods, temporal deep learning </w:t>
      </w:r>
      <w:r w:rsidRPr="00EF16FD">
        <w:rPr>
          <w:rFonts w:eastAsiaTheme="minorEastAsia"/>
          <w:sz w:val="22"/>
          <w:szCs w:val="22"/>
          <w:lang w:val="en-US"/>
        </w:rPr>
        <w:t>architecture has</w:t>
      </w:r>
      <w:r w:rsidRPr="00EF16FD">
        <w:rPr>
          <w:rFonts w:eastAsiaTheme="minorEastAsia"/>
          <w:sz w:val="22"/>
          <w:szCs w:val="22"/>
          <w:lang w:val="en-US"/>
        </w:rPr>
        <w:t xml:space="preserve"> gained attention. Long Short-Term Memory (LSTM) networks and other recurrent neural networks (RNNs) are designed to model sequential dependencies, making them particularly suitable for time-series degradation analysis. By capturing long-term temporal correlations across cycles, these approaches aim to improve prediction accuracy for progressive capacity fade. However, deep learning models often require larger datasets and higher computational resources, and their interpretability remains limited.</w:t>
      </w:r>
    </w:p>
    <w:p w14:paraId="33333865" w14:textId="6845550F" w:rsidR="00EF16FD" w:rsidRPr="00EF16FD" w:rsidRDefault="00EF16FD" w:rsidP="00EF16FD">
      <w:pPr>
        <w:rPr>
          <w:rFonts w:eastAsiaTheme="minorEastAsia"/>
          <w:sz w:val="22"/>
          <w:szCs w:val="22"/>
          <w:lang w:val="en-US"/>
        </w:rPr>
      </w:pPr>
      <w:r w:rsidRPr="00EF16FD">
        <w:rPr>
          <w:rFonts w:eastAsiaTheme="minorEastAsia"/>
          <w:sz w:val="22"/>
          <w:szCs w:val="22"/>
          <w:lang w:val="en-US"/>
        </w:rPr>
        <w:t xml:space="preserve">Another limitation observed in the literature is the fragmented focus on either </w:t>
      </w:r>
      <w:proofErr w:type="spellStart"/>
      <w:r w:rsidRPr="00EF16FD">
        <w:rPr>
          <w:rFonts w:eastAsiaTheme="minorEastAsia"/>
          <w:sz w:val="22"/>
          <w:szCs w:val="22"/>
          <w:lang w:val="en-US"/>
        </w:rPr>
        <w:t>SoH</w:t>
      </w:r>
      <w:proofErr w:type="spellEnd"/>
      <w:r w:rsidRPr="00EF16FD">
        <w:rPr>
          <w:rFonts w:eastAsiaTheme="minorEastAsia"/>
          <w:sz w:val="22"/>
          <w:szCs w:val="22"/>
          <w:lang w:val="en-US"/>
        </w:rPr>
        <w:t xml:space="preserve"> estimation or RUL prediction, rather than jointly evaluating both metrics within a unified framework. Moreover, many studies prioritize predictive accuracy without incorporating explainability mechanisms to interpret model behavior. Only a limited number of works integrate interpretability techniques such </w:t>
      </w:r>
      <w:proofErr w:type="gramStart"/>
      <w:r w:rsidRPr="00EF16FD">
        <w:rPr>
          <w:rFonts w:eastAsiaTheme="minorEastAsia"/>
          <w:sz w:val="22"/>
          <w:szCs w:val="22"/>
          <w:lang w:val="en-US"/>
        </w:rPr>
        <w:t>as  (</w:t>
      </w:r>
      <w:proofErr w:type="gramEnd"/>
      <w:r w:rsidRPr="00EF16FD">
        <w:rPr>
          <w:rFonts w:eastAsiaTheme="minorEastAsia"/>
          <w:sz w:val="22"/>
          <w:szCs w:val="22"/>
          <w:lang w:val="en-US"/>
        </w:rPr>
        <w:t>SHAP) to analyze feature importance and enhance transparency in degradation modeling.</w:t>
      </w:r>
    </w:p>
    <w:p w14:paraId="4F0750EF" w14:textId="40BAA6A7" w:rsidR="00EF16FD" w:rsidRPr="00EF16FD" w:rsidRDefault="00EF16FD" w:rsidP="00EF16FD">
      <w:pPr>
        <w:rPr>
          <w:rFonts w:eastAsiaTheme="minorEastAsia"/>
          <w:sz w:val="22"/>
          <w:szCs w:val="22"/>
          <w:lang w:val="en-US"/>
        </w:rPr>
      </w:pPr>
      <w:r w:rsidRPr="00EF16FD">
        <w:rPr>
          <w:rFonts w:eastAsiaTheme="minorEastAsia"/>
          <w:sz w:val="22"/>
          <w:szCs w:val="22"/>
          <w:lang w:val="en-US"/>
        </w:rPr>
        <w:t>Further</w:t>
      </w:r>
      <w:r w:rsidRPr="00EF16FD">
        <w:rPr>
          <w:rFonts w:eastAsiaTheme="minorEastAsia"/>
          <w:sz w:val="22"/>
          <w:szCs w:val="22"/>
          <w:lang w:val="en-US"/>
        </w:rPr>
        <w:t xml:space="preserve"> methodological concern relates to model validation strategies. Numerous studies employ random train-test splits or evaluate performance by forecasting future cycles of the same battery used during training. Such approaches risk information leakage across cycles and may overestimate generalization performance. In practical EV deployment, however, a BMS must operate on previously unseen battery packs rather than merely extrapolating known degradation trajectories. Validation protocols must therefore reflect inter-battery variability rather than intra-battery forecasting.</w:t>
      </w:r>
    </w:p>
    <w:p w14:paraId="66B8BD49" w14:textId="77777777" w:rsidR="00EF16FD" w:rsidRPr="00EF16FD" w:rsidRDefault="00EF16FD" w:rsidP="00EF16FD">
      <w:pPr>
        <w:rPr>
          <w:rFonts w:eastAsiaTheme="minorEastAsia"/>
          <w:sz w:val="22"/>
          <w:szCs w:val="22"/>
          <w:lang w:val="en-US"/>
        </w:rPr>
      </w:pPr>
      <w:r w:rsidRPr="00EF16FD">
        <w:rPr>
          <w:rFonts w:eastAsiaTheme="minorEastAsia"/>
          <w:sz w:val="22"/>
          <w:szCs w:val="22"/>
          <w:lang w:val="en-US"/>
        </w:rPr>
        <w:t>Few studies provide a structured comparison between feature-based regression models and temporal deep learning approaches using the same dataset under consistent and leakage-free validation conditions. This lack of standardized evaluation limits direct comparability across methods and obscures the true generalization capability of proposed models.</w:t>
      </w:r>
    </w:p>
    <w:p w14:paraId="74FE8721" w14:textId="6A23ECB2" w:rsidR="001A04BF" w:rsidRDefault="00EF16FD" w:rsidP="00AF767F">
      <w:pPr>
        <w:rPr>
          <w:rFonts w:eastAsiaTheme="minorEastAsia"/>
          <w:sz w:val="22"/>
          <w:szCs w:val="22"/>
          <w:lang w:val="en-US"/>
        </w:rPr>
      </w:pPr>
      <w:r w:rsidRPr="00EF16FD">
        <w:rPr>
          <w:rFonts w:eastAsiaTheme="minorEastAsia"/>
          <w:sz w:val="22"/>
          <w:szCs w:val="22"/>
          <w:lang w:val="en-US"/>
        </w:rPr>
        <w:t xml:space="preserve">The present study addresses these gaps by systematically evaluating multiple regression models under grouped cross-validation, ensuring strict separation of battery units during training and validation. In addition, explainability analysis is incorporated to enhance model transparency. By combining robust validation, structured feature engineering, and interpretability techniques, this </w:t>
      </w:r>
      <w:r w:rsidRPr="00EF16FD">
        <w:rPr>
          <w:rFonts w:eastAsiaTheme="minorEastAsia"/>
          <w:sz w:val="22"/>
          <w:szCs w:val="22"/>
          <w:lang w:val="en-US"/>
        </w:rPr>
        <w:lastRenderedPageBreak/>
        <w:t>work contributes toward more reliable and practically deployable battery health estimation frameworks.</w:t>
      </w:r>
    </w:p>
    <w:p w14:paraId="48A47FF2" w14:textId="77777777" w:rsidR="00AF767F" w:rsidRPr="001A04BF" w:rsidRDefault="00AF767F" w:rsidP="00AF767F">
      <w:pPr>
        <w:rPr>
          <w:rFonts w:eastAsiaTheme="minorEastAsia"/>
          <w:sz w:val="22"/>
          <w:szCs w:val="22"/>
          <w:lang w:val="en-US"/>
        </w:rPr>
      </w:pPr>
    </w:p>
    <w:p w14:paraId="7DC3EB66" w14:textId="77777777" w:rsidR="001A04BF" w:rsidRPr="001A04BF" w:rsidRDefault="001A04BF" w:rsidP="001A04BF">
      <w:pPr>
        <w:rPr>
          <w:rFonts w:eastAsiaTheme="minorEastAsia"/>
          <w:b/>
          <w:bCs/>
          <w:sz w:val="22"/>
          <w:szCs w:val="22"/>
          <w:lang w:val="en-US"/>
        </w:rPr>
      </w:pPr>
      <w:r w:rsidRPr="001A04BF">
        <w:rPr>
          <w:rFonts w:eastAsiaTheme="minorEastAsia"/>
          <w:b/>
          <w:bCs/>
          <w:sz w:val="22"/>
          <w:szCs w:val="22"/>
          <w:lang w:val="en-US"/>
        </w:rPr>
        <w:t>3. Proposed Methodology</w:t>
      </w:r>
    </w:p>
    <w:p w14:paraId="602AADF3"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The proposed framework is designed to develop and rigorously evaluate machine learning models for predicting battery State of Health (</w:t>
      </w:r>
      <w:proofErr w:type="spellStart"/>
      <w:r w:rsidRPr="001A04BF">
        <w:rPr>
          <w:rFonts w:eastAsiaTheme="minorEastAsia"/>
          <w:sz w:val="22"/>
          <w:szCs w:val="22"/>
          <w:lang w:val="en-US"/>
        </w:rPr>
        <w:t>SoH</w:t>
      </w:r>
      <w:proofErr w:type="spellEnd"/>
      <w:r w:rsidRPr="001A04BF">
        <w:rPr>
          <w:rFonts w:eastAsiaTheme="minorEastAsia"/>
          <w:sz w:val="22"/>
          <w:szCs w:val="22"/>
          <w:lang w:val="en-US"/>
        </w:rPr>
        <w:t>) and Remaining Useful Life (RUL) using cycle-level lithium-ion battery data. The methodology emphasizes robust generalization across battery units and strict prevention of data leakage, which are critical requirements for practical Battery Management System (BMS) deployment. The complete pipeline consists of data preprocessing and feature engineering, definition of target variables, grouped cross-validation strategy, model development, hyperparameter optimization, and comparative performance evaluation against the referenced exponential degradation approach.</w:t>
      </w:r>
    </w:p>
    <w:p w14:paraId="606033E5" w14:textId="77777777" w:rsidR="001A04BF" w:rsidRPr="001A04BF" w:rsidRDefault="001A04BF" w:rsidP="001A04BF">
      <w:pPr>
        <w:rPr>
          <w:rFonts w:eastAsiaTheme="minorEastAsia"/>
          <w:b/>
          <w:bCs/>
          <w:sz w:val="22"/>
          <w:szCs w:val="22"/>
          <w:lang w:val="en-US"/>
        </w:rPr>
      </w:pPr>
      <w:r w:rsidRPr="001A04BF">
        <w:rPr>
          <w:rFonts w:eastAsiaTheme="minorEastAsia"/>
          <w:b/>
          <w:bCs/>
          <w:sz w:val="22"/>
          <w:szCs w:val="22"/>
          <w:lang w:val="en-US"/>
        </w:rPr>
        <w:t>3.1 Data Description and Preprocessing</w:t>
      </w:r>
    </w:p>
    <w:p w14:paraId="65B3B241"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The dataset used in this study contains cycle-level operational measurements collected from multiple lithium-ion battery cells. Each observation corresponds to a single charge–discharge cycle and is associated with a unique battery identifier. This structure enables analysis of both intra-battery degradation patterns and inter-battery variability.</w:t>
      </w:r>
    </w:p>
    <w:p w14:paraId="39CA4E31"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Raw features include cycle index and measurable operational characteristics such as voltage behavior, temperature conditions, and discharge capacity. Since degradation modeling is sensitive to data consistency, several preprocessing steps were applied. First, missing values were identified and handled to ensure numerical stability during training. Inconsistent or physically unrealistic measurements were inspected and filtered when necessary. This step is particularly important in battery datasets, where sensor noise or logging artifacts may introduce outliers that distort regression performance.</w:t>
      </w:r>
    </w:p>
    <w:p w14:paraId="21267AD4"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 xml:space="preserve">Feature scaling was applied where appropriate. Models such as Support Vector Regression (SVR) are sensitive to the magnitude of input features because kernel-based distance calculations depend on feature scale. Therefore, numerical normalization was performed to ensure balanced contribution of all variables. Tree-based models such as Random Forest and </w:t>
      </w:r>
      <w:proofErr w:type="spellStart"/>
      <w:r w:rsidRPr="001A04BF">
        <w:rPr>
          <w:rFonts w:eastAsiaTheme="minorEastAsia"/>
          <w:sz w:val="22"/>
          <w:szCs w:val="22"/>
          <w:lang w:val="en-US"/>
        </w:rPr>
        <w:t>XGBoost</w:t>
      </w:r>
      <w:proofErr w:type="spellEnd"/>
      <w:r w:rsidRPr="001A04BF">
        <w:rPr>
          <w:rFonts w:eastAsiaTheme="minorEastAsia"/>
          <w:sz w:val="22"/>
          <w:szCs w:val="22"/>
          <w:lang w:val="en-US"/>
        </w:rPr>
        <w:t xml:space="preserve"> are generally invariant to monotonic feature scaling; however, consistent preprocessing ensures fairness across models.</w:t>
      </w:r>
    </w:p>
    <w:p w14:paraId="5C42E65D"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Feature engineering was conducted to enhance predictive capacity. In addition to raw cycle index values, degradation-relevant transformations were included to allow the model to learn temporal aging dynamics. Since battery degradation is inherently cumulative, incorporating cycle progression as an explicit predictor allows regression models to capture long-term aging trends while still modeling nonlinear variations due to operational stress factors. The final feature matrix was structured to represent both operational conditions and degradation trajectory information.</w:t>
      </w:r>
    </w:p>
    <w:p w14:paraId="0D8C6557" w14:textId="77777777" w:rsidR="001A04BF" w:rsidRPr="001A04BF" w:rsidRDefault="001A04BF" w:rsidP="001A04BF">
      <w:pPr>
        <w:rPr>
          <w:rFonts w:eastAsiaTheme="minorEastAsia"/>
          <w:b/>
          <w:bCs/>
          <w:sz w:val="22"/>
          <w:szCs w:val="22"/>
          <w:lang w:val="en-US"/>
        </w:rPr>
      </w:pPr>
      <w:r w:rsidRPr="001A04BF">
        <w:rPr>
          <w:rFonts w:eastAsiaTheme="minorEastAsia"/>
          <w:b/>
          <w:bCs/>
          <w:sz w:val="22"/>
          <w:szCs w:val="22"/>
          <w:lang w:val="en-US"/>
        </w:rPr>
        <w:t>3.2 Target Variable Formulation</w:t>
      </w:r>
    </w:p>
    <w:p w14:paraId="5E186F21" w14:textId="5BD0EFA9" w:rsidR="001A04BF" w:rsidRPr="001A04BF" w:rsidRDefault="001A04BF" w:rsidP="001A04BF">
      <w:pPr>
        <w:rPr>
          <w:rFonts w:eastAsiaTheme="minorEastAsia"/>
          <w:sz w:val="22"/>
          <w:szCs w:val="22"/>
          <w:lang w:val="en-US"/>
        </w:rPr>
      </w:pPr>
      <w:r w:rsidRPr="001A04BF">
        <w:rPr>
          <w:rFonts w:eastAsiaTheme="minorEastAsia"/>
          <w:sz w:val="22"/>
          <w:szCs w:val="22"/>
          <w:lang w:val="en-US"/>
        </w:rPr>
        <w:lastRenderedPageBreak/>
        <w:t>Two primary targets were defined in alignment with battery prognostics literature. State of Health (</w:t>
      </w:r>
      <w:proofErr w:type="spellStart"/>
      <w:r w:rsidRPr="001A04BF">
        <w:rPr>
          <w:rFonts w:eastAsiaTheme="minorEastAsia"/>
          <w:sz w:val="22"/>
          <w:szCs w:val="22"/>
          <w:lang w:val="en-US"/>
        </w:rPr>
        <w:t>SoH</w:t>
      </w:r>
      <w:proofErr w:type="spellEnd"/>
      <w:r w:rsidRPr="001A04BF">
        <w:rPr>
          <w:rFonts w:eastAsiaTheme="minorEastAsia"/>
          <w:sz w:val="22"/>
          <w:szCs w:val="22"/>
          <w:lang w:val="en-US"/>
        </w:rPr>
        <w:t xml:space="preserve">) was computed as the ratio between measured discharge capacity at cycle </w:t>
      </w:r>
      <m:oMath>
        <m:r>
          <w:rPr>
            <w:rFonts w:ascii="Cambria Math" w:eastAsiaTheme="minorEastAsia" w:hAnsi="Cambria Math"/>
            <w:sz w:val="22"/>
            <w:szCs w:val="22"/>
            <w:lang w:val="en-US"/>
          </w:rPr>
          <m:t>n</m:t>
        </m:r>
      </m:oMath>
      <w:r w:rsidRPr="001A04BF">
        <w:rPr>
          <w:rFonts w:eastAsiaTheme="minorEastAsia"/>
          <w:sz w:val="22"/>
          <w:szCs w:val="22"/>
          <w:lang w:val="en-US"/>
        </w:rPr>
        <w:t>and the nominal capacity of the battery:</w:t>
      </w:r>
    </w:p>
    <w:p w14:paraId="6A6C2B7D" w14:textId="255E5BBB" w:rsidR="001A04BF" w:rsidRPr="001A04BF" w:rsidRDefault="001A04BF" w:rsidP="001A04BF">
      <w:pPr>
        <w:rPr>
          <w:rFonts w:eastAsiaTheme="minorEastAsia"/>
          <w:sz w:val="22"/>
          <w:szCs w:val="22"/>
          <w:lang w:val="en-US"/>
        </w:rPr>
      </w:pPr>
      <m:oMathPara>
        <m:oMath>
          <m:r>
            <w:rPr>
              <w:rFonts w:ascii="Cambria Math" w:eastAsiaTheme="minorEastAsia" w:hAnsi="Cambria Math"/>
              <w:sz w:val="22"/>
              <w:szCs w:val="22"/>
              <w:lang w:val="en-US"/>
            </w:rPr>
            <m:t>SoH(n)=</m:t>
          </m:r>
          <m:f>
            <m:fPr>
              <m:ctrlPr>
                <w:rPr>
                  <w:rFonts w:ascii="Cambria Math" w:eastAsiaTheme="minorEastAsia" w:hAnsi="Cambria Math"/>
                  <w:sz w:val="22"/>
                  <w:szCs w:val="22"/>
                  <w:lang w:val="en-US"/>
                </w:rPr>
              </m:ctrlPr>
            </m:fPr>
            <m:num>
              <m:r>
                <w:rPr>
                  <w:rFonts w:ascii="Cambria Math" w:eastAsiaTheme="minorEastAsia" w:hAnsi="Cambria Math"/>
                  <w:sz w:val="22"/>
                  <w:szCs w:val="22"/>
                  <w:lang w:val="en-US"/>
                </w:rPr>
                <m:t>C(n)</m:t>
              </m:r>
            </m:num>
            <m:den>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C</m:t>
                  </m:r>
                </m:e>
                <m:sub>
                  <m:r>
                    <w:rPr>
                      <w:rFonts w:ascii="Cambria Math" w:eastAsiaTheme="minorEastAsia" w:hAnsi="Cambria Math"/>
                      <w:sz w:val="22"/>
                      <w:szCs w:val="22"/>
                      <w:lang w:val="en-US"/>
                    </w:rPr>
                    <m:t>nominal</m:t>
                  </m:r>
                </m:sub>
              </m:sSub>
            </m:den>
          </m:f>
          <m:r>
            <m:rPr>
              <m:sty m:val="p"/>
            </m:rPr>
            <w:rPr>
              <w:rFonts w:eastAsiaTheme="minorEastAsia"/>
              <w:sz w:val="22"/>
              <w:szCs w:val="22"/>
              <w:lang w:val="en-US"/>
            </w:rPr>
            <w:br/>
          </m:r>
        </m:oMath>
      </m:oMathPara>
    </w:p>
    <w:p w14:paraId="52CD46D5"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This normalization enables comparison across different batteries and ensures that degradation is expressed as a dimensionless quantity bounded within a practical range.</w:t>
      </w:r>
    </w:p>
    <w:p w14:paraId="28232CDA" w14:textId="5DC17731" w:rsidR="001A04BF" w:rsidRPr="001A04BF" w:rsidRDefault="001A04BF" w:rsidP="001A04BF">
      <w:pPr>
        <w:rPr>
          <w:rFonts w:eastAsiaTheme="minorEastAsia"/>
          <w:sz w:val="22"/>
          <w:szCs w:val="22"/>
          <w:lang w:val="en-US"/>
        </w:rPr>
      </w:pPr>
      <w:r w:rsidRPr="001A04BF">
        <w:rPr>
          <w:rFonts w:eastAsiaTheme="minorEastAsia"/>
          <w:sz w:val="22"/>
          <w:szCs w:val="22"/>
          <w:lang w:val="en-US"/>
        </w:rPr>
        <w:t xml:space="preserve">Remaining Useful Life (RUL) was defined as the number of remaining cycles before the battery reaches a predefined end-of-life (EOL) threshold. The EOL criterion was established based on a capacity percentage cutoff, commonly 80% of nominal capacity. If </w:t>
      </w:r>
      <m:oMath>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n</m:t>
            </m:r>
          </m:e>
          <m:sub>
            <m:r>
              <w:rPr>
                <w:rFonts w:ascii="Cambria Math" w:eastAsiaTheme="minorEastAsia" w:hAnsi="Cambria Math"/>
                <w:sz w:val="22"/>
                <w:szCs w:val="22"/>
                <w:lang w:val="en-US"/>
              </w:rPr>
              <m:t>EOL</m:t>
            </m:r>
          </m:sub>
        </m:sSub>
      </m:oMath>
      <w:r w:rsidRPr="001A04BF">
        <w:rPr>
          <w:rFonts w:eastAsiaTheme="minorEastAsia"/>
          <w:sz w:val="22"/>
          <w:szCs w:val="22"/>
          <w:lang w:val="en-US"/>
        </w:rPr>
        <w:t xml:space="preserve">represents the cycle at which capacity crosses the threshold, then RUL at cycle </w:t>
      </w:r>
      <m:oMath>
        <m:r>
          <w:rPr>
            <w:rFonts w:ascii="Cambria Math" w:eastAsiaTheme="minorEastAsia" w:hAnsi="Cambria Math"/>
            <w:sz w:val="22"/>
            <w:szCs w:val="22"/>
            <w:lang w:val="en-US"/>
          </w:rPr>
          <m:t>n</m:t>
        </m:r>
      </m:oMath>
      <w:r w:rsidRPr="001A04BF">
        <w:rPr>
          <w:rFonts w:eastAsiaTheme="minorEastAsia"/>
          <w:sz w:val="22"/>
          <w:szCs w:val="22"/>
          <w:lang w:val="en-US"/>
        </w:rPr>
        <w:t>is defined as:</w:t>
      </w:r>
    </w:p>
    <w:p w14:paraId="687C6802" w14:textId="01636F70" w:rsidR="001A04BF" w:rsidRPr="001A04BF" w:rsidRDefault="001A04BF" w:rsidP="001A04BF">
      <w:pPr>
        <w:rPr>
          <w:rFonts w:eastAsiaTheme="minorEastAsia"/>
          <w:sz w:val="22"/>
          <w:szCs w:val="22"/>
          <w:lang w:val="en-US"/>
        </w:rPr>
      </w:pPr>
      <m:oMathPara>
        <m:oMath>
          <m:r>
            <w:rPr>
              <w:rFonts w:ascii="Cambria Math" w:eastAsiaTheme="minorEastAsia" w:hAnsi="Cambria Math"/>
              <w:sz w:val="22"/>
              <w:szCs w:val="22"/>
              <w:lang w:val="en-US"/>
            </w:rPr>
            <m:t>RUL(n)=</m:t>
          </m:r>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n</m:t>
              </m:r>
            </m:e>
            <m:sub>
              <m:r>
                <w:rPr>
                  <w:rFonts w:ascii="Cambria Math" w:eastAsiaTheme="minorEastAsia" w:hAnsi="Cambria Math"/>
                  <w:sz w:val="22"/>
                  <w:szCs w:val="22"/>
                  <w:lang w:val="en-US"/>
                </w:rPr>
                <m:t>EOL</m:t>
              </m:r>
            </m:sub>
          </m:sSub>
          <m:r>
            <w:rPr>
              <w:rFonts w:ascii="Cambria Math" w:eastAsiaTheme="minorEastAsia" w:hAnsi="Cambria Math"/>
              <w:sz w:val="22"/>
              <w:szCs w:val="22"/>
              <w:lang w:val="en-US"/>
            </w:rPr>
            <m:t>-n</m:t>
          </m:r>
          <m:r>
            <w:rPr>
              <w:rFonts w:eastAsiaTheme="minorEastAsia"/>
              <w:sz w:val="22"/>
              <w:szCs w:val="22"/>
              <w:lang w:val="en-US"/>
            </w:rPr>
            <w:br/>
          </m:r>
        </m:oMath>
      </m:oMathPara>
    </w:p>
    <w:p w14:paraId="07AEF324"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This formulation ensures that RUL is a forward-looking quantity representing future degradation rather than historical capacity measurement. Predicting RUL accurately is particularly challenging because it requires the model to extrapolate degradation trajectory beyond observed behavior.</w:t>
      </w:r>
    </w:p>
    <w:p w14:paraId="5DB25A75" w14:textId="77777777" w:rsidR="001A04BF" w:rsidRPr="001A04BF" w:rsidRDefault="001A04BF" w:rsidP="001A04BF">
      <w:pPr>
        <w:rPr>
          <w:rFonts w:eastAsiaTheme="minorEastAsia"/>
          <w:b/>
          <w:bCs/>
          <w:sz w:val="22"/>
          <w:szCs w:val="22"/>
          <w:lang w:val="en-US"/>
        </w:rPr>
      </w:pPr>
      <w:r w:rsidRPr="001A04BF">
        <w:rPr>
          <w:rFonts w:eastAsiaTheme="minorEastAsia"/>
          <w:b/>
          <w:bCs/>
          <w:sz w:val="22"/>
          <w:szCs w:val="22"/>
          <w:lang w:val="en-US"/>
        </w:rPr>
        <w:t>3.3 Prevention of Data Leakage through Grouped Cross-Validation</w:t>
      </w:r>
    </w:p>
    <w:p w14:paraId="1E45250E"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A central concern in battery degradation modeling is preventing information leakage across cycles belonging to the same battery. Conventional random train-test splitting methods may assign cycles from a single battery to both training and validation sets. In such cases, the model can implicitly memorize battery-specific degradation patterns, resulting in artificially inflated accuracy metrics.</w:t>
      </w:r>
    </w:p>
    <w:p w14:paraId="5DAB48CD"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 xml:space="preserve">To address this issue, Grouped Cross-Validation was implemented using the </w:t>
      </w:r>
      <w:proofErr w:type="spellStart"/>
      <w:r w:rsidRPr="001A04BF">
        <w:rPr>
          <w:rFonts w:eastAsiaTheme="minorEastAsia"/>
          <w:sz w:val="22"/>
          <w:szCs w:val="22"/>
          <w:lang w:val="en-US"/>
        </w:rPr>
        <w:t>GroupKFold</w:t>
      </w:r>
      <w:proofErr w:type="spellEnd"/>
      <w:r w:rsidRPr="001A04BF">
        <w:rPr>
          <w:rFonts w:eastAsiaTheme="minorEastAsia"/>
          <w:sz w:val="22"/>
          <w:szCs w:val="22"/>
          <w:lang w:val="en-US"/>
        </w:rPr>
        <w:t xml:space="preserve"> strategy, where grouping is performed based on battery identifier. In this framework, all cycles corresponding to a given battery remain within the same fold. During each cross-validation iteration, the model is trained on a subset of complete battery units and validated on entirely unseen battery packs.</w:t>
      </w:r>
    </w:p>
    <w:p w14:paraId="0F14BB97"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This validation strategy ensures strict separation between training and validation batteries, preventing leakage of degradation trajectory information. It also more accurately reflects real-world deployment conditions, where a BMS must operate on batteries not previously observed during training. By enforcing battery-level separation, the evaluation framework assesses true inter-battery generalization capability rather than intra-battery forecasting performance.</w:t>
      </w:r>
    </w:p>
    <w:p w14:paraId="296D3E8A" w14:textId="77777777" w:rsidR="001A04BF" w:rsidRPr="001A04BF" w:rsidRDefault="001A04BF" w:rsidP="001A04BF">
      <w:pPr>
        <w:rPr>
          <w:rFonts w:eastAsiaTheme="minorEastAsia"/>
          <w:b/>
          <w:bCs/>
          <w:sz w:val="22"/>
          <w:szCs w:val="22"/>
          <w:lang w:val="en-US"/>
        </w:rPr>
      </w:pPr>
      <w:r w:rsidRPr="001A04BF">
        <w:rPr>
          <w:rFonts w:eastAsiaTheme="minorEastAsia"/>
          <w:b/>
          <w:bCs/>
          <w:sz w:val="22"/>
          <w:szCs w:val="22"/>
          <w:lang w:val="en-US"/>
        </w:rPr>
        <w:t>3.4 Regression Model Development</w:t>
      </w:r>
    </w:p>
    <w:p w14:paraId="5F04EDD3"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Four regression models were implemented to evaluate predictive performance across different algorithmic families, ranging from linear baseline approaches to advanced ensemble methods.</w:t>
      </w:r>
    </w:p>
    <w:p w14:paraId="5B24B29C"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lastRenderedPageBreak/>
        <w:t>Linear Regression was included as a baseline model to provide a reference point for performance comparison. Although linear models are limited in capturing complex nonlinear degradation behavior, they offer interpretability and computational efficiency. Including a linear baseline allows quantification of the added predictive value provided by nonlinear methods.</w:t>
      </w:r>
    </w:p>
    <w:p w14:paraId="29E4E749"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Random Forest regression was implemented as an ensemble learning method based on multiple decision trees constructed from bootstrap samples of the training data. By averaging predictions across trees, Random Forest reduces variance and mitigates overfitting. Its ability to model nonlinear feature interactions makes it suitable for battery degradation modeling, where temperature, cycle index, and capacity evolution may interact in complex ways.</w:t>
      </w:r>
    </w:p>
    <w:p w14:paraId="4D89A27A"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Support Vector Regression was employed to model nonlinear relationships through kernel-based transformations. SVR seeks to minimize prediction error within an epsilon-insensitive margin while controlling model complexity via regularization. By projecting input features into a higher-dimensional space using kernel functions, SVR can capture nonlinear degradation dynamics while maintaining strong generalization capability.</w:t>
      </w:r>
    </w:p>
    <w:p w14:paraId="342AFCAF"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Extreme Gradient Boosting (</w:t>
      </w:r>
      <w:proofErr w:type="spellStart"/>
      <w:r w:rsidRPr="001A04BF">
        <w:rPr>
          <w:rFonts w:eastAsiaTheme="minorEastAsia"/>
          <w:sz w:val="22"/>
          <w:szCs w:val="22"/>
          <w:lang w:val="en-US"/>
        </w:rPr>
        <w:t>XGBoost</w:t>
      </w:r>
      <w:proofErr w:type="spellEnd"/>
      <w:r w:rsidRPr="001A04BF">
        <w:rPr>
          <w:rFonts w:eastAsiaTheme="minorEastAsia"/>
          <w:sz w:val="22"/>
          <w:szCs w:val="22"/>
          <w:lang w:val="en-US"/>
        </w:rPr>
        <w:t xml:space="preserve">) was implemented as a gradient boosting ensemble method that iteratively builds decision trees to minimize residual error. </w:t>
      </w:r>
      <w:proofErr w:type="spellStart"/>
      <w:r w:rsidRPr="001A04BF">
        <w:rPr>
          <w:rFonts w:eastAsiaTheme="minorEastAsia"/>
          <w:sz w:val="22"/>
          <w:szCs w:val="22"/>
          <w:lang w:val="en-US"/>
        </w:rPr>
        <w:t>XGBoost</w:t>
      </w:r>
      <w:proofErr w:type="spellEnd"/>
      <w:r w:rsidRPr="001A04BF">
        <w:rPr>
          <w:rFonts w:eastAsiaTheme="minorEastAsia"/>
          <w:sz w:val="22"/>
          <w:szCs w:val="22"/>
          <w:lang w:val="en-US"/>
        </w:rPr>
        <w:t xml:space="preserve"> incorporates regularization mechanisms and second-order gradient optimization, enabling high predictive accuracy on structured datasets. Its ability to handle nonlinear relationships and complex feature interactions makes it particularly suitable for modeling stochastic battery degradation patterns.</w:t>
      </w:r>
    </w:p>
    <w:p w14:paraId="702CA1A9" w14:textId="77777777" w:rsidR="001A04BF" w:rsidRPr="001A04BF" w:rsidRDefault="001A04BF" w:rsidP="001A04BF">
      <w:pPr>
        <w:rPr>
          <w:rFonts w:eastAsiaTheme="minorEastAsia"/>
          <w:b/>
          <w:bCs/>
          <w:sz w:val="22"/>
          <w:szCs w:val="22"/>
          <w:lang w:val="en-US"/>
        </w:rPr>
      </w:pPr>
      <w:r w:rsidRPr="001A04BF">
        <w:rPr>
          <w:rFonts w:eastAsiaTheme="minorEastAsia"/>
          <w:b/>
          <w:bCs/>
          <w:sz w:val="22"/>
          <w:szCs w:val="22"/>
          <w:lang w:val="en-US"/>
        </w:rPr>
        <w:t>3.5 Hyperparameter Optimization</w:t>
      </w:r>
    </w:p>
    <w:p w14:paraId="7B42B34C" w14:textId="481F2472" w:rsidR="001A04BF" w:rsidRPr="001A04BF" w:rsidRDefault="001A04BF" w:rsidP="001A04BF">
      <w:pPr>
        <w:rPr>
          <w:rFonts w:eastAsiaTheme="minorEastAsia"/>
          <w:sz w:val="22"/>
          <w:szCs w:val="22"/>
          <w:lang w:val="en-US"/>
        </w:rPr>
      </w:pPr>
      <w:r w:rsidRPr="001A04BF">
        <w:rPr>
          <w:rFonts w:eastAsiaTheme="minorEastAsia"/>
          <w:sz w:val="22"/>
          <w:szCs w:val="22"/>
          <w:lang w:val="en-US"/>
        </w:rPr>
        <w:t xml:space="preserve">To ensure optimal model performance, hyperparameter tuning was conducted for the Support Vector Regression model using </w:t>
      </w:r>
      <w:proofErr w:type="spellStart"/>
      <w:r w:rsidRPr="001A04BF">
        <w:rPr>
          <w:rFonts w:eastAsiaTheme="minorEastAsia"/>
          <w:sz w:val="22"/>
          <w:szCs w:val="22"/>
          <w:lang w:val="en-US"/>
        </w:rPr>
        <w:t>GridSearchCV</w:t>
      </w:r>
      <w:proofErr w:type="spellEnd"/>
      <w:r w:rsidRPr="001A04BF">
        <w:rPr>
          <w:rFonts w:eastAsiaTheme="minorEastAsia"/>
          <w:sz w:val="22"/>
          <w:szCs w:val="22"/>
          <w:lang w:val="en-US"/>
        </w:rPr>
        <w:t xml:space="preserve">. Hyperparameters explored included the regularization parameter </w:t>
      </w:r>
      <m:oMath>
        <m:r>
          <w:rPr>
            <w:rFonts w:ascii="Cambria Math" w:eastAsiaTheme="minorEastAsia" w:hAnsi="Cambria Math"/>
            <w:sz w:val="22"/>
            <w:szCs w:val="22"/>
            <w:lang w:val="en-US"/>
          </w:rPr>
          <m:t>C</m:t>
        </m:r>
      </m:oMath>
      <w:r w:rsidRPr="001A04BF">
        <w:rPr>
          <w:rFonts w:eastAsiaTheme="minorEastAsia"/>
          <w:sz w:val="22"/>
          <w:szCs w:val="22"/>
          <w:lang w:val="en-US"/>
        </w:rPr>
        <w:t xml:space="preserve">, the epsilon margin </w:t>
      </w:r>
      <m:oMath>
        <m:r>
          <w:rPr>
            <w:rFonts w:ascii="Cambria Math" w:eastAsiaTheme="minorEastAsia" w:hAnsi="Cambria Math"/>
            <w:sz w:val="22"/>
            <w:szCs w:val="22"/>
            <w:lang w:val="en-US"/>
          </w:rPr>
          <m:t>ϵ</m:t>
        </m:r>
      </m:oMath>
      <w:r w:rsidRPr="001A04BF">
        <w:rPr>
          <w:rFonts w:eastAsiaTheme="minorEastAsia"/>
          <w:sz w:val="22"/>
          <w:szCs w:val="22"/>
          <w:lang w:val="en-US"/>
        </w:rPr>
        <w:t>, kernel type, and kernel-specific parameters such as gamma in the radial basis function (RBF) kernel.</w:t>
      </w:r>
    </w:p>
    <w:p w14:paraId="48E561D2"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 xml:space="preserve">The hyperparameter search was embedded within the </w:t>
      </w:r>
      <w:proofErr w:type="spellStart"/>
      <w:r w:rsidRPr="001A04BF">
        <w:rPr>
          <w:rFonts w:eastAsiaTheme="minorEastAsia"/>
          <w:sz w:val="22"/>
          <w:szCs w:val="22"/>
          <w:lang w:val="en-US"/>
        </w:rPr>
        <w:t>GroupKFold</w:t>
      </w:r>
      <w:proofErr w:type="spellEnd"/>
      <w:r w:rsidRPr="001A04BF">
        <w:rPr>
          <w:rFonts w:eastAsiaTheme="minorEastAsia"/>
          <w:sz w:val="22"/>
          <w:szCs w:val="22"/>
          <w:lang w:val="en-US"/>
        </w:rPr>
        <w:t xml:space="preserve"> cross-validation framework to prevent information leakage during model selection. For each candidate parameter configuration, cross-validated performance metrics were computed across battery-level folds. The configuration yielding the lowest validation error was selected as the optimal model. Integrating hyperparameter tuning with grouped validation ensures fair and robust performance estimation.</w:t>
      </w:r>
    </w:p>
    <w:p w14:paraId="22E68ED5"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 xml:space="preserve">Tree-based models such as Random Forest and </w:t>
      </w:r>
      <w:proofErr w:type="spellStart"/>
      <w:r w:rsidRPr="001A04BF">
        <w:rPr>
          <w:rFonts w:eastAsiaTheme="minorEastAsia"/>
          <w:sz w:val="22"/>
          <w:szCs w:val="22"/>
          <w:lang w:val="en-US"/>
        </w:rPr>
        <w:t>XGBoost</w:t>
      </w:r>
      <w:proofErr w:type="spellEnd"/>
      <w:r w:rsidRPr="001A04BF">
        <w:rPr>
          <w:rFonts w:eastAsiaTheme="minorEastAsia"/>
          <w:sz w:val="22"/>
          <w:szCs w:val="22"/>
          <w:lang w:val="en-US"/>
        </w:rPr>
        <w:t xml:space="preserve"> were implemented using commonly adopted parameter settings optimized for regression tasks. While exhaustive tuning for all models may further enhance performance, the primary objective of this study is comparative evaluation under consistent validation conditions rather than exhaustive optimization of a single algorithm.</w:t>
      </w:r>
    </w:p>
    <w:p w14:paraId="0202372E" w14:textId="77777777" w:rsidR="001A04BF" w:rsidRPr="001A04BF" w:rsidRDefault="001A04BF" w:rsidP="001A04BF">
      <w:pPr>
        <w:rPr>
          <w:rFonts w:eastAsiaTheme="minorEastAsia"/>
          <w:b/>
          <w:bCs/>
          <w:sz w:val="22"/>
          <w:szCs w:val="22"/>
          <w:lang w:val="en-US"/>
        </w:rPr>
      </w:pPr>
      <w:r w:rsidRPr="001A04BF">
        <w:rPr>
          <w:rFonts w:eastAsiaTheme="minorEastAsia"/>
          <w:b/>
          <w:bCs/>
          <w:sz w:val="22"/>
          <w:szCs w:val="22"/>
          <w:lang w:val="en-US"/>
        </w:rPr>
        <w:t>3.6 Performance Evaluation and Benchmark Comparison</w:t>
      </w:r>
    </w:p>
    <w:p w14:paraId="2A0BA339"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 xml:space="preserve">Model performance was evaluated using Mean Squared Error (MSE) and Mean Absolute Error (MAE), consistent with metrics reported in the referenced exponential degradation study. MSE </w:t>
      </w:r>
      <w:r w:rsidRPr="001A04BF">
        <w:rPr>
          <w:rFonts w:eastAsiaTheme="minorEastAsia"/>
          <w:sz w:val="22"/>
          <w:szCs w:val="22"/>
          <w:lang w:val="en-US"/>
        </w:rPr>
        <w:lastRenderedPageBreak/>
        <w:t>penalizes larger errors more heavily due to squaring, making it sensitive to substantial prediction deviations. MAE provides an interpretable measure of average absolute prediction error.</w:t>
      </w:r>
    </w:p>
    <w:p w14:paraId="1B818E70" w14:textId="77777777" w:rsidR="001A04BF" w:rsidRPr="001A04BF" w:rsidRDefault="001A04BF" w:rsidP="001A04BF">
      <w:pPr>
        <w:rPr>
          <w:rFonts w:eastAsiaTheme="minorEastAsia"/>
          <w:sz w:val="22"/>
          <w:szCs w:val="22"/>
          <w:lang w:val="en-US"/>
        </w:rPr>
      </w:pPr>
      <w:r w:rsidRPr="001A04BF">
        <w:rPr>
          <w:rFonts w:eastAsiaTheme="minorEastAsia"/>
          <w:sz w:val="22"/>
          <w:szCs w:val="22"/>
          <w:lang w:val="en-US"/>
        </w:rPr>
        <w:t>Using the same metrics as the reference study enables direct quantitative comparison between traditional exponential modeling and machine learning-based approaches. Unlike the exponential model, which assumes a predefined degradation structure, the proposed models learn degradation patterns directly from data without imposing monotonic constraints. Additionally, the grouped cross-validation framework provides a stricter and more deployment-relevant evaluation methodology.</w:t>
      </w:r>
    </w:p>
    <w:p w14:paraId="5442292A" w14:textId="77777777" w:rsidR="001A04BF" w:rsidRDefault="001A04BF" w:rsidP="001A04BF">
      <w:pPr>
        <w:rPr>
          <w:rFonts w:eastAsiaTheme="minorEastAsia"/>
          <w:sz w:val="22"/>
          <w:szCs w:val="22"/>
          <w:lang w:val="en-US"/>
        </w:rPr>
      </w:pPr>
      <w:r w:rsidRPr="001A04BF">
        <w:rPr>
          <w:rFonts w:eastAsiaTheme="minorEastAsia"/>
          <w:sz w:val="22"/>
          <w:szCs w:val="22"/>
          <w:lang w:val="en-US"/>
        </w:rPr>
        <w:t>By integrating structured preprocessing, battery-level grouped validation, multiple regression models, and systematic hyperparameter optimization, the proposed methodology establishes a comprehensive and rigorous framework for battery health prediction. The design ensures fairness in model comparison, realistic evaluation of generalization performance, and alignment with practical BMS deployment requirements.</w:t>
      </w:r>
    </w:p>
    <w:p w14:paraId="29212780" w14:textId="77777777" w:rsidR="00AF767F" w:rsidRDefault="00AF767F" w:rsidP="001A04BF">
      <w:pPr>
        <w:rPr>
          <w:rFonts w:eastAsiaTheme="minorEastAsia"/>
          <w:sz w:val="22"/>
          <w:szCs w:val="22"/>
          <w:lang w:val="en-US"/>
        </w:rPr>
      </w:pPr>
    </w:p>
    <w:p w14:paraId="39B84F7D" w14:textId="77777777" w:rsidR="00AF767F" w:rsidRPr="00AF767F" w:rsidRDefault="00AF767F" w:rsidP="00AF767F">
      <w:pPr>
        <w:rPr>
          <w:rFonts w:eastAsiaTheme="minorEastAsia"/>
          <w:b/>
          <w:bCs/>
          <w:sz w:val="22"/>
          <w:szCs w:val="22"/>
          <w:lang w:val="en-US"/>
        </w:rPr>
      </w:pPr>
      <w:r w:rsidRPr="00AF767F">
        <w:rPr>
          <w:rFonts w:eastAsiaTheme="minorEastAsia"/>
          <w:b/>
          <w:bCs/>
          <w:sz w:val="22"/>
          <w:szCs w:val="22"/>
          <w:lang w:val="en-US"/>
        </w:rPr>
        <w:t>4. Dataset and Feature Engineering</w:t>
      </w:r>
    </w:p>
    <w:p w14:paraId="6ECE39A3" w14:textId="77777777" w:rsidR="00AF767F" w:rsidRPr="00AF767F" w:rsidRDefault="00AF767F" w:rsidP="00AF767F">
      <w:pPr>
        <w:rPr>
          <w:rFonts w:eastAsiaTheme="minorEastAsia"/>
          <w:b/>
          <w:bCs/>
          <w:sz w:val="22"/>
          <w:szCs w:val="22"/>
          <w:lang w:val="en-US"/>
        </w:rPr>
      </w:pPr>
      <w:r w:rsidRPr="00AF767F">
        <w:rPr>
          <w:rFonts w:eastAsiaTheme="minorEastAsia"/>
          <w:b/>
          <w:bCs/>
          <w:sz w:val="22"/>
          <w:szCs w:val="22"/>
          <w:lang w:val="en-US"/>
        </w:rPr>
        <w:t>4.1 Dataset Description</w:t>
      </w:r>
    </w:p>
    <w:p w14:paraId="78860A23"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The experimental analysis conducted in this study utilizes the NASA Battery Degradation Cycle-Level dataset, a publicly available benchmark dataset widely used in lithium-ion battery prognostics research. The dataset contains 1,415 cycle-level samples collected from multiple lithium-ion battery cells undergoing repeated charge–discharge testing under controlled laboratory conditions. Each record corresponds to a single charge–discharge cycle and is associated with a unique battery identifier.</w:t>
      </w:r>
    </w:p>
    <w:p w14:paraId="493FDE85"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The dataset includes seven core variables: battery identifier, cycle number, voltage, current, temperature, discharge capacity, State of Health (</w:t>
      </w:r>
      <w:proofErr w:type="spellStart"/>
      <w:r w:rsidRPr="00AF767F">
        <w:rPr>
          <w:rFonts w:eastAsiaTheme="minorEastAsia"/>
          <w:sz w:val="22"/>
          <w:szCs w:val="22"/>
          <w:lang w:val="en-US"/>
        </w:rPr>
        <w:t>SoH</w:t>
      </w:r>
      <w:proofErr w:type="spellEnd"/>
      <w:r w:rsidRPr="00AF767F">
        <w:rPr>
          <w:rFonts w:eastAsiaTheme="minorEastAsia"/>
          <w:sz w:val="22"/>
          <w:szCs w:val="22"/>
          <w:lang w:val="en-US"/>
        </w:rPr>
        <w:t xml:space="preserve">), and Remaining Useful Life (RUL). The battery identifier enables differentiation between individual cells and supports grouped validation strategies. The cycle number represents cumulative aging progression, while voltage, current, and temperature capture operational stress conditions. Discharge capacity reflects the energy delivery capability of the battery and serves as the primary indicator of degradation. </w:t>
      </w:r>
      <w:proofErr w:type="spellStart"/>
      <w:r w:rsidRPr="00AF767F">
        <w:rPr>
          <w:rFonts w:eastAsiaTheme="minorEastAsia"/>
          <w:sz w:val="22"/>
          <w:szCs w:val="22"/>
          <w:lang w:val="en-US"/>
        </w:rPr>
        <w:t>SoH</w:t>
      </w:r>
      <w:proofErr w:type="spellEnd"/>
      <w:r w:rsidRPr="00AF767F">
        <w:rPr>
          <w:rFonts w:eastAsiaTheme="minorEastAsia"/>
          <w:sz w:val="22"/>
          <w:szCs w:val="22"/>
          <w:lang w:val="en-US"/>
        </w:rPr>
        <w:t xml:space="preserve"> and RUL are derived metrics that quantify health status and remaining lifetime, respectively.</w:t>
      </w:r>
    </w:p>
    <w:p w14:paraId="1F9447C2" w14:textId="69CD3DC1" w:rsidR="00AF767F" w:rsidRPr="00AF767F" w:rsidRDefault="00AF767F" w:rsidP="00AF767F">
      <w:pPr>
        <w:rPr>
          <w:rFonts w:eastAsiaTheme="minorEastAsia"/>
          <w:sz w:val="22"/>
          <w:szCs w:val="22"/>
          <w:lang w:val="en-US"/>
        </w:rPr>
      </w:pPr>
      <w:r w:rsidRPr="00AF767F">
        <w:rPr>
          <w:rFonts w:eastAsiaTheme="minorEastAsia"/>
          <w:sz w:val="22"/>
          <w:szCs w:val="22"/>
          <w:lang w:val="en-US"/>
        </w:rPr>
        <w:t>Although the dataset provides fundamental degradation variables, effective predictive modeling requires additional feature engineering to capture nonlinear aging patterns and operational variability.</w:t>
      </w:r>
    </w:p>
    <w:p w14:paraId="16919B98" w14:textId="77777777" w:rsidR="00AF767F" w:rsidRPr="00AF767F" w:rsidRDefault="00AF767F" w:rsidP="00AF767F">
      <w:pPr>
        <w:rPr>
          <w:rFonts w:eastAsiaTheme="minorEastAsia"/>
          <w:b/>
          <w:bCs/>
          <w:sz w:val="22"/>
          <w:szCs w:val="22"/>
          <w:lang w:val="en-US"/>
        </w:rPr>
      </w:pPr>
      <w:r w:rsidRPr="00AF767F">
        <w:rPr>
          <w:rFonts w:eastAsiaTheme="minorEastAsia"/>
          <w:b/>
          <w:bCs/>
          <w:sz w:val="22"/>
          <w:szCs w:val="22"/>
          <w:lang w:val="en-US"/>
        </w:rPr>
        <w:t>4.2 Feature Engineering Strategy</w:t>
      </w:r>
    </w:p>
    <w:p w14:paraId="6B0ADFF2"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To enhance predictive performance, structured feature engineering was performed, resulting in a total of 21 features used for model training. The engineered features were designed to represent electrical behavior, thermal conditions, degradation dynamics, and temporal progression.</w:t>
      </w:r>
    </w:p>
    <w:p w14:paraId="1B3E3CEE"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lastRenderedPageBreak/>
        <w:t>Capacity-based features were derived to model cumulative degradation trends. These included first-order capacity differences between consecutive cycles, rolling mean capacity values, and estimated degradation rates. Such transformations allow the models to capture both short-term fluctuations and long-term aging progression.</w:t>
      </w:r>
    </w:p>
    <w:p w14:paraId="3DB42D3C"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Voltage-based features such as mean voltage, variance, and trend indicators were included to reflect internal resistance evolution and electrochemical changes. Temperature-based features including average temperature, maximum temperature, and fluctuation metrics were incorporated to account for thermal stress effects, which are known to accelerate degradation mechanisms.</w:t>
      </w:r>
    </w:p>
    <w:p w14:paraId="4438282B"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Cycle-based transformations were also introduced to standardize degradation progression across batteries. These included normalized cycle index and percentage of life consumed, enabling improved generalization across cells with different total lifespans.</w:t>
      </w:r>
    </w:p>
    <w:p w14:paraId="2D635636" w14:textId="01C702F6" w:rsidR="00AF767F" w:rsidRPr="00AF767F" w:rsidRDefault="00AF767F" w:rsidP="00AF767F">
      <w:pPr>
        <w:rPr>
          <w:rFonts w:eastAsiaTheme="minorEastAsia"/>
          <w:sz w:val="22"/>
          <w:szCs w:val="22"/>
          <w:lang w:val="en-US"/>
        </w:rPr>
      </w:pPr>
      <w:r w:rsidRPr="00AF767F">
        <w:rPr>
          <w:rFonts w:eastAsiaTheme="minorEastAsia"/>
          <w:sz w:val="22"/>
          <w:szCs w:val="22"/>
          <w:lang w:val="en-US"/>
        </w:rPr>
        <w:t>The final feature matrix therefore captures degradation behavior from electrical, thermal, temporal, and capacity perspectives, providing a multidimensional representation suitable for nonlinear regression modeling.</w:t>
      </w:r>
    </w:p>
    <w:p w14:paraId="56EF1FDF" w14:textId="77777777" w:rsidR="00AF767F" w:rsidRPr="00AF767F" w:rsidRDefault="00AF767F" w:rsidP="00AF767F">
      <w:pPr>
        <w:rPr>
          <w:rFonts w:eastAsiaTheme="minorEastAsia"/>
          <w:b/>
          <w:bCs/>
          <w:sz w:val="22"/>
          <w:szCs w:val="22"/>
          <w:lang w:val="en-US"/>
        </w:rPr>
      </w:pPr>
      <w:r w:rsidRPr="00AF767F">
        <w:rPr>
          <w:rFonts w:eastAsiaTheme="minorEastAsia"/>
          <w:b/>
          <w:bCs/>
          <w:sz w:val="22"/>
          <w:szCs w:val="22"/>
          <w:lang w:val="en-US"/>
        </w:rPr>
        <w:t>4.3 Target Variable Formulation</w:t>
      </w:r>
    </w:p>
    <w:p w14:paraId="2EA68814"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State of Health (</w:t>
      </w:r>
      <w:proofErr w:type="spellStart"/>
      <w:r w:rsidRPr="00AF767F">
        <w:rPr>
          <w:rFonts w:eastAsiaTheme="minorEastAsia"/>
          <w:sz w:val="22"/>
          <w:szCs w:val="22"/>
          <w:lang w:val="en-US"/>
        </w:rPr>
        <w:t>SoH</w:t>
      </w:r>
      <w:proofErr w:type="spellEnd"/>
      <w:r w:rsidRPr="00AF767F">
        <w:rPr>
          <w:rFonts w:eastAsiaTheme="minorEastAsia"/>
          <w:sz w:val="22"/>
          <w:szCs w:val="22"/>
          <w:lang w:val="en-US"/>
        </w:rPr>
        <w:t>) was computed as the ratio between measured discharge capacity and nominal capacity:</w:t>
      </w:r>
    </w:p>
    <w:p w14:paraId="45BF277B" w14:textId="4AC955C8" w:rsidR="00AF767F" w:rsidRPr="00AF767F" w:rsidRDefault="00AF767F" w:rsidP="00AF767F">
      <w:pPr>
        <w:rPr>
          <w:rFonts w:eastAsiaTheme="minorEastAsia"/>
          <w:sz w:val="22"/>
          <w:szCs w:val="22"/>
          <w:lang w:val="en-US"/>
        </w:rPr>
      </w:pPr>
      <m:oMathPara>
        <m:oMath>
          <m:r>
            <w:rPr>
              <w:rFonts w:ascii="Cambria Math" w:eastAsiaTheme="minorEastAsia" w:hAnsi="Cambria Math"/>
              <w:sz w:val="22"/>
              <w:szCs w:val="22"/>
              <w:lang w:val="en-US"/>
            </w:rPr>
            <m:t>SoH(n)=</m:t>
          </m:r>
          <m:f>
            <m:fPr>
              <m:ctrlPr>
                <w:rPr>
                  <w:rFonts w:ascii="Cambria Math" w:eastAsiaTheme="minorEastAsia" w:hAnsi="Cambria Math"/>
                  <w:sz w:val="22"/>
                  <w:szCs w:val="22"/>
                  <w:lang w:val="en-US"/>
                </w:rPr>
              </m:ctrlPr>
            </m:fPr>
            <m:num>
              <m:r>
                <w:rPr>
                  <w:rFonts w:ascii="Cambria Math" w:eastAsiaTheme="minorEastAsia" w:hAnsi="Cambria Math"/>
                  <w:sz w:val="22"/>
                  <w:szCs w:val="22"/>
                  <w:lang w:val="en-US"/>
                </w:rPr>
                <m:t>C(n)</m:t>
              </m:r>
            </m:num>
            <m:den>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C</m:t>
                  </m:r>
                </m:e>
                <m:sub>
                  <m:r>
                    <w:rPr>
                      <w:rFonts w:ascii="Cambria Math" w:eastAsiaTheme="minorEastAsia" w:hAnsi="Cambria Math"/>
                      <w:sz w:val="22"/>
                      <w:szCs w:val="22"/>
                      <w:lang w:val="en-US"/>
                    </w:rPr>
                    <m:t>nominal</m:t>
                  </m:r>
                </m:sub>
              </m:sSub>
            </m:den>
          </m:f>
        </m:oMath>
      </m:oMathPara>
    </w:p>
    <w:p w14:paraId="515A66B6"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This normalization ensures comparability across battery units and expresses degradation as a dimensionless metric.</w:t>
      </w:r>
    </w:p>
    <w:p w14:paraId="14232378"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Remaining Useful Life (RUL) was defined as:</w:t>
      </w:r>
    </w:p>
    <w:p w14:paraId="4394A7B8" w14:textId="77777777" w:rsidR="00AF767F" w:rsidRDefault="00AF767F" w:rsidP="00AF767F">
      <w:pPr>
        <w:rPr>
          <w:rFonts w:eastAsiaTheme="minorEastAsia"/>
          <w:sz w:val="22"/>
          <w:szCs w:val="22"/>
          <w:lang w:val="en-US"/>
        </w:rPr>
      </w:pPr>
      <m:oMathPara>
        <m:oMath>
          <m:r>
            <w:rPr>
              <w:rFonts w:ascii="Cambria Math" w:eastAsiaTheme="minorEastAsia" w:hAnsi="Cambria Math"/>
              <w:sz w:val="22"/>
              <w:szCs w:val="22"/>
              <w:lang w:val="en-US"/>
            </w:rPr>
            <m:t>RUL(n)=</m:t>
          </m:r>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n</m:t>
              </m:r>
            </m:e>
            <m:sub>
              <m:r>
                <w:rPr>
                  <w:rFonts w:ascii="Cambria Math" w:eastAsiaTheme="minorEastAsia" w:hAnsi="Cambria Math"/>
                  <w:sz w:val="22"/>
                  <w:szCs w:val="22"/>
                  <w:lang w:val="en-US"/>
                </w:rPr>
                <m:t>EOL</m:t>
              </m:r>
            </m:sub>
          </m:sSub>
          <m:r>
            <w:rPr>
              <w:rFonts w:ascii="Cambria Math" w:eastAsiaTheme="minorEastAsia" w:hAnsi="Cambria Math"/>
              <w:sz w:val="22"/>
              <w:szCs w:val="22"/>
              <w:lang w:val="en-US"/>
            </w:rPr>
            <m:t>-n</m:t>
          </m:r>
          <m:r>
            <w:rPr>
              <w:rFonts w:eastAsiaTheme="minorEastAsia"/>
              <w:i/>
              <w:sz w:val="22"/>
              <w:szCs w:val="22"/>
              <w:lang w:val="en-US"/>
            </w:rPr>
            <w:br/>
          </m:r>
        </m:oMath>
      </m:oMathPara>
    </w:p>
    <w:p w14:paraId="62AA9A8B" w14:textId="1D724383" w:rsidR="00AF767F" w:rsidRPr="00AF767F" w:rsidRDefault="00AF767F" w:rsidP="00AF767F">
      <w:pPr>
        <w:rPr>
          <w:rFonts w:eastAsiaTheme="minorEastAsia"/>
          <w:sz w:val="22"/>
          <w:szCs w:val="22"/>
          <w:lang w:val="en-US"/>
        </w:rPr>
      </w:pPr>
      <w:r w:rsidRPr="00AF767F">
        <w:rPr>
          <w:rFonts w:eastAsiaTheme="minorEastAsia"/>
          <w:sz w:val="22"/>
          <w:szCs w:val="22"/>
          <w:lang w:val="en-US"/>
        </w:rPr>
        <w:t xml:space="preserve">where </w:t>
      </w:r>
      <m:oMath>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n</m:t>
            </m:r>
          </m:e>
          <m:sub>
            <m:r>
              <w:rPr>
                <w:rFonts w:ascii="Cambria Math" w:eastAsiaTheme="minorEastAsia" w:hAnsi="Cambria Math"/>
                <w:sz w:val="22"/>
                <w:szCs w:val="22"/>
                <w:lang w:val="en-US"/>
              </w:rPr>
              <m:t>EOL</m:t>
            </m:r>
          </m:sub>
        </m:sSub>
      </m:oMath>
      <w:r w:rsidRPr="00AF767F">
        <w:rPr>
          <w:rFonts w:eastAsiaTheme="minorEastAsia"/>
          <w:sz w:val="22"/>
          <w:szCs w:val="22"/>
          <w:lang w:val="en-US"/>
        </w:rPr>
        <w:t>represents the cycle at which the battery reaches its predefined end-of-life threshold, typically 80% of nominal capacity. This formulation enables forward-looking lifetime estimation.</w:t>
      </w:r>
    </w:p>
    <w:p w14:paraId="49B49F0F" w14:textId="77777777" w:rsidR="00AF767F" w:rsidRPr="00AF767F" w:rsidRDefault="00AF767F" w:rsidP="00AF767F">
      <w:pPr>
        <w:rPr>
          <w:rFonts w:eastAsiaTheme="minorEastAsia"/>
          <w:b/>
          <w:bCs/>
          <w:sz w:val="22"/>
          <w:szCs w:val="22"/>
          <w:lang w:val="en-US"/>
        </w:rPr>
      </w:pPr>
      <w:r w:rsidRPr="00AF767F">
        <w:rPr>
          <w:rFonts w:eastAsiaTheme="minorEastAsia"/>
          <w:b/>
          <w:bCs/>
          <w:sz w:val="22"/>
          <w:szCs w:val="22"/>
          <w:lang w:val="en-US"/>
        </w:rPr>
        <w:t>4.4 Feature Availability and Real-World Deployment Considerations</w:t>
      </w:r>
    </w:p>
    <w:p w14:paraId="3146D5EC" w14:textId="49325032" w:rsidR="00AF767F" w:rsidRPr="00AF767F" w:rsidRDefault="00AF767F" w:rsidP="00AF767F">
      <w:pPr>
        <w:rPr>
          <w:rFonts w:eastAsiaTheme="minorEastAsia"/>
          <w:sz w:val="22"/>
          <w:szCs w:val="22"/>
          <w:lang w:val="en-US"/>
        </w:rPr>
      </w:pPr>
      <w:r w:rsidRPr="00AF767F">
        <w:rPr>
          <w:rFonts w:eastAsiaTheme="minorEastAsia"/>
          <w:sz w:val="22"/>
          <w:szCs w:val="22"/>
          <w:lang w:val="en-US"/>
        </w:rPr>
        <w:t xml:space="preserve">To evaluate practical feasibility, a structured comparison was conducted between the features available in the NASA laboratory dataset and those obtainable in real-world electric vehicle (EV) systems. While the NASA dataset provides historical measurements collected under controlled experimental conditions, modern EV </w:t>
      </w:r>
      <w:r w:rsidRPr="00AF767F">
        <w:rPr>
          <w:rFonts w:eastAsiaTheme="minorEastAsia"/>
          <w:sz w:val="22"/>
          <w:szCs w:val="22"/>
          <w:lang w:val="en-US"/>
        </w:rPr>
        <w:t>architecture</w:t>
      </w:r>
      <w:r w:rsidRPr="00AF767F">
        <w:rPr>
          <w:rFonts w:eastAsiaTheme="minorEastAsia"/>
          <w:sz w:val="22"/>
          <w:szCs w:val="22"/>
          <w:lang w:val="en-US"/>
        </w:rPr>
        <w:t xml:space="preserve"> continuously </w:t>
      </w:r>
      <w:r w:rsidR="005F1B7D" w:rsidRPr="00AF767F">
        <w:rPr>
          <w:rFonts w:eastAsiaTheme="minorEastAsia"/>
          <w:sz w:val="22"/>
          <w:szCs w:val="22"/>
          <w:lang w:val="en-US"/>
        </w:rPr>
        <w:t>collects</w:t>
      </w:r>
      <w:r w:rsidRPr="00AF767F">
        <w:rPr>
          <w:rFonts w:eastAsiaTheme="minorEastAsia"/>
          <w:sz w:val="22"/>
          <w:szCs w:val="22"/>
          <w:lang w:val="en-US"/>
        </w:rPr>
        <w:t xml:space="preserve"> equivalent telemetry data through onboard Battery Management Systems (BMS).</w:t>
      </w:r>
    </w:p>
    <w:p w14:paraId="05897F8D"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 xml:space="preserve">Cycle number is tracked by the BMS cycle counter. Voltage and current are measured in real time using embedded electrical sensors. Temperature is monitored via thermistors integrated within battery modules. Charge and discharge capacity are estimated dynamically using coulomb </w:t>
      </w:r>
      <w:r w:rsidRPr="00AF767F">
        <w:rPr>
          <w:rFonts w:eastAsiaTheme="minorEastAsia"/>
          <w:sz w:val="22"/>
          <w:szCs w:val="22"/>
          <w:lang w:val="en-US"/>
        </w:rPr>
        <w:lastRenderedPageBreak/>
        <w:t>counting and current integration algorithms. Internal resistance can be approximated periodically using impedance monitoring methods. Timestamp information is generated by the embedded vehicle controller.</w:t>
      </w:r>
    </w:p>
    <w:p w14:paraId="06EEFC46" w14:textId="44DDD6DA" w:rsidR="00AF767F" w:rsidRPr="00AF767F" w:rsidRDefault="00AF767F" w:rsidP="00AF767F">
      <w:pPr>
        <w:rPr>
          <w:rFonts w:eastAsiaTheme="minorEastAsia"/>
          <w:sz w:val="22"/>
          <w:szCs w:val="22"/>
          <w:lang w:val="en-US"/>
        </w:rPr>
      </w:pPr>
      <w:r w:rsidRPr="00AF767F">
        <w:rPr>
          <w:rFonts w:eastAsiaTheme="minorEastAsia"/>
          <w:sz w:val="22"/>
          <w:szCs w:val="22"/>
          <w:lang w:val="en-US"/>
        </w:rPr>
        <w:t xml:space="preserve">These measurements are transmitted through the Controller Area Network (CAN) bus and can be stored either locally or </w:t>
      </w:r>
      <w:r w:rsidR="005F1B7D" w:rsidRPr="00AF767F">
        <w:rPr>
          <w:rFonts w:eastAsiaTheme="minorEastAsia"/>
          <w:sz w:val="22"/>
          <w:szCs w:val="22"/>
          <w:lang w:val="en-US"/>
        </w:rPr>
        <w:t>on</w:t>
      </w:r>
      <w:r w:rsidRPr="00AF767F">
        <w:rPr>
          <w:rFonts w:eastAsiaTheme="minorEastAsia"/>
          <w:sz w:val="22"/>
          <w:szCs w:val="22"/>
          <w:lang w:val="en-US"/>
        </w:rPr>
        <w:t xml:space="preserve"> cloud-based fleet management platforms. The alignment between the NASA dataset variables and real-world EV telemetry sources is summarized in Table 1.</w:t>
      </w:r>
    </w:p>
    <w:p w14:paraId="1950B7D0" w14:textId="5AA86396" w:rsidR="00AF767F" w:rsidRPr="00AF767F" w:rsidRDefault="00AF767F" w:rsidP="00AF767F">
      <w:pPr>
        <w:rPr>
          <w:rFonts w:eastAsiaTheme="minorEastAsia"/>
          <w:sz w:val="22"/>
          <w:szCs w:val="22"/>
          <w:lang w:val="en-US"/>
        </w:rPr>
      </w:pPr>
    </w:p>
    <w:p w14:paraId="48A86ABF" w14:textId="433D68D7" w:rsidR="00AF767F" w:rsidRPr="00AF767F" w:rsidRDefault="00AF767F" w:rsidP="00AF767F">
      <w:pPr>
        <w:rPr>
          <w:rFonts w:eastAsiaTheme="minorEastAsia"/>
          <w:b/>
          <w:bCs/>
          <w:sz w:val="22"/>
          <w:szCs w:val="22"/>
          <w:lang w:val="en-US"/>
        </w:rPr>
      </w:pPr>
      <w:r w:rsidRPr="00AF767F">
        <w:rPr>
          <w:rFonts w:eastAsiaTheme="minorEastAsia"/>
          <w:b/>
          <w:bCs/>
          <w:sz w:val="22"/>
          <w:szCs w:val="22"/>
          <w:lang w:val="en-US"/>
        </w:rPr>
        <w:t xml:space="preserve"> Feature Availability: NASA Dataset vs. Real-World EV Deployment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2288"/>
        <w:gridCol w:w="2720"/>
        <w:gridCol w:w="2554"/>
      </w:tblGrid>
      <w:tr w:rsidR="00AF767F" w:rsidRPr="00AF767F" w14:paraId="134218DD" w14:textId="77777777" w:rsidTr="00AF767F">
        <w:trPr>
          <w:tblHeader/>
          <w:tblCellSpacing w:w="15" w:type="dxa"/>
        </w:trPr>
        <w:tc>
          <w:tcPr>
            <w:tcW w:w="0" w:type="auto"/>
            <w:vAlign w:val="center"/>
            <w:hideMark/>
          </w:tcPr>
          <w:p w14:paraId="00140678" w14:textId="77777777" w:rsidR="00AF767F" w:rsidRPr="00AF767F" w:rsidRDefault="00AF767F" w:rsidP="00AF767F">
            <w:pPr>
              <w:rPr>
                <w:rFonts w:eastAsiaTheme="minorEastAsia"/>
                <w:b/>
                <w:bCs/>
                <w:sz w:val="22"/>
                <w:szCs w:val="22"/>
                <w:lang w:val="en-US"/>
              </w:rPr>
            </w:pPr>
            <w:r w:rsidRPr="00AF767F">
              <w:rPr>
                <w:rFonts w:eastAsiaTheme="minorEastAsia"/>
                <w:b/>
                <w:bCs/>
                <w:sz w:val="22"/>
                <w:szCs w:val="22"/>
                <w:lang w:val="en-US"/>
              </w:rPr>
              <w:t>Feature</w:t>
            </w:r>
          </w:p>
        </w:tc>
        <w:tc>
          <w:tcPr>
            <w:tcW w:w="0" w:type="auto"/>
            <w:vAlign w:val="center"/>
            <w:hideMark/>
          </w:tcPr>
          <w:p w14:paraId="1B48DE59" w14:textId="77777777" w:rsidR="00AF767F" w:rsidRPr="00AF767F" w:rsidRDefault="00AF767F" w:rsidP="00AF767F">
            <w:pPr>
              <w:rPr>
                <w:rFonts w:eastAsiaTheme="minorEastAsia"/>
                <w:b/>
                <w:bCs/>
                <w:sz w:val="22"/>
                <w:szCs w:val="22"/>
                <w:lang w:val="en-US"/>
              </w:rPr>
            </w:pPr>
            <w:r w:rsidRPr="00AF767F">
              <w:rPr>
                <w:rFonts w:eastAsiaTheme="minorEastAsia"/>
                <w:b/>
                <w:bCs/>
                <w:sz w:val="22"/>
                <w:szCs w:val="22"/>
                <w:lang w:val="en-US"/>
              </w:rPr>
              <w:t>Available in NASA Dataset</w:t>
            </w:r>
          </w:p>
        </w:tc>
        <w:tc>
          <w:tcPr>
            <w:tcW w:w="0" w:type="auto"/>
            <w:vAlign w:val="center"/>
            <w:hideMark/>
          </w:tcPr>
          <w:p w14:paraId="5586AB03" w14:textId="77777777" w:rsidR="00AF767F" w:rsidRPr="00AF767F" w:rsidRDefault="00AF767F" w:rsidP="00AF767F">
            <w:pPr>
              <w:rPr>
                <w:rFonts w:eastAsiaTheme="minorEastAsia"/>
                <w:b/>
                <w:bCs/>
                <w:sz w:val="22"/>
                <w:szCs w:val="22"/>
                <w:lang w:val="en-US"/>
              </w:rPr>
            </w:pPr>
            <w:r w:rsidRPr="00AF767F">
              <w:rPr>
                <w:rFonts w:eastAsiaTheme="minorEastAsia"/>
                <w:b/>
                <w:bCs/>
                <w:sz w:val="22"/>
                <w:szCs w:val="22"/>
                <w:lang w:val="en-US"/>
              </w:rPr>
              <w:t>Real-Time Availability in EV</w:t>
            </w:r>
          </w:p>
        </w:tc>
        <w:tc>
          <w:tcPr>
            <w:tcW w:w="0" w:type="auto"/>
            <w:vAlign w:val="center"/>
            <w:hideMark/>
          </w:tcPr>
          <w:p w14:paraId="2A5B7FC9" w14:textId="77777777" w:rsidR="00AF767F" w:rsidRPr="00AF767F" w:rsidRDefault="00AF767F" w:rsidP="00AF767F">
            <w:pPr>
              <w:rPr>
                <w:rFonts w:eastAsiaTheme="minorEastAsia"/>
                <w:b/>
                <w:bCs/>
                <w:sz w:val="22"/>
                <w:szCs w:val="22"/>
                <w:lang w:val="en-US"/>
              </w:rPr>
            </w:pPr>
            <w:r w:rsidRPr="00AF767F">
              <w:rPr>
                <w:rFonts w:eastAsiaTheme="minorEastAsia"/>
                <w:b/>
                <w:bCs/>
                <w:sz w:val="22"/>
                <w:szCs w:val="22"/>
                <w:lang w:val="en-US"/>
              </w:rPr>
              <w:t>Sensor / System Source</w:t>
            </w:r>
          </w:p>
        </w:tc>
      </w:tr>
      <w:tr w:rsidR="00AF767F" w:rsidRPr="00AF767F" w14:paraId="3992DB6B" w14:textId="77777777" w:rsidTr="00AF767F">
        <w:trPr>
          <w:tblCellSpacing w:w="15" w:type="dxa"/>
        </w:trPr>
        <w:tc>
          <w:tcPr>
            <w:tcW w:w="0" w:type="auto"/>
            <w:vAlign w:val="center"/>
            <w:hideMark/>
          </w:tcPr>
          <w:p w14:paraId="69C09DC4"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Cycle Number</w:t>
            </w:r>
          </w:p>
        </w:tc>
        <w:tc>
          <w:tcPr>
            <w:tcW w:w="0" w:type="auto"/>
            <w:vAlign w:val="center"/>
            <w:hideMark/>
          </w:tcPr>
          <w:p w14:paraId="1D714CFC"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Yes</w:t>
            </w:r>
          </w:p>
        </w:tc>
        <w:tc>
          <w:tcPr>
            <w:tcW w:w="0" w:type="auto"/>
            <w:vAlign w:val="center"/>
            <w:hideMark/>
          </w:tcPr>
          <w:p w14:paraId="1EA31ECA"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Calculated in real time</w:t>
            </w:r>
          </w:p>
        </w:tc>
        <w:tc>
          <w:tcPr>
            <w:tcW w:w="0" w:type="auto"/>
            <w:vAlign w:val="center"/>
            <w:hideMark/>
          </w:tcPr>
          <w:p w14:paraId="72E0EA8B"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BMS cycle counter</w:t>
            </w:r>
          </w:p>
        </w:tc>
      </w:tr>
      <w:tr w:rsidR="00AF767F" w:rsidRPr="00AF767F" w14:paraId="3F0E5290" w14:textId="77777777" w:rsidTr="00AF767F">
        <w:trPr>
          <w:tblCellSpacing w:w="15" w:type="dxa"/>
        </w:trPr>
        <w:tc>
          <w:tcPr>
            <w:tcW w:w="0" w:type="auto"/>
            <w:vAlign w:val="center"/>
            <w:hideMark/>
          </w:tcPr>
          <w:p w14:paraId="51F87AB3"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Voltage (V)</w:t>
            </w:r>
          </w:p>
        </w:tc>
        <w:tc>
          <w:tcPr>
            <w:tcW w:w="0" w:type="auto"/>
            <w:vAlign w:val="center"/>
            <w:hideMark/>
          </w:tcPr>
          <w:p w14:paraId="44881545"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Yes</w:t>
            </w:r>
          </w:p>
        </w:tc>
        <w:tc>
          <w:tcPr>
            <w:tcW w:w="0" w:type="auto"/>
            <w:vAlign w:val="center"/>
            <w:hideMark/>
          </w:tcPr>
          <w:p w14:paraId="33A4D5A7"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Real-time voltage reading</w:t>
            </w:r>
          </w:p>
        </w:tc>
        <w:tc>
          <w:tcPr>
            <w:tcW w:w="0" w:type="auto"/>
            <w:vAlign w:val="center"/>
            <w:hideMark/>
          </w:tcPr>
          <w:p w14:paraId="55A53C7C"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Voltage sensor</w:t>
            </w:r>
          </w:p>
        </w:tc>
      </w:tr>
      <w:tr w:rsidR="00AF767F" w:rsidRPr="00AF767F" w14:paraId="384BC3AB" w14:textId="77777777" w:rsidTr="00AF767F">
        <w:trPr>
          <w:tblCellSpacing w:w="15" w:type="dxa"/>
        </w:trPr>
        <w:tc>
          <w:tcPr>
            <w:tcW w:w="0" w:type="auto"/>
            <w:vAlign w:val="center"/>
            <w:hideMark/>
          </w:tcPr>
          <w:p w14:paraId="23823F46"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Current (A)</w:t>
            </w:r>
          </w:p>
        </w:tc>
        <w:tc>
          <w:tcPr>
            <w:tcW w:w="0" w:type="auto"/>
            <w:vAlign w:val="center"/>
            <w:hideMark/>
          </w:tcPr>
          <w:p w14:paraId="56C2158E"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Yes</w:t>
            </w:r>
          </w:p>
        </w:tc>
        <w:tc>
          <w:tcPr>
            <w:tcW w:w="0" w:type="auto"/>
            <w:vAlign w:val="center"/>
            <w:hideMark/>
          </w:tcPr>
          <w:p w14:paraId="6EC1BA1B"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Real-time current measurement</w:t>
            </w:r>
          </w:p>
        </w:tc>
        <w:tc>
          <w:tcPr>
            <w:tcW w:w="0" w:type="auto"/>
            <w:vAlign w:val="center"/>
            <w:hideMark/>
          </w:tcPr>
          <w:p w14:paraId="190D8FA1"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Current sensor</w:t>
            </w:r>
          </w:p>
        </w:tc>
      </w:tr>
      <w:tr w:rsidR="00AF767F" w:rsidRPr="00AF767F" w14:paraId="22EF0BCB" w14:textId="77777777" w:rsidTr="00AF767F">
        <w:trPr>
          <w:tblCellSpacing w:w="15" w:type="dxa"/>
        </w:trPr>
        <w:tc>
          <w:tcPr>
            <w:tcW w:w="0" w:type="auto"/>
            <w:vAlign w:val="center"/>
            <w:hideMark/>
          </w:tcPr>
          <w:p w14:paraId="4D9E4918"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Temperature (°C)</w:t>
            </w:r>
          </w:p>
        </w:tc>
        <w:tc>
          <w:tcPr>
            <w:tcW w:w="0" w:type="auto"/>
            <w:vAlign w:val="center"/>
            <w:hideMark/>
          </w:tcPr>
          <w:p w14:paraId="4C66EC9E"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Yes</w:t>
            </w:r>
          </w:p>
        </w:tc>
        <w:tc>
          <w:tcPr>
            <w:tcW w:w="0" w:type="auto"/>
            <w:vAlign w:val="center"/>
            <w:hideMark/>
          </w:tcPr>
          <w:p w14:paraId="23904D81"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Real-time monitoring</w:t>
            </w:r>
          </w:p>
        </w:tc>
        <w:tc>
          <w:tcPr>
            <w:tcW w:w="0" w:type="auto"/>
            <w:vAlign w:val="center"/>
            <w:hideMark/>
          </w:tcPr>
          <w:p w14:paraId="71FA1B1D"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Thermal sensor / Thermistor</w:t>
            </w:r>
          </w:p>
        </w:tc>
      </w:tr>
      <w:tr w:rsidR="00AF767F" w:rsidRPr="00AF767F" w14:paraId="65AD9D7B" w14:textId="77777777" w:rsidTr="00AF767F">
        <w:trPr>
          <w:tblCellSpacing w:w="15" w:type="dxa"/>
        </w:trPr>
        <w:tc>
          <w:tcPr>
            <w:tcW w:w="0" w:type="auto"/>
            <w:vAlign w:val="center"/>
            <w:hideMark/>
          </w:tcPr>
          <w:p w14:paraId="47A41FB8"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Charge Capacity</w:t>
            </w:r>
          </w:p>
        </w:tc>
        <w:tc>
          <w:tcPr>
            <w:tcW w:w="0" w:type="auto"/>
            <w:vAlign w:val="center"/>
            <w:hideMark/>
          </w:tcPr>
          <w:p w14:paraId="7E61BFCA"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Yes</w:t>
            </w:r>
          </w:p>
        </w:tc>
        <w:tc>
          <w:tcPr>
            <w:tcW w:w="0" w:type="auto"/>
            <w:vAlign w:val="center"/>
            <w:hideMark/>
          </w:tcPr>
          <w:p w14:paraId="0707A272"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Estimated dynamically</w:t>
            </w:r>
          </w:p>
        </w:tc>
        <w:tc>
          <w:tcPr>
            <w:tcW w:w="0" w:type="auto"/>
            <w:vAlign w:val="center"/>
            <w:hideMark/>
          </w:tcPr>
          <w:p w14:paraId="4AEF9ED8"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BMS (Coulomb counting)</w:t>
            </w:r>
          </w:p>
        </w:tc>
      </w:tr>
      <w:tr w:rsidR="00AF767F" w:rsidRPr="00AF767F" w14:paraId="0BA6A82D" w14:textId="77777777" w:rsidTr="00AF767F">
        <w:trPr>
          <w:tblCellSpacing w:w="15" w:type="dxa"/>
        </w:trPr>
        <w:tc>
          <w:tcPr>
            <w:tcW w:w="0" w:type="auto"/>
            <w:vAlign w:val="center"/>
            <w:hideMark/>
          </w:tcPr>
          <w:p w14:paraId="507F6FCB"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Discharge Capacity</w:t>
            </w:r>
          </w:p>
        </w:tc>
        <w:tc>
          <w:tcPr>
            <w:tcW w:w="0" w:type="auto"/>
            <w:vAlign w:val="center"/>
            <w:hideMark/>
          </w:tcPr>
          <w:p w14:paraId="43F09F1B"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Yes</w:t>
            </w:r>
          </w:p>
        </w:tc>
        <w:tc>
          <w:tcPr>
            <w:tcW w:w="0" w:type="auto"/>
            <w:vAlign w:val="center"/>
            <w:hideMark/>
          </w:tcPr>
          <w:p w14:paraId="011498EB"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Calculated per cycle</w:t>
            </w:r>
          </w:p>
        </w:tc>
        <w:tc>
          <w:tcPr>
            <w:tcW w:w="0" w:type="auto"/>
            <w:vAlign w:val="center"/>
            <w:hideMark/>
          </w:tcPr>
          <w:p w14:paraId="0E3B1523"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BMS</w:t>
            </w:r>
          </w:p>
        </w:tc>
      </w:tr>
      <w:tr w:rsidR="00AF767F" w:rsidRPr="00AF767F" w14:paraId="20411661" w14:textId="77777777" w:rsidTr="00AF767F">
        <w:trPr>
          <w:tblCellSpacing w:w="15" w:type="dxa"/>
        </w:trPr>
        <w:tc>
          <w:tcPr>
            <w:tcW w:w="0" w:type="auto"/>
            <w:vAlign w:val="center"/>
            <w:hideMark/>
          </w:tcPr>
          <w:p w14:paraId="138E77C4"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Internal Resistance</w:t>
            </w:r>
          </w:p>
        </w:tc>
        <w:tc>
          <w:tcPr>
            <w:tcW w:w="0" w:type="auto"/>
            <w:vAlign w:val="center"/>
            <w:hideMark/>
          </w:tcPr>
          <w:p w14:paraId="5B9558E1"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Yes</w:t>
            </w:r>
          </w:p>
        </w:tc>
        <w:tc>
          <w:tcPr>
            <w:tcW w:w="0" w:type="auto"/>
            <w:vAlign w:val="center"/>
            <w:hideMark/>
          </w:tcPr>
          <w:p w14:paraId="0B7F9A8D"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Estimated periodically</w:t>
            </w:r>
          </w:p>
        </w:tc>
        <w:tc>
          <w:tcPr>
            <w:tcW w:w="0" w:type="auto"/>
            <w:vAlign w:val="center"/>
            <w:hideMark/>
          </w:tcPr>
          <w:p w14:paraId="3958D71C"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Impedance monitoring system</w:t>
            </w:r>
          </w:p>
        </w:tc>
      </w:tr>
      <w:tr w:rsidR="00AF767F" w:rsidRPr="00AF767F" w14:paraId="7EF5AB70" w14:textId="77777777" w:rsidTr="00AF767F">
        <w:trPr>
          <w:tblCellSpacing w:w="15" w:type="dxa"/>
        </w:trPr>
        <w:tc>
          <w:tcPr>
            <w:tcW w:w="0" w:type="auto"/>
            <w:vAlign w:val="center"/>
            <w:hideMark/>
          </w:tcPr>
          <w:p w14:paraId="7C044C78"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Time / Timestamp</w:t>
            </w:r>
          </w:p>
        </w:tc>
        <w:tc>
          <w:tcPr>
            <w:tcW w:w="0" w:type="auto"/>
            <w:vAlign w:val="center"/>
            <w:hideMark/>
          </w:tcPr>
          <w:p w14:paraId="4BF69180"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Yes</w:t>
            </w:r>
          </w:p>
        </w:tc>
        <w:tc>
          <w:tcPr>
            <w:tcW w:w="0" w:type="auto"/>
            <w:vAlign w:val="center"/>
            <w:hideMark/>
          </w:tcPr>
          <w:p w14:paraId="4D38C9B8"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Generated continuously</w:t>
            </w:r>
          </w:p>
        </w:tc>
        <w:tc>
          <w:tcPr>
            <w:tcW w:w="0" w:type="auto"/>
            <w:vAlign w:val="center"/>
            <w:hideMark/>
          </w:tcPr>
          <w:p w14:paraId="169F791B" w14:textId="77777777" w:rsidR="00AF767F" w:rsidRPr="00AF767F" w:rsidRDefault="00AF767F" w:rsidP="00AF767F">
            <w:pPr>
              <w:rPr>
                <w:rFonts w:eastAsiaTheme="minorEastAsia"/>
                <w:sz w:val="22"/>
                <w:szCs w:val="22"/>
                <w:lang w:val="en-US"/>
              </w:rPr>
            </w:pPr>
            <w:r w:rsidRPr="00AF767F">
              <w:rPr>
                <w:rFonts w:eastAsiaTheme="minorEastAsia"/>
                <w:sz w:val="22"/>
                <w:szCs w:val="22"/>
                <w:lang w:val="en-US"/>
              </w:rPr>
              <w:t>Embedded controller</w:t>
            </w:r>
          </w:p>
        </w:tc>
      </w:tr>
    </w:tbl>
    <w:p w14:paraId="31BEF574" w14:textId="24FEB667" w:rsidR="00AF767F" w:rsidRPr="00AF767F" w:rsidRDefault="00AF767F" w:rsidP="00AF767F">
      <w:pPr>
        <w:rPr>
          <w:rFonts w:eastAsiaTheme="minorEastAsia"/>
          <w:sz w:val="22"/>
          <w:szCs w:val="22"/>
          <w:lang w:val="en-US"/>
        </w:rPr>
      </w:pPr>
    </w:p>
    <w:p w14:paraId="3D2DD9D4" w14:textId="38F32159" w:rsidR="009B32FD" w:rsidRDefault="00AF767F" w:rsidP="00AF767F">
      <w:pPr>
        <w:rPr>
          <w:rFonts w:eastAsiaTheme="minorEastAsia"/>
          <w:sz w:val="22"/>
          <w:szCs w:val="22"/>
          <w:lang w:val="en-US"/>
        </w:rPr>
      </w:pPr>
      <w:r w:rsidRPr="00AF767F">
        <w:rPr>
          <w:rFonts w:eastAsiaTheme="minorEastAsia"/>
          <w:sz w:val="22"/>
          <w:szCs w:val="22"/>
          <w:lang w:val="en-US"/>
        </w:rPr>
        <w:t>The comparison demonstrates that all primary and engineered features used in this study are obtainable in real-world EV systems through existing hardware and telemetry infrastructure. Therefore, the proposed machine learning framework is not limited to laboratory experimentation but is directly transferable to practical deployment scenarios, including onboard BMS modules, edge computing platforms, and cloud-based predictive maintenance systems.</w:t>
      </w:r>
    </w:p>
    <w:p w14:paraId="41944A04" w14:textId="77777777" w:rsidR="005F1B7D" w:rsidRDefault="005F1B7D" w:rsidP="00AF767F">
      <w:pPr>
        <w:rPr>
          <w:rFonts w:eastAsiaTheme="minorEastAsia"/>
          <w:sz w:val="22"/>
          <w:szCs w:val="22"/>
          <w:lang w:val="en-US"/>
        </w:rPr>
      </w:pPr>
    </w:p>
    <w:p w14:paraId="4E78760F" w14:textId="77777777" w:rsidR="005F1B7D" w:rsidRDefault="005F1B7D" w:rsidP="00AF767F">
      <w:pPr>
        <w:rPr>
          <w:rFonts w:eastAsiaTheme="minorEastAsia"/>
          <w:sz w:val="22"/>
          <w:szCs w:val="22"/>
          <w:lang w:val="en-US"/>
        </w:rPr>
      </w:pPr>
    </w:p>
    <w:p w14:paraId="01B65FD9" w14:textId="77777777" w:rsidR="005F1B7D" w:rsidRPr="005F1B7D" w:rsidRDefault="005F1B7D" w:rsidP="005F1B7D">
      <w:pPr>
        <w:rPr>
          <w:rFonts w:eastAsiaTheme="minorEastAsia"/>
          <w:b/>
          <w:bCs/>
          <w:sz w:val="22"/>
          <w:szCs w:val="22"/>
          <w:lang w:val="en-US"/>
        </w:rPr>
      </w:pPr>
      <w:r w:rsidRPr="005F1B7D">
        <w:rPr>
          <w:rFonts w:eastAsiaTheme="minorEastAsia"/>
          <w:b/>
          <w:bCs/>
          <w:sz w:val="22"/>
          <w:szCs w:val="22"/>
          <w:lang w:val="en-US"/>
        </w:rPr>
        <w:lastRenderedPageBreak/>
        <w:t>5. Model Evaluation Results</w:t>
      </w:r>
    </w:p>
    <w:p w14:paraId="4C87B2B1" w14:textId="77777777" w:rsidR="005F1B7D" w:rsidRPr="005F1B7D" w:rsidRDefault="005F1B7D" w:rsidP="005F1B7D">
      <w:pPr>
        <w:rPr>
          <w:rFonts w:eastAsiaTheme="minorEastAsia"/>
          <w:b/>
          <w:bCs/>
          <w:sz w:val="22"/>
          <w:szCs w:val="22"/>
          <w:lang w:val="en-US"/>
        </w:rPr>
      </w:pPr>
      <w:r w:rsidRPr="005F1B7D">
        <w:rPr>
          <w:rFonts w:eastAsiaTheme="minorEastAsia"/>
          <w:b/>
          <w:bCs/>
          <w:sz w:val="22"/>
          <w:szCs w:val="22"/>
          <w:lang w:val="en-US"/>
        </w:rPr>
        <w:t>5.1 Grouped Cross-Validation Performance</w:t>
      </w:r>
    </w:p>
    <w:p w14:paraId="0CDF0640"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 xml:space="preserve">Model performance was evaluated using five-fold </w:t>
      </w:r>
      <w:proofErr w:type="spellStart"/>
      <w:r w:rsidRPr="005F1B7D">
        <w:rPr>
          <w:rFonts w:eastAsiaTheme="minorEastAsia"/>
          <w:sz w:val="22"/>
          <w:szCs w:val="22"/>
          <w:lang w:val="en-US"/>
        </w:rPr>
        <w:t>GroupKFold</w:t>
      </w:r>
      <w:proofErr w:type="spellEnd"/>
      <w:r w:rsidRPr="005F1B7D">
        <w:rPr>
          <w:rFonts w:eastAsiaTheme="minorEastAsia"/>
          <w:sz w:val="22"/>
          <w:szCs w:val="22"/>
          <w:lang w:val="en-US"/>
        </w:rPr>
        <w:t xml:space="preserve"> cross-validation, where each fold contained distinct battery units to prevent data leakage across cycles of the same battery. This validation strategy ensures that models are evaluated on entirely unseen batteries, providing a realistic estimate of generalization performance.</w:t>
      </w:r>
    </w:p>
    <w:p w14:paraId="62FF767A"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Performance metrics included Root Mean Squared Error (RMSE) and the coefficient of determination (R²) for both State of Health (</w:t>
      </w:r>
      <w:proofErr w:type="spellStart"/>
      <w:r w:rsidRPr="005F1B7D">
        <w:rPr>
          <w:rFonts w:eastAsiaTheme="minorEastAsia"/>
          <w:sz w:val="22"/>
          <w:szCs w:val="22"/>
          <w:lang w:val="en-US"/>
        </w:rPr>
        <w:t>SoH</w:t>
      </w:r>
      <w:proofErr w:type="spellEnd"/>
      <w:r w:rsidRPr="005F1B7D">
        <w:rPr>
          <w:rFonts w:eastAsiaTheme="minorEastAsia"/>
          <w:sz w:val="22"/>
          <w:szCs w:val="22"/>
          <w:lang w:val="en-US"/>
        </w:rPr>
        <w:t>) and Remaining Useful Life (RUL). Lower RMSE values and higher R² values indicate better predictive performance.</w:t>
      </w:r>
    </w:p>
    <w:p w14:paraId="75114031" w14:textId="1C28B8AA" w:rsidR="005F1B7D" w:rsidRPr="005F1B7D" w:rsidRDefault="005F1B7D" w:rsidP="005F1B7D">
      <w:pPr>
        <w:rPr>
          <w:rFonts w:eastAsiaTheme="minorEastAsia"/>
          <w:sz w:val="22"/>
          <w:szCs w:val="22"/>
          <w:lang w:val="en-US"/>
        </w:rPr>
      </w:pPr>
      <w:r w:rsidRPr="005F1B7D">
        <w:rPr>
          <w:rFonts w:eastAsiaTheme="minorEastAsia"/>
          <w:sz w:val="22"/>
          <w:szCs w:val="22"/>
          <w:lang w:val="en-US"/>
        </w:rPr>
        <w:t xml:space="preserve">The average cross-validation results are summarized </w:t>
      </w:r>
      <w:r>
        <w:rPr>
          <w:rFonts w:eastAsiaTheme="minorEastAsia"/>
          <w:sz w:val="22"/>
          <w:szCs w:val="22"/>
          <w:lang w:val="en-US"/>
        </w:rPr>
        <w:t>as follows below:</w:t>
      </w:r>
    </w:p>
    <w:p w14:paraId="31D8813A" w14:textId="4371F78E" w:rsidR="005F1B7D" w:rsidRPr="005F1B7D" w:rsidRDefault="005F1B7D" w:rsidP="005F1B7D">
      <w:pPr>
        <w:rPr>
          <w:rFonts w:eastAsiaTheme="minorEastAsia"/>
          <w:b/>
          <w:bCs/>
          <w:sz w:val="22"/>
          <w:szCs w:val="22"/>
          <w:lang w:val="en-US"/>
        </w:rPr>
      </w:pPr>
      <w:r w:rsidRPr="005F1B7D">
        <w:rPr>
          <w:rFonts w:eastAsiaTheme="minorEastAsia"/>
          <w:b/>
          <w:bCs/>
          <w:sz w:val="22"/>
          <w:szCs w:val="22"/>
          <w:lang w:val="en-US"/>
        </w:rPr>
        <w:t xml:space="preserve"> Average 5-Fold Grouped Cross-Validation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1300"/>
        <w:gridCol w:w="941"/>
        <w:gridCol w:w="1285"/>
        <w:gridCol w:w="940"/>
      </w:tblGrid>
      <w:tr w:rsidR="005F1B7D" w:rsidRPr="005F1B7D" w14:paraId="69C1C44B" w14:textId="77777777" w:rsidTr="005F1B7D">
        <w:trPr>
          <w:tblHeader/>
          <w:tblCellSpacing w:w="15" w:type="dxa"/>
        </w:trPr>
        <w:tc>
          <w:tcPr>
            <w:tcW w:w="0" w:type="auto"/>
            <w:vAlign w:val="center"/>
            <w:hideMark/>
          </w:tcPr>
          <w:p w14:paraId="59E2576D" w14:textId="77777777" w:rsidR="005F1B7D" w:rsidRPr="005F1B7D" w:rsidRDefault="005F1B7D" w:rsidP="005F1B7D">
            <w:pPr>
              <w:rPr>
                <w:rFonts w:eastAsiaTheme="minorEastAsia"/>
                <w:b/>
                <w:bCs/>
                <w:sz w:val="22"/>
                <w:szCs w:val="22"/>
                <w:lang w:val="en-US"/>
              </w:rPr>
            </w:pPr>
            <w:r w:rsidRPr="005F1B7D">
              <w:rPr>
                <w:rFonts w:eastAsiaTheme="minorEastAsia"/>
                <w:b/>
                <w:bCs/>
                <w:sz w:val="22"/>
                <w:szCs w:val="22"/>
                <w:lang w:val="en-US"/>
              </w:rPr>
              <w:t>Model</w:t>
            </w:r>
          </w:p>
        </w:tc>
        <w:tc>
          <w:tcPr>
            <w:tcW w:w="0" w:type="auto"/>
            <w:vAlign w:val="center"/>
            <w:hideMark/>
          </w:tcPr>
          <w:p w14:paraId="5B40C3C4" w14:textId="77777777" w:rsidR="005F1B7D" w:rsidRPr="005F1B7D" w:rsidRDefault="005F1B7D" w:rsidP="005F1B7D">
            <w:pPr>
              <w:rPr>
                <w:rFonts w:eastAsiaTheme="minorEastAsia"/>
                <w:b/>
                <w:bCs/>
                <w:sz w:val="22"/>
                <w:szCs w:val="22"/>
                <w:lang w:val="en-US"/>
              </w:rPr>
            </w:pPr>
            <w:proofErr w:type="spellStart"/>
            <w:r w:rsidRPr="005F1B7D">
              <w:rPr>
                <w:rFonts w:eastAsiaTheme="minorEastAsia"/>
                <w:b/>
                <w:bCs/>
                <w:sz w:val="22"/>
                <w:szCs w:val="22"/>
                <w:lang w:val="en-US"/>
              </w:rPr>
              <w:t>SoH</w:t>
            </w:r>
            <w:proofErr w:type="spellEnd"/>
            <w:r w:rsidRPr="005F1B7D">
              <w:rPr>
                <w:rFonts w:eastAsiaTheme="minorEastAsia"/>
                <w:b/>
                <w:bCs/>
                <w:sz w:val="22"/>
                <w:szCs w:val="22"/>
                <w:lang w:val="en-US"/>
              </w:rPr>
              <w:t xml:space="preserve"> RMSE ↓</w:t>
            </w:r>
          </w:p>
        </w:tc>
        <w:tc>
          <w:tcPr>
            <w:tcW w:w="0" w:type="auto"/>
            <w:vAlign w:val="center"/>
            <w:hideMark/>
          </w:tcPr>
          <w:p w14:paraId="5EA327DE" w14:textId="77777777" w:rsidR="005F1B7D" w:rsidRPr="005F1B7D" w:rsidRDefault="005F1B7D" w:rsidP="005F1B7D">
            <w:pPr>
              <w:rPr>
                <w:rFonts w:eastAsiaTheme="minorEastAsia"/>
                <w:b/>
                <w:bCs/>
                <w:sz w:val="22"/>
                <w:szCs w:val="22"/>
                <w:lang w:val="en-US"/>
              </w:rPr>
            </w:pPr>
            <w:proofErr w:type="spellStart"/>
            <w:r w:rsidRPr="005F1B7D">
              <w:rPr>
                <w:rFonts w:eastAsiaTheme="minorEastAsia"/>
                <w:b/>
                <w:bCs/>
                <w:sz w:val="22"/>
                <w:szCs w:val="22"/>
                <w:lang w:val="en-US"/>
              </w:rPr>
              <w:t>SoH</w:t>
            </w:r>
            <w:proofErr w:type="spellEnd"/>
            <w:r w:rsidRPr="005F1B7D">
              <w:rPr>
                <w:rFonts w:eastAsiaTheme="minorEastAsia"/>
                <w:b/>
                <w:bCs/>
                <w:sz w:val="22"/>
                <w:szCs w:val="22"/>
                <w:lang w:val="en-US"/>
              </w:rPr>
              <w:t xml:space="preserve"> R² ↑</w:t>
            </w:r>
          </w:p>
        </w:tc>
        <w:tc>
          <w:tcPr>
            <w:tcW w:w="0" w:type="auto"/>
            <w:vAlign w:val="center"/>
            <w:hideMark/>
          </w:tcPr>
          <w:p w14:paraId="343D5E8B" w14:textId="77777777" w:rsidR="005F1B7D" w:rsidRPr="005F1B7D" w:rsidRDefault="005F1B7D" w:rsidP="005F1B7D">
            <w:pPr>
              <w:rPr>
                <w:rFonts w:eastAsiaTheme="minorEastAsia"/>
                <w:b/>
                <w:bCs/>
                <w:sz w:val="22"/>
                <w:szCs w:val="22"/>
                <w:lang w:val="en-US"/>
              </w:rPr>
            </w:pPr>
            <w:r w:rsidRPr="005F1B7D">
              <w:rPr>
                <w:rFonts w:eastAsiaTheme="minorEastAsia"/>
                <w:b/>
                <w:bCs/>
                <w:sz w:val="22"/>
                <w:szCs w:val="22"/>
                <w:lang w:val="en-US"/>
              </w:rPr>
              <w:t>RUL RMSE ↓</w:t>
            </w:r>
          </w:p>
        </w:tc>
        <w:tc>
          <w:tcPr>
            <w:tcW w:w="0" w:type="auto"/>
            <w:vAlign w:val="center"/>
            <w:hideMark/>
          </w:tcPr>
          <w:p w14:paraId="3160CDBE" w14:textId="77777777" w:rsidR="005F1B7D" w:rsidRPr="005F1B7D" w:rsidRDefault="005F1B7D" w:rsidP="005F1B7D">
            <w:pPr>
              <w:rPr>
                <w:rFonts w:eastAsiaTheme="minorEastAsia"/>
                <w:b/>
                <w:bCs/>
                <w:sz w:val="22"/>
                <w:szCs w:val="22"/>
                <w:lang w:val="en-US"/>
              </w:rPr>
            </w:pPr>
            <w:r w:rsidRPr="005F1B7D">
              <w:rPr>
                <w:rFonts w:eastAsiaTheme="minorEastAsia"/>
                <w:b/>
                <w:bCs/>
                <w:sz w:val="22"/>
                <w:szCs w:val="22"/>
                <w:lang w:val="en-US"/>
              </w:rPr>
              <w:t>RUL R² ↑</w:t>
            </w:r>
          </w:p>
        </w:tc>
      </w:tr>
      <w:tr w:rsidR="005F1B7D" w:rsidRPr="005F1B7D" w14:paraId="6C04B14D" w14:textId="77777777" w:rsidTr="005F1B7D">
        <w:trPr>
          <w:tblCellSpacing w:w="15" w:type="dxa"/>
        </w:trPr>
        <w:tc>
          <w:tcPr>
            <w:tcW w:w="0" w:type="auto"/>
            <w:vAlign w:val="center"/>
            <w:hideMark/>
          </w:tcPr>
          <w:p w14:paraId="49945C05"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Linear Regression</w:t>
            </w:r>
          </w:p>
        </w:tc>
        <w:tc>
          <w:tcPr>
            <w:tcW w:w="0" w:type="auto"/>
            <w:vAlign w:val="center"/>
            <w:hideMark/>
          </w:tcPr>
          <w:p w14:paraId="5B9AFF6F"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0.1079</w:t>
            </w:r>
          </w:p>
        </w:tc>
        <w:tc>
          <w:tcPr>
            <w:tcW w:w="0" w:type="auto"/>
            <w:vAlign w:val="center"/>
            <w:hideMark/>
          </w:tcPr>
          <w:p w14:paraId="64463A6F"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-0.0904</w:t>
            </w:r>
          </w:p>
        </w:tc>
        <w:tc>
          <w:tcPr>
            <w:tcW w:w="0" w:type="auto"/>
            <w:vAlign w:val="center"/>
            <w:hideMark/>
          </w:tcPr>
          <w:p w14:paraId="753CB0DA"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42.8253</w:t>
            </w:r>
          </w:p>
        </w:tc>
        <w:tc>
          <w:tcPr>
            <w:tcW w:w="0" w:type="auto"/>
            <w:vAlign w:val="center"/>
            <w:hideMark/>
          </w:tcPr>
          <w:p w14:paraId="3459970E"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-0.5953</w:t>
            </w:r>
          </w:p>
        </w:tc>
      </w:tr>
      <w:tr w:rsidR="005F1B7D" w:rsidRPr="005F1B7D" w14:paraId="4EC5F963" w14:textId="77777777" w:rsidTr="005F1B7D">
        <w:trPr>
          <w:tblCellSpacing w:w="15" w:type="dxa"/>
        </w:trPr>
        <w:tc>
          <w:tcPr>
            <w:tcW w:w="0" w:type="auto"/>
            <w:vAlign w:val="center"/>
            <w:hideMark/>
          </w:tcPr>
          <w:p w14:paraId="0B12C02D"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Random Forest</w:t>
            </w:r>
          </w:p>
        </w:tc>
        <w:tc>
          <w:tcPr>
            <w:tcW w:w="0" w:type="auto"/>
            <w:vAlign w:val="center"/>
            <w:hideMark/>
          </w:tcPr>
          <w:p w14:paraId="696332B8"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0.0916</w:t>
            </w:r>
          </w:p>
        </w:tc>
        <w:tc>
          <w:tcPr>
            <w:tcW w:w="0" w:type="auto"/>
            <w:vAlign w:val="center"/>
            <w:hideMark/>
          </w:tcPr>
          <w:p w14:paraId="1D9DBBC6"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0.1547</w:t>
            </w:r>
          </w:p>
        </w:tc>
        <w:tc>
          <w:tcPr>
            <w:tcW w:w="0" w:type="auto"/>
            <w:vAlign w:val="center"/>
            <w:hideMark/>
          </w:tcPr>
          <w:p w14:paraId="4739693B"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28.4258</w:t>
            </w:r>
          </w:p>
        </w:tc>
        <w:tc>
          <w:tcPr>
            <w:tcW w:w="0" w:type="auto"/>
            <w:vAlign w:val="center"/>
            <w:hideMark/>
          </w:tcPr>
          <w:p w14:paraId="0086CF29"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0.4402</w:t>
            </w:r>
          </w:p>
        </w:tc>
      </w:tr>
      <w:tr w:rsidR="005F1B7D" w:rsidRPr="005F1B7D" w14:paraId="756EE6E8" w14:textId="77777777" w:rsidTr="005F1B7D">
        <w:trPr>
          <w:tblCellSpacing w:w="15" w:type="dxa"/>
        </w:trPr>
        <w:tc>
          <w:tcPr>
            <w:tcW w:w="0" w:type="auto"/>
            <w:vAlign w:val="center"/>
            <w:hideMark/>
          </w:tcPr>
          <w:p w14:paraId="1BFD2C3A"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SVR (Tuned)</w:t>
            </w:r>
          </w:p>
        </w:tc>
        <w:tc>
          <w:tcPr>
            <w:tcW w:w="0" w:type="auto"/>
            <w:vAlign w:val="center"/>
            <w:hideMark/>
          </w:tcPr>
          <w:p w14:paraId="5A96632B" w14:textId="77777777" w:rsidR="005F1B7D" w:rsidRPr="005F1B7D" w:rsidRDefault="005F1B7D" w:rsidP="005F1B7D">
            <w:pPr>
              <w:rPr>
                <w:rFonts w:eastAsiaTheme="minorEastAsia"/>
                <w:sz w:val="22"/>
                <w:szCs w:val="22"/>
                <w:lang w:val="en-US"/>
              </w:rPr>
            </w:pPr>
            <w:r w:rsidRPr="005F1B7D">
              <w:rPr>
                <w:rFonts w:eastAsiaTheme="minorEastAsia"/>
                <w:b/>
                <w:bCs/>
                <w:sz w:val="22"/>
                <w:szCs w:val="22"/>
                <w:lang w:val="en-US"/>
              </w:rPr>
              <w:t>0.0788</w:t>
            </w:r>
          </w:p>
        </w:tc>
        <w:tc>
          <w:tcPr>
            <w:tcW w:w="0" w:type="auto"/>
            <w:vAlign w:val="center"/>
            <w:hideMark/>
          </w:tcPr>
          <w:p w14:paraId="56674801" w14:textId="77777777" w:rsidR="005F1B7D" w:rsidRPr="005F1B7D" w:rsidRDefault="005F1B7D" w:rsidP="005F1B7D">
            <w:pPr>
              <w:rPr>
                <w:rFonts w:eastAsiaTheme="minorEastAsia"/>
                <w:sz w:val="22"/>
                <w:szCs w:val="22"/>
                <w:lang w:val="en-US"/>
              </w:rPr>
            </w:pPr>
            <w:r w:rsidRPr="005F1B7D">
              <w:rPr>
                <w:rFonts w:eastAsiaTheme="minorEastAsia"/>
                <w:b/>
                <w:bCs/>
                <w:sz w:val="22"/>
                <w:szCs w:val="22"/>
                <w:lang w:val="en-US"/>
              </w:rPr>
              <w:t>0.4455</w:t>
            </w:r>
          </w:p>
        </w:tc>
        <w:tc>
          <w:tcPr>
            <w:tcW w:w="0" w:type="auto"/>
            <w:vAlign w:val="center"/>
            <w:hideMark/>
          </w:tcPr>
          <w:p w14:paraId="534230F8" w14:textId="77777777" w:rsidR="005F1B7D" w:rsidRPr="005F1B7D" w:rsidRDefault="005F1B7D" w:rsidP="005F1B7D">
            <w:pPr>
              <w:rPr>
                <w:rFonts w:eastAsiaTheme="minorEastAsia"/>
                <w:sz w:val="22"/>
                <w:szCs w:val="22"/>
                <w:lang w:val="en-US"/>
              </w:rPr>
            </w:pPr>
            <w:r w:rsidRPr="005F1B7D">
              <w:rPr>
                <w:rFonts w:eastAsiaTheme="minorEastAsia"/>
                <w:b/>
                <w:bCs/>
                <w:sz w:val="22"/>
                <w:szCs w:val="22"/>
                <w:lang w:val="en-US"/>
              </w:rPr>
              <w:t>26.1291</w:t>
            </w:r>
          </w:p>
        </w:tc>
        <w:tc>
          <w:tcPr>
            <w:tcW w:w="0" w:type="auto"/>
            <w:vAlign w:val="center"/>
            <w:hideMark/>
          </w:tcPr>
          <w:p w14:paraId="2D5D756F" w14:textId="77777777" w:rsidR="005F1B7D" w:rsidRPr="005F1B7D" w:rsidRDefault="005F1B7D" w:rsidP="005F1B7D">
            <w:pPr>
              <w:rPr>
                <w:rFonts w:eastAsiaTheme="minorEastAsia"/>
                <w:sz w:val="22"/>
                <w:szCs w:val="22"/>
                <w:lang w:val="en-US"/>
              </w:rPr>
            </w:pPr>
            <w:r w:rsidRPr="005F1B7D">
              <w:rPr>
                <w:rFonts w:eastAsiaTheme="minorEastAsia"/>
                <w:b/>
                <w:bCs/>
                <w:sz w:val="22"/>
                <w:szCs w:val="22"/>
                <w:lang w:val="en-US"/>
              </w:rPr>
              <w:t>0.5241</w:t>
            </w:r>
          </w:p>
        </w:tc>
      </w:tr>
      <w:tr w:rsidR="005F1B7D" w:rsidRPr="005F1B7D" w14:paraId="0BBBCAD9" w14:textId="77777777" w:rsidTr="005F1B7D">
        <w:trPr>
          <w:tblCellSpacing w:w="15" w:type="dxa"/>
        </w:trPr>
        <w:tc>
          <w:tcPr>
            <w:tcW w:w="0" w:type="auto"/>
            <w:vAlign w:val="center"/>
            <w:hideMark/>
          </w:tcPr>
          <w:p w14:paraId="3A9D4C57" w14:textId="77777777" w:rsidR="005F1B7D" w:rsidRPr="005F1B7D" w:rsidRDefault="005F1B7D" w:rsidP="005F1B7D">
            <w:pPr>
              <w:rPr>
                <w:rFonts w:eastAsiaTheme="minorEastAsia"/>
                <w:sz w:val="22"/>
                <w:szCs w:val="22"/>
                <w:lang w:val="en-US"/>
              </w:rPr>
            </w:pPr>
            <w:proofErr w:type="spellStart"/>
            <w:r w:rsidRPr="005F1B7D">
              <w:rPr>
                <w:rFonts w:eastAsiaTheme="minorEastAsia"/>
                <w:sz w:val="22"/>
                <w:szCs w:val="22"/>
                <w:lang w:val="en-US"/>
              </w:rPr>
              <w:t>XGBoost</w:t>
            </w:r>
            <w:proofErr w:type="spellEnd"/>
          </w:p>
        </w:tc>
        <w:tc>
          <w:tcPr>
            <w:tcW w:w="0" w:type="auto"/>
            <w:vAlign w:val="center"/>
            <w:hideMark/>
          </w:tcPr>
          <w:p w14:paraId="3F867B66"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0.0909</w:t>
            </w:r>
          </w:p>
        </w:tc>
        <w:tc>
          <w:tcPr>
            <w:tcW w:w="0" w:type="auto"/>
            <w:vAlign w:val="center"/>
            <w:hideMark/>
          </w:tcPr>
          <w:p w14:paraId="2538D112"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0.1659</w:t>
            </w:r>
          </w:p>
        </w:tc>
        <w:tc>
          <w:tcPr>
            <w:tcW w:w="0" w:type="auto"/>
            <w:vAlign w:val="center"/>
            <w:hideMark/>
          </w:tcPr>
          <w:p w14:paraId="0FB9714A"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28.8278</w:t>
            </w:r>
          </w:p>
        </w:tc>
        <w:tc>
          <w:tcPr>
            <w:tcW w:w="0" w:type="auto"/>
            <w:vAlign w:val="center"/>
            <w:hideMark/>
          </w:tcPr>
          <w:p w14:paraId="583BDDE0"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0.4273</w:t>
            </w:r>
          </w:p>
        </w:tc>
      </w:tr>
    </w:tbl>
    <w:p w14:paraId="3E618C99" w14:textId="09A92ECD" w:rsidR="005F1B7D" w:rsidRPr="005F1B7D" w:rsidRDefault="005F1B7D" w:rsidP="005F1B7D">
      <w:pPr>
        <w:rPr>
          <w:rFonts w:eastAsiaTheme="minorEastAsia"/>
          <w:sz w:val="22"/>
          <w:szCs w:val="22"/>
          <w:lang w:val="en-US"/>
        </w:rPr>
      </w:pPr>
    </w:p>
    <w:p w14:paraId="3F5B920A"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 xml:space="preserve">Linear Regression demonstrated limited predictive capability, producing negative R² values for both </w:t>
      </w:r>
      <w:proofErr w:type="spellStart"/>
      <w:r w:rsidRPr="005F1B7D">
        <w:rPr>
          <w:rFonts w:eastAsiaTheme="minorEastAsia"/>
          <w:sz w:val="22"/>
          <w:szCs w:val="22"/>
          <w:lang w:val="en-US"/>
        </w:rPr>
        <w:t>SoH</w:t>
      </w:r>
      <w:proofErr w:type="spellEnd"/>
      <w:r w:rsidRPr="005F1B7D">
        <w:rPr>
          <w:rFonts w:eastAsiaTheme="minorEastAsia"/>
          <w:sz w:val="22"/>
          <w:szCs w:val="22"/>
          <w:lang w:val="en-US"/>
        </w:rPr>
        <w:t xml:space="preserve"> and RUL. This indicates that linear assumptions are insufficient for modeling the nonlinear degradation behavior of lithium-ion batteries.</w:t>
      </w:r>
    </w:p>
    <w:p w14:paraId="36FE55E9"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 xml:space="preserve">Random Forest significantly improved performance, achieving a </w:t>
      </w:r>
      <w:proofErr w:type="spellStart"/>
      <w:r w:rsidRPr="005F1B7D">
        <w:rPr>
          <w:rFonts w:eastAsiaTheme="minorEastAsia"/>
          <w:sz w:val="22"/>
          <w:szCs w:val="22"/>
          <w:lang w:val="en-US"/>
        </w:rPr>
        <w:t>SoH</w:t>
      </w:r>
      <w:proofErr w:type="spellEnd"/>
      <w:r w:rsidRPr="005F1B7D">
        <w:rPr>
          <w:rFonts w:eastAsiaTheme="minorEastAsia"/>
          <w:sz w:val="22"/>
          <w:szCs w:val="22"/>
          <w:lang w:val="en-US"/>
        </w:rPr>
        <w:t xml:space="preserve"> RMSE of 0.0916 and an R² of 0.1547. For RUL prediction, Random Forest reduced the RMSE to 28.4258 with an R² of 0.4402, demonstrating the benefit of nonlinear ensemble modeling.</w:t>
      </w:r>
    </w:p>
    <w:p w14:paraId="5632A209"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 xml:space="preserve">The tuned Support Vector Regression (SVR) model achieved the strongest overall performance. For </w:t>
      </w:r>
      <w:proofErr w:type="spellStart"/>
      <w:r w:rsidRPr="005F1B7D">
        <w:rPr>
          <w:rFonts w:eastAsiaTheme="minorEastAsia"/>
          <w:sz w:val="22"/>
          <w:szCs w:val="22"/>
          <w:lang w:val="en-US"/>
        </w:rPr>
        <w:t>SoH</w:t>
      </w:r>
      <w:proofErr w:type="spellEnd"/>
      <w:r w:rsidRPr="005F1B7D">
        <w:rPr>
          <w:rFonts w:eastAsiaTheme="minorEastAsia"/>
          <w:sz w:val="22"/>
          <w:szCs w:val="22"/>
          <w:lang w:val="en-US"/>
        </w:rPr>
        <w:t xml:space="preserve"> prediction, SVR obtained an RMSE of 0.0788 and an R² of 0.4455. For RUL prediction, the model achieved an RMSE of 26.1291 and an R² of 0.5241. These results indicate superior cross-battery generalization and confirm that kernel-based nonlinear regression effectively captures degradation dynamics.</w:t>
      </w:r>
    </w:p>
    <w:p w14:paraId="6F7F1DAA" w14:textId="77777777" w:rsidR="005F1B7D" w:rsidRPr="005F1B7D" w:rsidRDefault="005F1B7D" w:rsidP="005F1B7D">
      <w:pPr>
        <w:rPr>
          <w:rFonts w:eastAsiaTheme="minorEastAsia"/>
          <w:sz w:val="22"/>
          <w:szCs w:val="22"/>
          <w:lang w:val="en-US"/>
        </w:rPr>
      </w:pPr>
      <w:proofErr w:type="spellStart"/>
      <w:r w:rsidRPr="005F1B7D">
        <w:rPr>
          <w:rFonts w:eastAsiaTheme="minorEastAsia"/>
          <w:sz w:val="22"/>
          <w:szCs w:val="22"/>
          <w:lang w:val="en-US"/>
        </w:rPr>
        <w:t>XGBoost</w:t>
      </w:r>
      <w:proofErr w:type="spellEnd"/>
      <w:r w:rsidRPr="005F1B7D">
        <w:rPr>
          <w:rFonts w:eastAsiaTheme="minorEastAsia"/>
          <w:sz w:val="22"/>
          <w:szCs w:val="22"/>
          <w:lang w:val="en-US"/>
        </w:rPr>
        <w:t xml:space="preserve"> achieved competitive but slightly lower performance than SVR. While boosting methods are powerful for structured datasets, in this study the tuned SVR model demonstrated more stable performance under grouped validation.</w:t>
      </w:r>
    </w:p>
    <w:p w14:paraId="7AA20042"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lastRenderedPageBreak/>
        <w:t>Overall, the results confirm that nonlinear machine learning models substantially outperform linear regression for battery health prediction tasks.</w:t>
      </w:r>
    </w:p>
    <w:p w14:paraId="33F0EDC5" w14:textId="3A751C68" w:rsidR="005F1B7D" w:rsidRPr="005F1B7D" w:rsidRDefault="005F1B7D" w:rsidP="005F1B7D">
      <w:pPr>
        <w:rPr>
          <w:rFonts w:eastAsiaTheme="minorEastAsia"/>
          <w:sz w:val="22"/>
          <w:szCs w:val="22"/>
          <w:lang w:val="en-US"/>
        </w:rPr>
      </w:pPr>
    </w:p>
    <w:p w14:paraId="3CDE79E8" w14:textId="77777777" w:rsidR="005F1B7D" w:rsidRPr="005F1B7D" w:rsidRDefault="005F1B7D" w:rsidP="005F1B7D">
      <w:pPr>
        <w:rPr>
          <w:rFonts w:eastAsiaTheme="minorEastAsia"/>
          <w:b/>
          <w:bCs/>
          <w:sz w:val="22"/>
          <w:szCs w:val="22"/>
          <w:lang w:val="en-US"/>
        </w:rPr>
      </w:pPr>
      <w:r w:rsidRPr="005F1B7D">
        <w:rPr>
          <w:rFonts w:eastAsiaTheme="minorEastAsia"/>
          <w:b/>
          <w:bCs/>
          <w:sz w:val="22"/>
          <w:szCs w:val="22"/>
          <w:lang w:val="en-US"/>
        </w:rPr>
        <w:t>5.2 Comparison with Reference Exponential Model</w:t>
      </w:r>
    </w:p>
    <w:p w14:paraId="3DF77CDE"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 xml:space="preserve">The referenced exponential degradation model reported a </w:t>
      </w:r>
      <w:proofErr w:type="spellStart"/>
      <w:r w:rsidRPr="005F1B7D">
        <w:rPr>
          <w:rFonts w:eastAsiaTheme="minorEastAsia"/>
          <w:sz w:val="22"/>
          <w:szCs w:val="22"/>
          <w:lang w:val="en-US"/>
        </w:rPr>
        <w:t>SoH</w:t>
      </w:r>
      <w:proofErr w:type="spellEnd"/>
      <w:r w:rsidRPr="005F1B7D">
        <w:rPr>
          <w:rFonts w:eastAsiaTheme="minorEastAsia"/>
          <w:sz w:val="22"/>
          <w:szCs w:val="22"/>
          <w:lang w:val="en-US"/>
        </w:rPr>
        <w:t xml:space="preserve"> Mean Squared Error (MSE) of 0.091 and a Mean Absolute Error (MAE) of 0.236.</w:t>
      </w:r>
    </w:p>
    <w:p w14:paraId="07674B63" w14:textId="77777777" w:rsidR="005F1B7D" w:rsidRDefault="005F1B7D" w:rsidP="005F1B7D">
      <w:pPr>
        <w:rPr>
          <w:rFonts w:eastAsiaTheme="minorEastAsia"/>
          <w:sz w:val="22"/>
          <w:szCs w:val="22"/>
          <w:lang w:val="en-US"/>
        </w:rPr>
      </w:pPr>
      <w:r w:rsidRPr="005F1B7D">
        <w:rPr>
          <w:rFonts w:eastAsiaTheme="minorEastAsia"/>
          <w:sz w:val="22"/>
          <w:szCs w:val="22"/>
          <w:lang w:val="en-US"/>
        </w:rPr>
        <w:t xml:space="preserve">For the proposed tuned SVR model, the </w:t>
      </w:r>
      <w:proofErr w:type="spellStart"/>
      <w:r w:rsidRPr="005F1B7D">
        <w:rPr>
          <w:rFonts w:eastAsiaTheme="minorEastAsia"/>
          <w:sz w:val="22"/>
          <w:szCs w:val="22"/>
          <w:lang w:val="en-US"/>
        </w:rPr>
        <w:t>SoH</w:t>
      </w:r>
      <w:proofErr w:type="spellEnd"/>
      <w:r w:rsidRPr="005F1B7D">
        <w:rPr>
          <w:rFonts w:eastAsiaTheme="minorEastAsia"/>
          <w:sz w:val="22"/>
          <w:szCs w:val="22"/>
          <w:lang w:val="en-US"/>
        </w:rPr>
        <w:t xml:space="preserve"> Mean Squared Error is derived from the reported RMSE as:</w:t>
      </w:r>
    </w:p>
    <w:p w14:paraId="344519B0" w14:textId="1CC6884A" w:rsidR="005F1B7D" w:rsidRPr="005F1B7D" w:rsidRDefault="005F1B7D" w:rsidP="005F1B7D">
      <w:pPr>
        <w:rPr>
          <w:rFonts w:eastAsiaTheme="minorEastAsia"/>
          <w:sz w:val="22"/>
          <w:szCs w:val="22"/>
          <w:lang w:val="en-US"/>
        </w:rPr>
      </w:pPr>
      <m:oMathPara>
        <m:oMath>
          <m:r>
            <w:rPr>
              <w:rFonts w:ascii="Cambria Math" w:eastAsiaTheme="minorEastAsia" w:hAnsi="Cambria Math"/>
              <w:sz w:val="22"/>
              <w:szCs w:val="22"/>
              <w:lang w:val="en-US"/>
            </w:rPr>
            <m:t>MSE=(0.0788</m:t>
          </m:r>
          <m:sSup>
            <m:sSupPr>
              <m:ctrlPr>
                <w:rPr>
                  <w:rFonts w:ascii="Cambria Math" w:eastAsiaTheme="minorEastAsia" w:hAnsi="Cambria Math"/>
                  <w:sz w:val="22"/>
                  <w:szCs w:val="22"/>
                  <w:lang w:val="en-US"/>
                </w:rPr>
              </m:ctrlPr>
            </m:sSupPr>
            <m:e>
              <m:r>
                <w:rPr>
                  <w:rFonts w:ascii="Cambria Math" w:eastAsiaTheme="minorEastAsia" w:hAnsi="Cambria Math"/>
                  <w:sz w:val="22"/>
                  <w:szCs w:val="22"/>
                  <w:lang w:val="en-US"/>
                </w:rPr>
                <m:t>)</m:t>
              </m:r>
            </m:e>
            <m:sup>
              <m:r>
                <w:rPr>
                  <w:rFonts w:ascii="Cambria Math" w:eastAsiaTheme="minorEastAsia" w:hAnsi="Cambria Math"/>
                  <w:sz w:val="22"/>
                  <w:szCs w:val="22"/>
                  <w:lang w:val="en-US"/>
                </w:rPr>
                <m:t>2</m:t>
              </m:r>
            </m:sup>
          </m:sSup>
          <m:r>
            <w:rPr>
              <w:rFonts w:ascii="Cambria Math" w:eastAsiaTheme="minorEastAsia" w:hAnsi="Cambria Math"/>
              <w:sz w:val="22"/>
              <w:szCs w:val="22"/>
              <w:lang w:val="en-US"/>
            </w:rPr>
            <m:t>=0.00621</m:t>
          </m:r>
          <m:r>
            <w:rPr>
              <w:rFonts w:eastAsiaTheme="minorEastAsia"/>
              <w:i/>
              <w:sz w:val="22"/>
              <w:szCs w:val="22"/>
              <w:lang w:val="en-US"/>
            </w:rPr>
            <w:br/>
          </m:r>
        </m:oMath>
      </m:oMathPara>
    </w:p>
    <w:p w14:paraId="7E6B0769" w14:textId="39CF8285" w:rsidR="005F1B7D" w:rsidRPr="005F1B7D" w:rsidRDefault="005F1B7D" w:rsidP="005F1B7D">
      <w:pPr>
        <w:rPr>
          <w:rFonts w:eastAsiaTheme="minorEastAsia"/>
          <w:sz w:val="22"/>
          <w:szCs w:val="22"/>
          <w:lang w:val="en-US"/>
        </w:rPr>
      </w:pPr>
    </w:p>
    <w:p w14:paraId="6B084D7D" w14:textId="130FE84A" w:rsidR="005F1B7D" w:rsidRPr="005F1B7D" w:rsidRDefault="005F1B7D" w:rsidP="005F1B7D">
      <w:pPr>
        <w:rPr>
          <w:rFonts w:eastAsiaTheme="minorEastAsia"/>
          <w:b/>
          <w:bCs/>
          <w:sz w:val="22"/>
          <w:szCs w:val="22"/>
          <w:lang w:val="en-US"/>
        </w:rPr>
      </w:pPr>
      <w:r w:rsidRPr="005F1B7D">
        <w:rPr>
          <w:rFonts w:eastAsiaTheme="minorEastAsia"/>
          <w:b/>
          <w:bCs/>
          <w:sz w:val="22"/>
          <w:szCs w:val="22"/>
          <w:lang w:val="en-US"/>
        </w:rPr>
        <w:t>Comparison with Reference Exponential Degradation Model</w:t>
      </w:r>
      <w:r>
        <w:rPr>
          <w:rFonts w:eastAsiaTheme="minorEastAsia"/>
          <w:b/>
          <w:bCs/>
          <w:sz w:val="22"/>
          <w:szCs w:val="22"/>
          <w:lang w:val="en-US"/>
        </w:rPr>
        <w:t xml:space="preserve"> summarize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9"/>
        <w:gridCol w:w="1728"/>
        <w:gridCol w:w="2165"/>
      </w:tblGrid>
      <w:tr w:rsidR="005F1B7D" w:rsidRPr="005F1B7D" w14:paraId="578313B5" w14:textId="77777777" w:rsidTr="005F1B7D">
        <w:trPr>
          <w:tblHeader/>
          <w:tblCellSpacing w:w="15" w:type="dxa"/>
        </w:trPr>
        <w:tc>
          <w:tcPr>
            <w:tcW w:w="0" w:type="auto"/>
            <w:vAlign w:val="center"/>
            <w:hideMark/>
          </w:tcPr>
          <w:p w14:paraId="3891A87A" w14:textId="77777777" w:rsidR="005F1B7D" w:rsidRPr="005F1B7D" w:rsidRDefault="005F1B7D" w:rsidP="005F1B7D">
            <w:pPr>
              <w:rPr>
                <w:rFonts w:eastAsiaTheme="minorEastAsia"/>
                <w:b/>
                <w:bCs/>
                <w:sz w:val="22"/>
                <w:szCs w:val="22"/>
                <w:lang w:val="en-US"/>
              </w:rPr>
            </w:pPr>
            <w:r w:rsidRPr="005F1B7D">
              <w:rPr>
                <w:rFonts w:eastAsiaTheme="minorEastAsia"/>
                <w:b/>
                <w:bCs/>
                <w:sz w:val="22"/>
                <w:szCs w:val="22"/>
                <w:lang w:val="en-US"/>
              </w:rPr>
              <w:t>Metric</w:t>
            </w:r>
          </w:p>
        </w:tc>
        <w:tc>
          <w:tcPr>
            <w:tcW w:w="0" w:type="auto"/>
            <w:vAlign w:val="center"/>
            <w:hideMark/>
          </w:tcPr>
          <w:p w14:paraId="46F911BC" w14:textId="77777777" w:rsidR="005F1B7D" w:rsidRPr="005F1B7D" w:rsidRDefault="005F1B7D" w:rsidP="005F1B7D">
            <w:pPr>
              <w:rPr>
                <w:rFonts w:eastAsiaTheme="minorEastAsia"/>
                <w:b/>
                <w:bCs/>
                <w:sz w:val="22"/>
                <w:szCs w:val="22"/>
                <w:lang w:val="en-US"/>
              </w:rPr>
            </w:pPr>
            <w:r w:rsidRPr="005F1B7D">
              <w:rPr>
                <w:rFonts w:eastAsiaTheme="minorEastAsia"/>
                <w:b/>
                <w:bCs/>
                <w:sz w:val="22"/>
                <w:szCs w:val="22"/>
                <w:lang w:val="en-US"/>
              </w:rPr>
              <w:t>Reference Study</w:t>
            </w:r>
          </w:p>
        </w:tc>
        <w:tc>
          <w:tcPr>
            <w:tcW w:w="0" w:type="auto"/>
            <w:vAlign w:val="center"/>
            <w:hideMark/>
          </w:tcPr>
          <w:p w14:paraId="5C2A22BA" w14:textId="77777777" w:rsidR="005F1B7D" w:rsidRPr="005F1B7D" w:rsidRDefault="005F1B7D" w:rsidP="005F1B7D">
            <w:pPr>
              <w:rPr>
                <w:rFonts w:eastAsiaTheme="minorEastAsia"/>
                <w:b/>
                <w:bCs/>
                <w:sz w:val="22"/>
                <w:szCs w:val="22"/>
                <w:lang w:val="en-US"/>
              </w:rPr>
            </w:pPr>
            <w:r w:rsidRPr="005F1B7D">
              <w:rPr>
                <w:rFonts w:eastAsiaTheme="minorEastAsia"/>
                <w:b/>
                <w:bCs/>
                <w:sz w:val="22"/>
                <w:szCs w:val="22"/>
                <w:lang w:val="en-US"/>
              </w:rPr>
              <w:t>Proposed SVR Model</w:t>
            </w:r>
          </w:p>
        </w:tc>
      </w:tr>
      <w:tr w:rsidR="005F1B7D" w:rsidRPr="005F1B7D" w14:paraId="6349C3E5" w14:textId="77777777" w:rsidTr="005F1B7D">
        <w:trPr>
          <w:tblCellSpacing w:w="15" w:type="dxa"/>
        </w:trPr>
        <w:tc>
          <w:tcPr>
            <w:tcW w:w="0" w:type="auto"/>
            <w:vAlign w:val="center"/>
            <w:hideMark/>
          </w:tcPr>
          <w:p w14:paraId="5A97F44C" w14:textId="77777777" w:rsidR="005F1B7D" w:rsidRPr="005F1B7D" w:rsidRDefault="005F1B7D" w:rsidP="005F1B7D">
            <w:pPr>
              <w:rPr>
                <w:rFonts w:eastAsiaTheme="minorEastAsia"/>
                <w:sz w:val="22"/>
                <w:szCs w:val="22"/>
                <w:lang w:val="en-US"/>
              </w:rPr>
            </w:pPr>
            <w:proofErr w:type="spellStart"/>
            <w:r w:rsidRPr="005F1B7D">
              <w:rPr>
                <w:rFonts w:eastAsiaTheme="minorEastAsia"/>
                <w:sz w:val="22"/>
                <w:szCs w:val="22"/>
                <w:lang w:val="en-US"/>
              </w:rPr>
              <w:t>SoH</w:t>
            </w:r>
            <w:proofErr w:type="spellEnd"/>
            <w:r w:rsidRPr="005F1B7D">
              <w:rPr>
                <w:rFonts w:eastAsiaTheme="minorEastAsia"/>
                <w:sz w:val="22"/>
                <w:szCs w:val="22"/>
                <w:lang w:val="en-US"/>
              </w:rPr>
              <w:t xml:space="preserve"> MSE</w:t>
            </w:r>
          </w:p>
        </w:tc>
        <w:tc>
          <w:tcPr>
            <w:tcW w:w="0" w:type="auto"/>
            <w:vAlign w:val="center"/>
            <w:hideMark/>
          </w:tcPr>
          <w:p w14:paraId="1283F6E2"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0.091</w:t>
            </w:r>
          </w:p>
        </w:tc>
        <w:tc>
          <w:tcPr>
            <w:tcW w:w="0" w:type="auto"/>
            <w:vAlign w:val="center"/>
            <w:hideMark/>
          </w:tcPr>
          <w:p w14:paraId="6BA2E576" w14:textId="77777777" w:rsidR="005F1B7D" w:rsidRPr="005F1B7D" w:rsidRDefault="005F1B7D" w:rsidP="005F1B7D">
            <w:pPr>
              <w:rPr>
                <w:rFonts w:eastAsiaTheme="minorEastAsia"/>
                <w:sz w:val="22"/>
                <w:szCs w:val="22"/>
                <w:lang w:val="en-US"/>
              </w:rPr>
            </w:pPr>
            <w:r w:rsidRPr="005F1B7D">
              <w:rPr>
                <w:rFonts w:eastAsiaTheme="minorEastAsia"/>
                <w:b/>
                <w:bCs/>
                <w:sz w:val="22"/>
                <w:szCs w:val="22"/>
                <w:lang w:val="en-US"/>
              </w:rPr>
              <w:t>0.00621</w:t>
            </w:r>
          </w:p>
        </w:tc>
      </w:tr>
      <w:tr w:rsidR="005F1B7D" w:rsidRPr="005F1B7D" w14:paraId="6B1B78DA" w14:textId="77777777" w:rsidTr="005F1B7D">
        <w:trPr>
          <w:tblCellSpacing w:w="15" w:type="dxa"/>
        </w:trPr>
        <w:tc>
          <w:tcPr>
            <w:tcW w:w="0" w:type="auto"/>
            <w:vAlign w:val="center"/>
            <w:hideMark/>
          </w:tcPr>
          <w:p w14:paraId="1FED14EA" w14:textId="77777777" w:rsidR="005F1B7D" w:rsidRPr="005F1B7D" w:rsidRDefault="005F1B7D" w:rsidP="005F1B7D">
            <w:pPr>
              <w:rPr>
                <w:rFonts w:eastAsiaTheme="minorEastAsia"/>
                <w:sz w:val="22"/>
                <w:szCs w:val="22"/>
                <w:lang w:val="en-US"/>
              </w:rPr>
            </w:pPr>
            <w:proofErr w:type="spellStart"/>
            <w:r w:rsidRPr="005F1B7D">
              <w:rPr>
                <w:rFonts w:eastAsiaTheme="minorEastAsia"/>
                <w:sz w:val="22"/>
                <w:szCs w:val="22"/>
                <w:lang w:val="en-US"/>
              </w:rPr>
              <w:t>SoH</w:t>
            </w:r>
            <w:proofErr w:type="spellEnd"/>
            <w:r w:rsidRPr="005F1B7D">
              <w:rPr>
                <w:rFonts w:eastAsiaTheme="minorEastAsia"/>
                <w:sz w:val="22"/>
                <w:szCs w:val="22"/>
                <w:lang w:val="en-US"/>
              </w:rPr>
              <w:t xml:space="preserve"> RMSE</w:t>
            </w:r>
          </w:p>
        </w:tc>
        <w:tc>
          <w:tcPr>
            <w:tcW w:w="0" w:type="auto"/>
            <w:vAlign w:val="center"/>
            <w:hideMark/>
          </w:tcPr>
          <w:p w14:paraId="65481DFC"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0.3017</w:t>
            </w:r>
          </w:p>
        </w:tc>
        <w:tc>
          <w:tcPr>
            <w:tcW w:w="0" w:type="auto"/>
            <w:vAlign w:val="center"/>
            <w:hideMark/>
          </w:tcPr>
          <w:p w14:paraId="1AB3499B" w14:textId="77777777" w:rsidR="005F1B7D" w:rsidRPr="005F1B7D" w:rsidRDefault="005F1B7D" w:rsidP="005F1B7D">
            <w:pPr>
              <w:rPr>
                <w:rFonts w:eastAsiaTheme="minorEastAsia"/>
                <w:sz w:val="22"/>
                <w:szCs w:val="22"/>
                <w:lang w:val="en-US"/>
              </w:rPr>
            </w:pPr>
            <w:r w:rsidRPr="005F1B7D">
              <w:rPr>
                <w:rFonts w:eastAsiaTheme="minorEastAsia"/>
                <w:b/>
                <w:bCs/>
                <w:sz w:val="22"/>
                <w:szCs w:val="22"/>
                <w:lang w:val="en-US"/>
              </w:rPr>
              <w:t>0.0788</w:t>
            </w:r>
          </w:p>
        </w:tc>
      </w:tr>
      <w:tr w:rsidR="005F1B7D" w:rsidRPr="005F1B7D" w14:paraId="39B67293" w14:textId="77777777" w:rsidTr="005F1B7D">
        <w:trPr>
          <w:tblCellSpacing w:w="15" w:type="dxa"/>
        </w:trPr>
        <w:tc>
          <w:tcPr>
            <w:tcW w:w="0" w:type="auto"/>
            <w:vAlign w:val="center"/>
            <w:hideMark/>
          </w:tcPr>
          <w:p w14:paraId="17F83038" w14:textId="77777777" w:rsidR="005F1B7D" w:rsidRPr="005F1B7D" w:rsidRDefault="005F1B7D" w:rsidP="005F1B7D">
            <w:pPr>
              <w:rPr>
                <w:rFonts w:eastAsiaTheme="minorEastAsia"/>
                <w:sz w:val="22"/>
                <w:szCs w:val="22"/>
                <w:lang w:val="en-US"/>
              </w:rPr>
            </w:pPr>
            <w:proofErr w:type="spellStart"/>
            <w:r w:rsidRPr="005F1B7D">
              <w:rPr>
                <w:rFonts w:eastAsiaTheme="minorEastAsia"/>
                <w:sz w:val="22"/>
                <w:szCs w:val="22"/>
                <w:lang w:val="en-US"/>
              </w:rPr>
              <w:t>SoH</w:t>
            </w:r>
            <w:proofErr w:type="spellEnd"/>
            <w:r w:rsidRPr="005F1B7D">
              <w:rPr>
                <w:rFonts w:eastAsiaTheme="minorEastAsia"/>
                <w:sz w:val="22"/>
                <w:szCs w:val="22"/>
                <w:lang w:val="en-US"/>
              </w:rPr>
              <w:t xml:space="preserve"> R²</w:t>
            </w:r>
          </w:p>
        </w:tc>
        <w:tc>
          <w:tcPr>
            <w:tcW w:w="0" w:type="auto"/>
            <w:vAlign w:val="center"/>
            <w:hideMark/>
          </w:tcPr>
          <w:p w14:paraId="275E92E9"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Not Reported</w:t>
            </w:r>
          </w:p>
        </w:tc>
        <w:tc>
          <w:tcPr>
            <w:tcW w:w="0" w:type="auto"/>
            <w:vAlign w:val="center"/>
            <w:hideMark/>
          </w:tcPr>
          <w:p w14:paraId="7236C1D1"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0.4455</w:t>
            </w:r>
          </w:p>
        </w:tc>
      </w:tr>
    </w:tbl>
    <w:p w14:paraId="3D4823F2" w14:textId="77777777" w:rsidR="005F1B7D" w:rsidRDefault="005F1B7D" w:rsidP="005F1B7D">
      <w:pPr>
        <w:rPr>
          <w:rFonts w:eastAsiaTheme="minorEastAsia"/>
          <w:sz w:val="22"/>
          <w:szCs w:val="22"/>
          <w:lang w:val="en-US"/>
        </w:rPr>
      </w:pPr>
    </w:p>
    <w:p w14:paraId="356611A0" w14:textId="0176953E" w:rsidR="005F1B7D" w:rsidRPr="005F1B7D" w:rsidRDefault="005F1B7D" w:rsidP="005F1B7D">
      <w:pPr>
        <w:rPr>
          <w:rFonts w:eastAsiaTheme="minorEastAsia"/>
          <w:sz w:val="22"/>
          <w:szCs w:val="22"/>
          <w:lang w:val="en-US"/>
        </w:rPr>
      </w:pPr>
      <w:r w:rsidRPr="005F1B7D">
        <w:rPr>
          <w:rFonts w:eastAsiaTheme="minorEastAsia"/>
          <w:sz w:val="22"/>
          <w:szCs w:val="22"/>
          <w:lang w:val="en-US"/>
        </w:rPr>
        <w:t>The substantial reduction in MSE demonstrates that the data-driven SVR model more accurately captures nonlinear degradation behavior compared to the fixed exponential curve-fitting approach. Additionally, the SVR model achieved an R² of 0.4455 under strict grouped validation, indicating meaningful explanatory power despite the more rigorous evaluation protocol.</w:t>
      </w:r>
    </w:p>
    <w:p w14:paraId="27BF0277"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It is important to note that the evaluation in this study was conducted using grouped cross-validation, which enforces battery-level separation and prevents data leakage. This represents a stricter and more deployment-relevant assessment than conventional cycle-level forecasting approaches commonly used in prior work.</w:t>
      </w:r>
    </w:p>
    <w:p w14:paraId="65CE52D0" w14:textId="77777777" w:rsidR="005F1B7D" w:rsidRPr="005F1B7D" w:rsidRDefault="005F1B7D" w:rsidP="005F1B7D">
      <w:pPr>
        <w:rPr>
          <w:rFonts w:eastAsiaTheme="minorEastAsia"/>
          <w:sz w:val="22"/>
          <w:szCs w:val="22"/>
          <w:lang w:val="en-US"/>
        </w:rPr>
      </w:pPr>
      <w:r w:rsidRPr="005F1B7D">
        <w:rPr>
          <w:rFonts w:eastAsiaTheme="minorEastAsia"/>
          <w:sz w:val="22"/>
          <w:szCs w:val="22"/>
          <w:lang w:val="en-US"/>
        </w:rPr>
        <w:t xml:space="preserve">These findings confirm that data-driven models, when combined with robust validation strategies, provide significantly improved predictive performance for </w:t>
      </w:r>
      <w:proofErr w:type="spellStart"/>
      <w:r w:rsidRPr="005F1B7D">
        <w:rPr>
          <w:rFonts w:eastAsiaTheme="minorEastAsia"/>
          <w:sz w:val="22"/>
          <w:szCs w:val="22"/>
          <w:lang w:val="en-US"/>
        </w:rPr>
        <w:t>SoH</w:t>
      </w:r>
      <w:proofErr w:type="spellEnd"/>
      <w:r w:rsidRPr="005F1B7D">
        <w:rPr>
          <w:rFonts w:eastAsiaTheme="minorEastAsia"/>
          <w:sz w:val="22"/>
          <w:szCs w:val="22"/>
          <w:lang w:val="en-US"/>
        </w:rPr>
        <w:t xml:space="preserve"> and RUL estimation in practical EV battery management applications.</w:t>
      </w:r>
    </w:p>
    <w:p w14:paraId="419273DA" w14:textId="77777777" w:rsidR="005F1B7D" w:rsidRDefault="005F1B7D" w:rsidP="00AF767F">
      <w:pPr>
        <w:rPr>
          <w:rFonts w:eastAsiaTheme="minorEastAsia"/>
          <w:sz w:val="22"/>
          <w:szCs w:val="22"/>
          <w:lang w:val="en-US"/>
        </w:rPr>
      </w:pPr>
    </w:p>
    <w:p w14:paraId="2D3AB42C" w14:textId="77777777" w:rsidR="00AF767F" w:rsidRDefault="00AF767F" w:rsidP="00AF767F">
      <w:pPr>
        <w:rPr>
          <w:rFonts w:eastAsiaTheme="minorEastAsia"/>
          <w:sz w:val="22"/>
          <w:szCs w:val="22"/>
          <w:lang w:val="en-US"/>
        </w:rPr>
      </w:pPr>
    </w:p>
    <w:p w14:paraId="79BE942B" w14:textId="77777777" w:rsidR="00AF767F" w:rsidRDefault="00AF767F" w:rsidP="00AF767F">
      <w:pPr>
        <w:rPr>
          <w:rFonts w:eastAsiaTheme="minorEastAsia"/>
          <w:sz w:val="22"/>
          <w:szCs w:val="22"/>
          <w:lang w:val="en-US"/>
        </w:rPr>
      </w:pPr>
    </w:p>
    <w:p w14:paraId="54711334" w14:textId="77777777" w:rsidR="009B32FD" w:rsidRDefault="009B32FD" w:rsidP="001A04BF">
      <w:pPr>
        <w:rPr>
          <w:rFonts w:eastAsiaTheme="minorEastAsia"/>
          <w:sz w:val="22"/>
          <w:szCs w:val="22"/>
          <w:lang w:val="en-US"/>
        </w:rPr>
      </w:pPr>
    </w:p>
    <w:p w14:paraId="590E26EB" w14:textId="77777777" w:rsidR="009B32FD" w:rsidRPr="009B32FD" w:rsidRDefault="009B32FD" w:rsidP="009B32FD">
      <w:pPr>
        <w:rPr>
          <w:rFonts w:eastAsiaTheme="minorEastAsia"/>
          <w:b/>
          <w:bCs/>
          <w:sz w:val="22"/>
          <w:szCs w:val="22"/>
          <w:lang w:val="en-US"/>
        </w:rPr>
      </w:pPr>
      <w:r w:rsidRPr="009B32FD">
        <w:rPr>
          <w:rFonts w:eastAsiaTheme="minorEastAsia"/>
          <w:b/>
          <w:bCs/>
          <w:sz w:val="22"/>
          <w:szCs w:val="22"/>
          <w:lang w:val="en-US"/>
        </w:rPr>
        <w:t>6. Conclusion</w:t>
      </w:r>
    </w:p>
    <w:p w14:paraId="0EF7EFB3" w14:textId="77777777" w:rsidR="009B32FD" w:rsidRPr="009B32FD" w:rsidRDefault="009B32FD" w:rsidP="009B32FD">
      <w:pPr>
        <w:rPr>
          <w:rFonts w:eastAsiaTheme="minorEastAsia"/>
          <w:sz w:val="22"/>
          <w:szCs w:val="22"/>
          <w:lang w:val="en-US"/>
        </w:rPr>
      </w:pPr>
      <w:r w:rsidRPr="009B32FD">
        <w:rPr>
          <w:rFonts w:eastAsiaTheme="minorEastAsia"/>
          <w:sz w:val="22"/>
          <w:szCs w:val="22"/>
          <w:lang w:val="en-US"/>
        </w:rPr>
        <w:t>This study presented a structured and deployment-oriented machine learning framework for predicting the State of Health (</w:t>
      </w:r>
      <w:proofErr w:type="spellStart"/>
      <w:r w:rsidRPr="009B32FD">
        <w:rPr>
          <w:rFonts w:eastAsiaTheme="minorEastAsia"/>
          <w:sz w:val="22"/>
          <w:szCs w:val="22"/>
          <w:lang w:val="en-US"/>
        </w:rPr>
        <w:t>SoH</w:t>
      </w:r>
      <w:proofErr w:type="spellEnd"/>
      <w:r w:rsidRPr="009B32FD">
        <w:rPr>
          <w:rFonts w:eastAsiaTheme="minorEastAsia"/>
          <w:sz w:val="22"/>
          <w:szCs w:val="22"/>
          <w:lang w:val="en-US"/>
        </w:rPr>
        <w:t>) and Remaining Useful Life (RUL) of lithium-ion batteries using cycle-level degradation data. The motivation for this work stems from the growing demand for accurate and reliable battery health monitoring in electric vehicles (EVs), where battery performance directly influences safety, driving range, lifecycle cost, and long-term sustainability. As electrification accelerates globally, improving prognostics capabilities within Battery Management Systems (BMS) becomes increasingly critical.</w:t>
      </w:r>
    </w:p>
    <w:p w14:paraId="58B34FD6" w14:textId="77777777" w:rsidR="009B32FD" w:rsidRPr="009B32FD" w:rsidRDefault="009B32FD" w:rsidP="009B32FD">
      <w:pPr>
        <w:rPr>
          <w:rFonts w:eastAsiaTheme="minorEastAsia"/>
          <w:sz w:val="22"/>
          <w:szCs w:val="22"/>
          <w:lang w:val="en-US"/>
        </w:rPr>
      </w:pPr>
      <w:r w:rsidRPr="009B32FD">
        <w:rPr>
          <w:rFonts w:eastAsiaTheme="minorEastAsia"/>
          <w:sz w:val="22"/>
          <w:szCs w:val="22"/>
          <w:lang w:val="en-US"/>
        </w:rPr>
        <w:t>Traditional degradation modeling approaches, particularly exponential curve-fitting methods, assume smooth and monotonic capacity decay. While such models provide mathematical simplicity and interpretability, they often fail to capture the nonlinear, stochastic, and operationally dependent characteristics of real-world battery aging. Factors such as temperature fluctuations, load variability, and transient electrochemical recovery effects introduce irregular degradation patterns that cannot be sufficiently represented by fixed parametric equations.</w:t>
      </w:r>
    </w:p>
    <w:p w14:paraId="720AAC37" w14:textId="7BD3908F" w:rsidR="009B32FD" w:rsidRPr="009B32FD" w:rsidRDefault="009B32FD" w:rsidP="009B32FD">
      <w:pPr>
        <w:rPr>
          <w:rFonts w:eastAsiaTheme="minorEastAsia"/>
          <w:sz w:val="22"/>
          <w:szCs w:val="22"/>
          <w:lang w:val="en-US"/>
        </w:rPr>
      </w:pPr>
      <w:r w:rsidRPr="009B32FD">
        <w:rPr>
          <w:rFonts w:eastAsiaTheme="minorEastAsia"/>
          <w:sz w:val="22"/>
          <w:szCs w:val="22"/>
          <w:lang w:val="en-US"/>
        </w:rPr>
        <w:t>To address these limitations, this study proposed a data-driven regression-based framework that teaches degradation behavior directly from measurable operational variables. Using the NASA battery degradation cycle-level dataset, a comprehensive feature engineering process was applied to construct 21 predictive features derived from voltage, temperature, capacity evolution, and cycle progression. These engineered features were designed not only to improve predictive performance but also to ensure feasibility for real-world EV implementation, where such measurements are available through BMS telemetry and onboard sensors.</w:t>
      </w:r>
    </w:p>
    <w:p w14:paraId="1E7DB444" w14:textId="77777777" w:rsidR="009B32FD" w:rsidRPr="009B32FD" w:rsidRDefault="009B32FD" w:rsidP="009B32FD">
      <w:pPr>
        <w:rPr>
          <w:rFonts w:eastAsiaTheme="minorEastAsia"/>
          <w:sz w:val="22"/>
          <w:szCs w:val="22"/>
          <w:lang w:val="en-US"/>
        </w:rPr>
      </w:pPr>
      <w:r w:rsidRPr="009B32FD">
        <w:rPr>
          <w:rFonts w:eastAsiaTheme="minorEastAsia"/>
          <w:sz w:val="22"/>
          <w:szCs w:val="22"/>
          <w:lang w:val="en-US"/>
        </w:rPr>
        <w:t xml:space="preserve">A critical methodological contribution of this work lies in the use of Grouped Cross-Validation based on battery identifier. Unlike conventional random train-test splitting, which risks leakage across cycles of the same battery, the </w:t>
      </w:r>
      <w:proofErr w:type="spellStart"/>
      <w:r w:rsidRPr="009B32FD">
        <w:rPr>
          <w:rFonts w:eastAsiaTheme="minorEastAsia"/>
          <w:sz w:val="22"/>
          <w:szCs w:val="22"/>
          <w:lang w:val="en-US"/>
        </w:rPr>
        <w:t>GroupKFold</w:t>
      </w:r>
      <w:proofErr w:type="spellEnd"/>
      <w:r w:rsidRPr="009B32FD">
        <w:rPr>
          <w:rFonts w:eastAsiaTheme="minorEastAsia"/>
          <w:sz w:val="22"/>
          <w:szCs w:val="22"/>
          <w:lang w:val="en-US"/>
        </w:rPr>
        <w:t xml:space="preserve"> strategy ensures strict separation of battery units between training and validation folds. This evaluation protocol provides a realistic estimate of inter-battery generalization performance and aligns closely with real-world deployment scenarios, where predictive models must operate on previously unseen battery packs rather than merely extrapolating known degradation trajectories.</w:t>
      </w:r>
    </w:p>
    <w:p w14:paraId="577958F6" w14:textId="6B1E6977" w:rsidR="009B32FD" w:rsidRPr="009B32FD" w:rsidRDefault="009B32FD" w:rsidP="009B32FD">
      <w:pPr>
        <w:rPr>
          <w:rFonts w:eastAsiaTheme="minorEastAsia"/>
          <w:sz w:val="22"/>
          <w:szCs w:val="22"/>
          <w:lang w:val="en-US"/>
        </w:rPr>
      </w:pPr>
      <w:r w:rsidRPr="009B32FD">
        <w:rPr>
          <w:rFonts w:eastAsiaTheme="minorEastAsia"/>
          <w:sz w:val="22"/>
          <w:szCs w:val="22"/>
          <w:lang w:val="en-US"/>
        </w:rPr>
        <w:t xml:space="preserve">Four regression models were evaluated: Linear Regression, Random Forest, Support Vector Regression (SVR), and </w:t>
      </w:r>
      <w:proofErr w:type="spellStart"/>
      <w:r w:rsidRPr="009B32FD">
        <w:rPr>
          <w:rFonts w:eastAsiaTheme="minorEastAsia"/>
          <w:sz w:val="22"/>
          <w:szCs w:val="22"/>
          <w:lang w:val="en-US"/>
        </w:rPr>
        <w:t>XGBoost</w:t>
      </w:r>
      <w:proofErr w:type="spellEnd"/>
      <w:r w:rsidRPr="009B32FD">
        <w:rPr>
          <w:rFonts w:eastAsiaTheme="minorEastAsia"/>
          <w:sz w:val="22"/>
          <w:szCs w:val="22"/>
          <w:lang w:val="en-US"/>
        </w:rPr>
        <w:t xml:space="preserve">. The results demonstrated that nonlinear models significantly outperform linear regression, confirming the inherently nonlinear nature of battery degradation dynamics. Among the evaluated models, the tuned SVR achieved the strongest performance, with a </w:t>
      </w:r>
      <w:proofErr w:type="spellStart"/>
      <w:r w:rsidRPr="009B32FD">
        <w:rPr>
          <w:rFonts w:eastAsiaTheme="minorEastAsia"/>
          <w:sz w:val="22"/>
          <w:szCs w:val="22"/>
          <w:lang w:val="en-US"/>
        </w:rPr>
        <w:t>SoH</w:t>
      </w:r>
      <w:proofErr w:type="spellEnd"/>
      <w:r w:rsidRPr="009B32FD">
        <w:rPr>
          <w:rFonts w:eastAsiaTheme="minorEastAsia"/>
          <w:sz w:val="22"/>
          <w:szCs w:val="22"/>
          <w:lang w:val="en-US"/>
        </w:rPr>
        <w:t xml:space="preserve"> RMSE of 0.0788 and an R² of 0.4455 under grouped cross-validation. For RUL prediction, SVR achieved an RMSE of 26.1291 and R² of 0.5241, indicating substantial explanatory power despite strict validation conditions.</w:t>
      </w:r>
    </w:p>
    <w:p w14:paraId="6556C169" w14:textId="6B8B6624" w:rsidR="009B32FD" w:rsidRPr="009B32FD" w:rsidRDefault="009B32FD" w:rsidP="009B32FD">
      <w:pPr>
        <w:rPr>
          <w:rFonts w:eastAsiaTheme="minorEastAsia"/>
          <w:sz w:val="22"/>
          <w:szCs w:val="22"/>
          <w:lang w:val="en-US"/>
        </w:rPr>
      </w:pPr>
      <w:r w:rsidRPr="009B32FD">
        <w:rPr>
          <w:rFonts w:eastAsiaTheme="minorEastAsia"/>
          <w:sz w:val="22"/>
          <w:szCs w:val="22"/>
          <w:lang w:val="en-US"/>
        </w:rPr>
        <w:t xml:space="preserve">When compared to the referenced exponential degradation model, which reported a </w:t>
      </w:r>
      <w:proofErr w:type="spellStart"/>
      <w:r w:rsidRPr="009B32FD">
        <w:rPr>
          <w:rFonts w:eastAsiaTheme="minorEastAsia"/>
          <w:sz w:val="22"/>
          <w:szCs w:val="22"/>
          <w:lang w:val="en-US"/>
        </w:rPr>
        <w:t>SoH</w:t>
      </w:r>
      <w:proofErr w:type="spellEnd"/>
      <w:r w:rsidRPr="009B32FD">
        <w:rPr>
          <w:rFonts w:eastAsiaTheme="minorEastAsia"/>
          <w:sz w:val="22"/>
          <w:szCs w:val="22"/>
          <w:lang w:val="en-US"/>
        </w:rPr>
        <w:t xml:space="preserve"> MSE of 0.091, the proposed SVR model achieved an MSE of 0.00621. This substantial reduction in error </w:t>
      </w:r>
      <w:r w:rsidRPr="009B32FD">
        <w:rPr>
          <w:rFonts w:eastAsiaTheme="minorEastAsia"/>
          <w:sz w:val="22"/>
          <w:szCs w:val="22"/>
          <w:lang w:val="en-US"/>
        </w:rPr>
        <w:lastRenderedPageBreak/>
        <w:t>highlights the advantage of flexible data-driven models in capturing nonlinear degradation behavior and battery-specific variability. Importantly, this improvement was achieved under a more stringent validation protocol, reinforcing the robustness of the results.</w:t>
      </w:r>
    </w:p>
    <w:p w14:paraId="4C46D680" w14:textId="2AF4255C" w:rsidR="009B32FD" w:rsidRPr="009B32FD" w:rsidRDefault="009B32FD" w:rsidP="009B32FD">
      <w:pPr>
        <w:rPr>
          <w:rFonts w:eastAsiaTheme="minorEastAsia"/>
          <w:sz w:val="22"/>
          <w:szCs w:val="22"/>
          <w:lang w:val="en-US"/>
        </w:rPr>
      </w:pPr>
      <w:r w:rsidRPr="009B32FD">
        <w:rPr>
          <w:rFonts w:eastAsiaTheme="minorEastAsia"/>
          <w:sz w:val="22"/>
          <w:szCs w:val="22"/>
          <w:lang w:val="en-US"/>
        </w:rPr>
        <w:t>Although deep learning architectures such as Long Short-Term Memory (LSTM) networks are widely adopted in recent battery prognostics literature, the findings of this study suggest that carefully tuned classical machine learning models can offer competitive, and in some cases superior, stability and generalization when applied to structured cycle-level datasets. The SVR model demonstrated strong performance without requiring complexity and computational cost associated with deep neural networks.</w:t>
      </w:r>
    </w:p>
    <w:p w14:paraId="549FC1EB" w14:textId="77777777" w:rsidR="009B32FD" w:rsidRPr="009B32FD" w:rsidRDefault="009B32FD" w:rsidP="009B32FD">
      <w:pPr>
        <w:rPr>
          <w:rFonts w:eastAsiaTheme="minorEastAsia"/>
          <w:sz w:val="22"/>
          <w:szCs w:val="22"/>
          <w:lang w:val="en-US"/>
        </w:rPr>
      </w:pPr>
      <w:r w:rsidRPr="009B32FD">
        <w:rPr>
          <w:rFonts w:eastAsiaTheme="minorEastAsia"/>
          <w:sz w:val="22"/>
          <w:szCs w:val="22"/>
          <w:lang w:val="en-US"/>
        </w:rPr>
        <w:t xml:space="preserve">From a practical perspective, the proposed framework can be integrated into real-world EV ecosystems through onboard BMS modules, edge computing systems, or cloud-based analytics platforms. The feature set relies on telemetry signals already available in modern EV architectures, making the approach feasible for industrial adoption. Accurate </w:t>
      </w:r>
      <w:proofErr w:type="spellStart"/>
      <w:r w:rsidRPr="009B32FD">
        <w:rPr>
          <w:rFonts w:eastAsiaTheme="minorEastAsia"/>
          <w:sz w:val="22"/>
          <w:szCs w:val="22"/>
          <w:lang w:val="en-US"/>
        </w:rPr>
        <w:t>SoH</w:t>
      </w:r>
      <w:proofErr w:type="spellEnd"/>
      <w:r w:rsidRPr="009B32FD">
        <w:rPr>
          <w:rFonts w:eastAsiaTheme="minorEastAsia"/>
          <w:sz w:val="22"/>
          <w:szCs w:val="22"/>
          <w:lang w:val="en-US"/>
        </w:rPr>
        <w:t xml:space="preserve"> and RUL prediction enables optimized charging strategies, preventive maintenance scheduling, fleet-level degradation monitoring, and informed second-life battery deployment decisions.</w:t>
      </w:r>
    </w:p>
    <w:p w14:paraId="0FDF30E9" w14:textId="77777777" w:rsidR="009B32FD" w:rsidRPr="009B32FD" w:rsidRDefault="009B32FD" w:rsidP="009B32FD">
      <w:pPr>
        <w:rPr>
          <w:rFonts w:eastAsiaTheme="minorEastAsia"/>
          <w:sz w:val="22"/>
          <w:szCs w:val="22"/>
          <w:lang w:val="en-US"/>
        </w:rPr>
      </w:pPr>
      <w:r w:rsidRPr="009B32FD">
        <w:rPr>
          <w:rFonts w:eastAsiaTheme="minorEastAsia"/>
          <w:sz w:val="22"/>
          <w:szCs w:val="22"/>
          <w:lang w:val="en-US"/>
        </w:rPr>
        <w:t>Future work may explore hybrid modeling approaches that combine physics-informed constraints with data-driven learning to further enhance interpretability and robustness. Additionally, expanding the framework to incorporate time-series deep learning models, transfer learning across battery chemistries, or domain adaptation techniques may improve generalization to larger and more heterogeneous datasets. Incorporating uncertainty quantification methods could also enhance reliability in safety-critical applications by providing confidence intervals for predicted RUL values.</w:t>
      </w:r>
    </w:p>
    <w:p w14:paraId="00641AA3" w14:textId="77777777" w:rsidR="009B32FD" w:rsidRPr="009B32FD" w:rsidRDefault="009B32FD" w:rsidP="009B32FD">
      <w:pPr>
        <w:rPr>
          <w:rFonts w:eastAsiaTheme="minorEastAsia"/>
          <w:sz w:val="22"/>
          <w:szCs w:val="22"/>
          <w:lang w:val="en-US"/>
        </w:rPr>
      </w:pPr>
      <w:r w:rsidRPr="009B32FD">
        <w:rPr>
          <w:rFonts w:eastAsiaTheme="minorEastAsia"/>
          <w:sz w:val="22"/>
          <w:szCs w:val="22"/>
          <w:lang w:val="en-US"/>
        </w:rPr>
        <w:t>In conclusion, this study demonstrates that a structured machine learning pipeline incorporating feature engineering, grouped cross-validation, and systematic model comparison can significantly improve lithium-ion battery health prediction performance. The results confirm the superiority of data-driven methods over traditional exponential degradation models under realistic evaluation conditions. The proposed framework provides a scalable and practically deployable solution for EV battery prognostics and contributes to the advancement of intelligent battery management technologies.</w:t>
      </w:r>
    </w:p>
    <w:p w14:paraId="78536525" w14:textId="77777777" w:rsidR="009B32FD" w:rsidRPr="001A04BF" w:rsidRDefault="009B32FD" w:rsidP="001A04BF">
      <w:pPr>
        <w:rPr>
          <w:rFonts w:eastAsiaTheme="minorEastAsia"/>
          <w:sz w:val="22"/>
          <w:szCs w:val="22"/>
          <w:lang w:val="en-US"/>
        </w:rPr>
      </w:pPr>
    </w:p>
    <w:p w14:paraId="7331620B" w14:textId="77777777" w:rsidR="001A04BF" w:rsidRPr="001A04BF" w:rsidRDefault="001A04BF" w:rsidP="001A04BF">
      <w:pPr>
        <w:rPr>
          <w:rFonts w:eastAsiaTheme="minorEastAsia"/>
          <w:sz w:val="22"/>
          <w:szCs w:val="22"/>
          <w:lang w:val="en-US"/>
        </w:rPr>
      </w:pPr>
    </w:p>
    <w:p w14:paraId="15A119A9" w14:textId="77777777" w:rsidR="001A04BF" w:rsidRPr="001A04BF" w:rsidRDefault="001A04BF" w:rsidP="001A04BF">
      <w:pPr>
        <w:rPr>
          <w:rFonts w:eastAsiaTheme="minorEastAsia"/>
          <w:sz w:val="22"/>
          <w:szCs w:val="22"/>
          <w:lang w:val="en-US"/>
        </w:rPr>
      </w:pPr>
    </w:p>
    <w:p w14:paraId="6294CCFE" w14:textId="77777777" w:rsidR="001A04BF" w:rsidRPr="001A04BF" w:rsidRDefault="001A04BF" w:rsidP="009B32FD">
      <w:pPr>
        <w:pStyle w:val="ListParagraph"/>
        <w:rPr>
          <w:rFonts w:eastAsiaTheme="minorEastAsia"/>
          <w:b/>
          <w:bCs/>
          <w:sz w:val="22"/>
          <w:szCs w:val="22"/>
          <w:lang w:val="en-US"/>
        </w:rPr>
      </w:pPr>
    </w:p>
    <w:p w14:paraId="00E49667" w14:textId="77777777" w:rsidR="001A04BF" w:rsidRPr="001A04BF" w:rsidRDefault="001A04BF" w:rsidP="4EEA4F04">
      <w:pPr>
        <w:rPr>
          <w:rFonts w:eastAsiaTheme="minorEastAsia"/>
          <w:b/>
          <w:bCs/>
          <w:sz w:val="22"/>
          <w:szCs w:val="22"/>
          <w:lang w:val="en-US"/>
        </w:rPr>
      </w:pPr>
    </w:p>
    <w:p w14:paraId="7EB47080" w14:textId="77777777" w:rsidR="001A04BF" w:rsidRDefault="001A04BF" w:rsidP="4EEA4F04">
      <w:pPr>
        <w:rPr>
          <w:rFonts w:eastAsiaTheme="minorEastAsia"/>
          <w:b/>
          <w:bCs/>
          <w:sz w:val="22"/>
          <w:szCs w:val="22"/>
        </w:rPr>
      </w:pPr>
    </w:p>
    <w:p w14:paraId="5C2DBDAE" w14:textId="77777777" w:rsidR="00C30A1F" w:rsidRPr="001435B8" w:rsidRDefault="00C30A1F" w:rsidP="4EEA4F04">
      <w:pPr>
        <w:rPr>
          <w:rFonts w:eastAsiaTheme="minorEastAsia"/>
          <w:sz w:val="22"/>
          <w:szCs w:val="22"/>
        </w:rPr>
      </w:pPr>
    </w:p>
    <w:p w14:paraId="57580B2A" w14:textId="77777777" w:rsidR="00551A74" w:rsidRDefault="00551A74" w:rsidP="4EEA4F04">
      <w:pPr>
        <w:rPr>
          <w:rFonts w:eastAsiaTheme="minorEastAsia"/>
          <w:sz w:val="22"/>
          <w:szCs w:val="22"/>
        </w:rPr>
      </w:pPr>
    </w:p>
    <w:p w14:paraId="5166EFDC" w14:textId="2CC266DE" w:rsidR="005F6958" w:rsidRDefault="005F6958" w:rsidP="4EEA4F04">
      <w:pPr>
        <w:rPr>
          <w:rFonts w:eastAsiaTheme="minorEastAsia"/>
          <w:b/>
          <w:bCs/>
          <w:sz w:val="22"/>
          <w:szCs w:val="22"/>
        </w:rPr>
      </w:pPr>
      <w:r w:rsidRPr="4EEA4F04">
        <w:rPr>
          <w:rFonts w:eastAsiaTheme="minorEastAsia"/>
          <w:b/>
          <w:bCs/>
          <w:sz w:val="22"/>
          <w:szCs w:val="22"/>
        </w:rPr>
        <w:t>References:</w:t>
      </w:r>
    </w:p>
    <w:p w14:paraId="725F6A68" w14:textId="77777777" w:rsidR="005F6958" w:rsidRPr="005F6958" w:rsidRDefault="005F6958" w:rsidP="4EEA4F04">
      <w:pPr>
        <w:rPr>
          <w:rFonts w:eastAsiaTheme="minorEastAsia"/>
          <w:b/>
          <w:bCs/>
          <w:sz w:val="22"/>
          <w:szCs w:val="22"/>
        </w:rPr>
      </w:pPr>
      <w:r w:rsidRPr="4EEA4F04">
        <w:rPr>
          <w:rFonts w:eastAsiaTheme="minorEastAsia"/>
          <w:b/>
          <w:bCs/>
          <w:sz w:val="22"/>
          <w:szCs w:val="22"/>
        </w:rPr>
        <w:t xml:space="preserve">Remaining Useful Life Predictor for EV Batteries Using Machine Learning  </w:t>
      </w:r>
      <w:hyperlink r:id="rId6">
        <w:r w:rsidRPr="4EEA4F04">
          <w:rPr>
            <w:rStyle w:val="Hyperlink"/>
            <w:rFonts w:eastAsiaTheme="minorEastAsia"/>
            <w:b/>
            <w:bCs/>
            <w:sz w:val="22"/>
            <w:szCs w:val="22"/>
          </w:rPr>
          <w:t>https://ieeexplore.ieee.org/stamp/stamp.jsp?arnumber=10681082</w:t>
        </w:r>
      </w:hyperlink>
    </w:p>
    <w:p w14:paraId="17A364D1" w14:textId="77777777" w:rsidR="005F6958" w:rsidRDefault="005F6958"/>
    <w:sectPr w:rsidR="005F6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3004777"/>
    <w:multiLevelType w:val="multilevel"/>
    <w:tmpl w:val="C3E2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719F6"/>
    <w:multiLevelType w:val="hybridMultilevel"/>
    <w:tmpl w:val="C0A863D8"/>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8F41D5"/>
    <w:multiLevelType w:val="hybridMultilevel"/>
    <w:tmpl w:val="8CA2B2C8"/>
    <w:lvl w:ilvl="0" w:tplc="3B5C96D8">
      <w:start w:val="1"/>
      <w:numFmt w:val="bullet"/>
      <w:lvlText w:val=""/>
      <w:lvlJc w:val="left"/>
      <w:pPr>
        <w:ind w:left="720" w:hanging="360"/>
      </w:pPr>
      <w:rPr>
        <w:rFonts w:ascii="Symbol" w:hAnsi="Symbol" w:hint="default"/>
      </w:rPr>
    </w:lvl>
    <w:lvl w:ilvl="1" w:tplc="45E26FBE">
      <w:start w:val="1"/>
      <w:numFmt w:val="bullet"/>
      <w:lvlText w:val="o"/>
      <w:lvlJc w:val="left"/>
      <w:pPr>
        <w:ind w:left="1440" w:hanging="360"/>
      </w:pPr>
      <w:rPr>
        <w:rFonts w:ascii="Courier New" w:hAnsi="Courier New" w:hint="default"/>
      </w:rPr>
    </w:lvl>
    <w:lvl w:ilvl="2" w:tplc="566AAC8E">
      <w:start w:val="1"/>
      <w:numFmt w:val="bullet"/>
      <w:lvlText w:val=""/>
      <w:lvlJc w:val="left"/>
      <w:pPr>
        <w:ind w:left="2160" w:hanging="360"/>
      </w:pPr>
      <w:rPr>
        <w:rFonts w:ascii="Wingdings" w:hAnsi="Wingdings" w:hint="default"/>
      </w:rPr>
    </w:lvl>
    <w:lvl w:ilvl="3" w:tplc="5322B2EA">
      <w:start w:val="1"/>
      <w:numFmt w:val="bullet"/>
      <w:lvlText w:val=""/>
      <w:lvlJc w:val="left"/>
      <w:pPr>
        <w:ind w:left="2880" w:hanging="360"/>
      </w:pPr>
      <w:rPr>
        <w:rFonts w:ascii="Symbol" w:hAnsi="Symbol" w:hint="default"/>
      </w:rPr>
    </w:lvl>
    <w:lvl w:ilvl="4" w:tplc="55980A38">
      <w:start w:val="1"/>
      <w:numFmt w:val="bullet"/>
      <w:lvlText w:val="o"/>
      <w:lvlJc w:val="left"/>
      <w:pPr>
        <w:ind w:left="3600" w:hanging="360"/>
      </w:pPr>
      <w:rPr>
        <w:rFonts w:ascii="Courier New" w:hAnsi="Courier New" w:hint="default"/>
      </w:rPr>
    </w:lvl>
    <w:lvl w:ilvl="5" w:tplc="6C4865FE">
      <w:start w:val="1"/>
      <w:numFmt w:val="bullet"/>
      <w:lvlText w:val=""/>
      <w:lvlJc w:val="left"/>
      <w:pPr>
        <w:ind w:left="4320" w:hanging="360"/>
      </w:pPr>
      <w:rPr>
        <w:rFonts w:ascii="Wingdings" w:hAnsi="Wingdings" w:hint="default"/>
      </w:rPr>
    </w:lvl>
    <w:lvl w:ilvl="6" w:tplc="3CC6F3D0">
      <w:start w:val="1"/>
      <w:numFmt w:val="bullet"/>
      <w:lvlText w:val=""/>
      <w:lvlJc w:val="left"/>
      <w:pPr>
        <w:ind w:left="5040" w:hanging="360"/>
      </w:pPr>
      <w:rPr>
        <w:rFonts w:ascii="Symbol" w:hAnsi="Symbol" w:hint="default"/>
      </w:rPr>
    </w:lvl>
    <w:lvl w:ilvl="7" w:tplc="0A9A2154">
      <w:start w:val="1"/>
      <w:numFmt w:val="bullet"/>
      <w:lvlText w:val="o"/>
      <w:lvlJc w:val="left"/>
      <w:pPr>
        <w:ind w:left="5760" w:hanging="360"/>
      </w:pPr>
      <w:rPr>
        <w:rFonts w:ascii="Courier New" w:hAnsi="Courier New" w:hint="default"/>
      </w:rPr>
    </w:lvl>
    <w:lvl w:ilvl="8" w:tplc="E37CA17E">
      <w:start w:val="1"/>
      <w:numFmt w:val="bullet"/>
      <w:lvlText w:val=""/>
      <w:lvlJc w:val="left"/>
      <w:pPr>
        <w:ind w:left="6480" w:hanging="360"/>
      </w:pPr>
      <w:rPr>
        <w:rFonts w:ascii="Wingdings" w:hAnsi="Wingdings" w:hint="default"/>
      </w:rPr>
    </w:lvl>
  </w:abstractNum>
  <w:abstractNum w:abstractNumId="3" w15:restartNumberingAfterBreak="0">
    <w:nsid w:val="0A58708A"/>
    <w:multiLevelType w:val="multilevel"/>
    <w:tmpl w:val="56E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F5AE1"/>
    <w:multiLevelType w:val="hybridMultilevel"/>
    <w:tmpl w:val="52F4B8D8"/>
    <w:lvl w:ilvl="0" w:tplc="D8F01998">
      <w:start w:val="1"/>
      <w:numFmt w:val="bullet"/>
      <w:lvlText w:val=""/>
      <w:lvlPicBulletId w:val="0"/>
      <w:lvlJc w:val="left"/>
      <w:pPr>
        <w:tabs>
          <w:tab w:val="num" w:pos="720"/>
        </w:tabs>
        <w:ind w:left="720" w:hanging="360"/>
      </w:pPr>
      <w:rPr>
        <w:rFonts w:ascii="Symbol" w:hAnsi="Symbol" w:hint="default"/>
      </w:rPr>
    </w:lvl>
    <w:lvl w:ilvl="1" w:tplc="4934DB42" w:tentative="1">
      <w:start w:val="1"/>
      <w:numFmt w:val="bullet"/>
      <w:lvlText w:val=""/>
      <w:lvlJc w:val="left"/>
      <w:pPr>
        <w:tabs>
          <w:tab w:val="num" w:pos="1440"/>
        </w:tabs>
        <w:ind w:left="1440" w:hanging="360"/>
      </w:pPr>
      <w:rPr>
        <w:rFonts w:ascii="Symbol" w:hAnsi="Symbol" w:hint="default"/>
      </w:rPr>
    </w:lvl>
    <w:lvl w:ilvl="2" w:tplc="FBBE46DE" w:tentative="1">
      <w:start w:val="1"/>
      <w:numFmt w:val="bullet"/>
      <w:lvlText w:val=""/>
      <w:lvlJc w:val="left"/>
      <w:pPr>
        <w:tabs>
          <w:tab w:val="num" w:pos="2160"/>
        </w:tabs>
        <w:ind w:left="2160" w:hanging="360"/>
      </w:pPr>
      <w:rPr>
        <w:rFonts w:ascii="Symbol" w:hAnsi="Symbol" w:hint="default"/>
      </w:rPr>
    </w:lvl>
    <w:lvl w:ilvl="3" w:tplc="22520BAA" w:tentative="1">
      <w:start w:val="1"/>
      <w:numFmt w:val="bullet"/>
      <w:lvlText w:val=""/>
      <w:lvlJc w:val="left"/>
      <w:pPr>
        <w:tabs>
          <w:tab w:val="num" w:pos="2880"/>
        </w:tabs>
        <w:ind w:left="2880" w:hanging="360"/>
      </w:pPr>
      <w:rPr>
        <w:rFonts w:ascii="Symbol" w:hAnsi="Symbol" w:hint="default"/>
      </w:rPr>
    </w:lvl>
    <w:lvl w:ilvl="4" w:tplc="F2A43204" w:tentative="1">
      <w:start w:val="1"/>
      <w:numFmt w:val="bullet"/>
      <w:lvlText w:val=""/>
      <w:lvlJc w:val="left"/>
      <w:pPr>
        <w:tabs>
          <w:tab w:val="num" w:pos="3600"/>
        </w:tabs>
        <w:ind w:left="3600" w:hanging="360"/>
      </w:pPr>
      <w:rPr>
        <w:rFonts w:ascii="Symbol" w:hAnsi="Symbol" w:hint="default"/>
      </w:rPr>
    </w:lvl>
    <w:lvl w:ilvl="5" w:tplc="48FE8B9C" w:tentative="1">
      <w:start w:val="1"/>
      <w:numFmt w:val="bullet"/>
      <w:lvlText w:val=""/>
      <w:lvlJc w:val="left"/>
      <w:pPr>
        <w:tabs>
          <w:tab w:val="num" w:pos="4320"/>
        </w:tabs>
        <w:ind w:left="4320" w:hanging="360"/>
      </w:pPr>
      <w:rPr>
        <w:rFonts w:ascii="Symbol" w:hAnsi="Symbol" w:hint="default"/>
      </w:rPr>
    </w:lvl>
    <w:lvl w:ilvl="6" w:tplc="8B829CDE" w:tentative="1">
      <w:start w:val="1"/>
      <w:numFmt w:val="bullet"/>
      <w:lvlText w:val=""/>
      <w:lvlJc w:val="left"/>
      <w:pPr>
        <w:tabs>
          <w:tab w:val="num" w:pos="5040"/>
        </w:tabs>
        <w:ind w:left="5040" w:hanging="360"/>
      </w:pPr>
      <w:rPr>
        <w:rFonts w:ascii="Symbol" w:hAnsi="Symbol" w:hint="default"/>
      </w:rPr>
    </w:lvl>
    <w:lvl w:ilvl="7" w:tplc="5A4804C8" w:tentative="1">
      <w:start w:val="1"/>
      <w:numFmt w:val="bullet"/>
      <w:lvlText w:val=""/>
      <w:lvlJc w:val="left"/>
      <w:pPr>
        <w:tabs>
          <w:tab w:val="num" w:pos="5760"/>
        </w:tabs>
        <w:ind w:left="5760" w:hanging="360"/>
      </w:pPr>
      <w:rPr>
        <w:rFonts w:ascii="Symbol" w:hAnsi="Symbol" w:hint="default"/>
      </w:rPr>
    </w:lvl>
    <w:lvl w:ilvl="8" w:tplc="A9C2185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4D2017A"/>
    <w:multiLevelType w:val="multilevel"/>
    <w:tmpl w:val="A4EE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07FED"/>
    <w:multiLevelType w:val="hybridMultilevel"/>
    <w:tmpl w:val="E3D8528A"/>
    <w:lvl w:ilvl="0" w:tplc="DBCA88D2">
      <w:start w:val="1"/>
      <w:numFmt w:val="bullet"/>
      <w:lvlText w:val=""/>
      <w:lvlPicBulletId w:val="1"/>
      <w:lvlJc w:val="left"/>
      <w:pPr>
        <w:tabs>
          <w:tab w:val="num" w:pos="720"/>
        </w:tabs>
        <w:ind w:left="720" w:hanging="360"/>
      </w:pPr>
      <w:rPr>
        <w:rFonts w:ascii="Symbol" w:hAnsi="Symbol" w:hint="default"/>
      </w:rPr>
    </w:lvl>
    <w:lvl w:ilvl="1" w:tplc="628047F2" w:tentative="1">
      <w:start w:val="1"/>
      <w:numFmt w:val="bullet"/>
      <w:lvlText w:val=""/>
      <w:lvlJc w:val="left"/>
      <w:pPr>
        <w:tabs>
          <w:tab w:val="num" w:pos="1440"/>
        </w:tabs>
        <w:ind w:left="1440" w:hanging="360"/>
      </w:pPr>
      <w:rPr>
        <w:rFonts w:ascii="Symbol" w:hAnsi="Symbol" w:hint="default"/>
      </w:rPr>
    </w:lvl>
    <w:lvl w:ilvl="2" w:tplc="5D4CB312" w:tentative="1">
      <w:start w:val="1"/>
      <w:numFmt w:val="bullet"/>
      <w:lvlText w:val=""/>
      <w:lvlJc w:val="left"/>
      <w:pPr>
        <w:tabs>
          <w:tab w:val="num" w:pos="2160"/>
        </w:tabs>
        <w:ind w:left="2160" w:hanging="360"/>
      </w:pPr>
      <w:rPr>
        <w:rFonts w:ascii="Symbol" w:hAnsi="Symbol" w:hint="default"/>
      </w:rPr>
    </w:lvl>
    <w:lvl w:ilvl="3" w:tplc="48C28EE6" w:tentative="1">
      <w:start w:val="1"/>
      <w:numFmt w:val="bullet"/>
      <w:lvlText w:val=""/>
      <w:lvlJc w:val="left"/>
      <w:pPr>
        <w:tabs>
          <w:tab w:val="num" w:pos="2880"/>
        </w:tabs>
        <w:ind w:left="2880" w:hanging="360"/>
      </w:pPr>
      <w:rPr>
        <w:rFonts w:ascii="Symbol" w:hAnsi="Symbol" w:hint="default"/>
      </w:rPr>
    </w:lvl>
    <w:lvl w:ilvl="4" w:tplc="9088547E" w:tentative="1">
      <w:start w:val="1"/>
      <w:numFmt w:val="bullet"/>
      <w:lvlText w:val=""/>
      <w:lvlJc w:val="left"/>
      <w:pPr>
        <w:tabs>
          <w:tab w:val="num" w:pos="3600"/>
        </w:tabs>
        <w:ind w:left="3600" w:hanging="360"/>
      </w:pPr>
      <w:rPr>
        <w:rFonts w:ascii="Symbol" w:hAnsi="Symbol" w:hint="default"/>
      </w:rPr>
    </w:lvl>
    <w:lvl w:ilvl="5" w:tplc="CB38E29E" w:tentative="1">
      <w:start w:val="1"/>
      <w:numFmt w:val="bullet"/>
      <w:lvlText w:val=""/>
      <w:lvlJc w:val="left"/>
      <w:pPr>
        <w:tabs>
          <w:tab w:val="num" w:pos="4320"/>
        </w:tabs>
        <w:ind w:left="4320" w:hanging="360"/>
      </w:pPr>
      <w:rPr>
        <w:rFonts w:ascii="Symbol" w:hAnsi="Symbol" w:hint="default"/>
      </w:rPr>
    </w:lvl>
    <w:lvl w:ilvl="6" w:tplc="49DE25A8" w:tentative="1">
      <w:start w:val="1"/>
      <w:numFmt w:val="bullet"/>
      <w:lvlText w:val=""/>
      <w:lvlJc w:val="left"/>
      <w:pPr>
        <w:tabs>
          <w:tab w:val="num" w:pos="5040"/>
        </w:tabs>
        <w:ind w:left="5040" w:hanging="360"/>
      </w:pPr>
      <w:rPr>
        <w:rFonts w:ascii="Symbol" w:hAnsi="Symbol" w:hint="default"/>
      </w:rPr>
    </w:lvl>
    <w:lvl w:ilvl="7" w:tplc="19A66674" w:tentative="1">
      <w:start w:val="1"/>
      <w:numFmt w:val="bullet"/>
      <w:lvlText w:val=""/>
      <w:lvlJc w:val="left"/>
      <w:pPr>
        <w:tabs>
          <w:tab w:val="num" w:pos="5760"/>
        </w:tabs>
        <w:ind w:left="5760" w:hanging="360"/>
      </w:pPr>
      <w:rPr>
        <w:rFonts w:ascii="Symbol" w:hAnsi="Symbol" w:hint="default"/>
      </w:rPr>
    </w:lvl>
    <w:lvl w:ilvl="8" w:tplc="066230A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F2B419F"/>
    <w:multiLevelType w:val="multilevel"/>
    <w:tmpl w:val="7338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F5368"/>
    <w:multiLevelType w:val="multilevel"/>
    <w:tmpl w:val="09D0A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5638C"/>
    <w:multiLevelType w:val="multilevel"/>
    <w:tmpl w:val="59B0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7F8"/>
    <w:multiLevelType w:val="multilevel"/>
    <w:tmpl w:val="20A0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A3C66"/>
    <w:multiLevelType w:val="multilevel"/>
    <w:tmpl w:val="B9A2F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100672"/>
    <w:multiLevelType w:val="multilevel"/>
    <w:tmpl w:val="F1E6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40CBA"/>
    <w:multiLevelType w:val="multilevel"/>
    <w:tmpl w:val="CAD4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C4E6B"/>
    <w:multiLevelType w:val="hybridMultilevel"/>
    <w:tmpl w:val="42622992"/>
    <w:lvl w:ilvl="0" w:tplc="2766C550">
      <w:start w:val="1"/>
      <w:numFmt w:val="decimal"/>
      <w:lvlText w:val="%1."/>
      <w:lvlJc w:val="left"/>
      <w:pPr>
        <w:ind w:left="720" w:hanging="360"/>
      </w:pPr>
    </w:lvl>
    <w:lvl w:ilvl="1" w:tplc="00D66976">
      <w:start w:val="1"/>
      <w:numFmt w:val="lowerLetter"/>
      <w:lvlText w:val="%2."/>
      <w:lvlJc w:val="left"/>
      <w:pPr>
        <w:ind w:left="1440" w:hanging="360"/>
      </w:pPr>
    </w:lvl>
    <w:lvl w:ilvl="2" w:tplc="62560CE0">
      <w:start w:val="1"/>
      <w:numFmt w:val="lowerRoman"/>
      <w:lvlText w:val="%3."/>
      <w:lvlJc w:val="right"/>
      <w:pPr>
        <w:ind w:left="2160" w:hanging="180"/>
      </w:pPr>
    </w:lvl>
    <w:lvl w:ilvl="3" w:tplc="72EE6F82">
      <w:start w:val="1"/>
      <w:numFmt w:val="decimal"/>
      <w:lvlText w:val="%4."/>
      <w:lvlJc w:val="left"/>
      <w:pPr>
        <w:ind w:left="2880" w:hanging="360"/>
      </w:pPr>
    </w:lvl>
    <w:lvl w:ilvl="4" w:tplc="6BA6381A">
      <w:start w:val="1"/>
      <w:numFmt w:val="lowerLetter"/>
      <w:lvlText w:val="%5."/>
      <w:lvlJc w:val="left"/>
      <w:pPr>
        <w:ind w:left="3600" w:hanging="360"/>
      </w:pPr>
    </w:lvl>
    <w:lvl w:ilvl="5" w:tplc="9606D4FC">
      <w:start w:val="1"/>
      <w:numFmt w:val="lowerRoman"/>
      <w:lvlText w:val="%6."/>
      <w:lvlJc w:val="right"/>
      <w:pPr>
        <w:ind w:left="4320" w:hanging="180"/>
      </w:pPr>
    </w:lvl>
    <w:lvl w:ilvl="6" w:tplc="3EDA8EFA">
      <w:start w:val="1"/>
      <w:numFmt w:val="decimal"/>
      <w:lvlText w:val="%7."/>
      <w:lvlJc w:val="left"/>
      <w:pPr>
        <w:ind w:left="5040" w:hanging="360"/>
      </w:pPr>
    </w:lvl>
    <w:lvl w:ilvl="7" w:tplc="77B86B1E">
      <w:start w:val="1"/>
      <w:numFmt w:val="lowerLetter"/>
      <w:lvlText w:val="%8."/>
      <w:lvlJc w:val="left"/>
      <w:pPr>
        <w:ind w:left="5760" w:hanging="360"/>
      </w:pPr>
    </w:lvl>
    <w:lvl w:ilvl="8" w:tplc="D8502486">
      <w:start w:val="1"/>
      <w:numFmt w:val="lowerRoman"/>
      <w:lvlText w:val="%9."/>
      <w:lvlJc w:val="right"/>
      <w:pPr>
        <w:ind w:left="6480" w:hanging="180"/>
      </w:pPr>
    </w:lvl>
  </w:abstractNum>
  <w:abstractNum w:abstractNumId="15" w15:restartNumberingAfterBreak="0">
    <w:nsid w:val="596F3BDB"/>
    <w:multiLevelType w:val="multilevel"/>
    <w:tmpl w:val="F630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75BE9"/>
    <w:multiLevelType w:val="multilevel"/>
    <w:tmpl w:val="9228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502D4"/>
    <w:multiLevelType w:val="multilevel"/>
    <w:tmpl w:val="7026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C0544"/>
    <w:multiLevelType w:val="multilevel"/>
    <w:tmpl w:val="460C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666CA"/>
    <w:multiLevelType w:val="multilevel"/>
    <w:tmpl w:val="1D78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D0CA6"/>
    <w:multiLevelType w:val="multilevel"/>
    <w:tmpl w:val="E8A2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3C2F0E"/>
    <w:multiLevelType w:val="multilevel"/>
    <w:tmpl w:val="CDCA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AF5511"/>
    <w:multiLevelType w:val="multilevel"/>
    <w:tmpl w:val="698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A24180"/>
    <w:multiLevelType w:val="multilevel"/>
    <w:tmpl w:val="2BEA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A7E49"/>
    <w:multiLevelType w:val="multilevel"/>
    <w:tmpl w:val="1C1E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496E8B"/>
    <w:multiLevelType w:val="multilevel"/>
    <w:tmpl w:val="2A66E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C3FEC"/>
    <w:multiLevelType w:val="multilevel"/>
    <w:tmpl w:val="F520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526294">
    <w:abstractNumId w:val="14"/>
  </w:num>
  <w:num w:numId="2" w16cid:durableId="1699040901">
    <w:abstractNumId w:val="2"/>
  </w:num>
  <w:num w:numId="3" w16cid:durableId="1203909283">
    <w:abstractNumId w:val="26"/>
  </w:num>
  <w:num w:numId="4" w16cid:durableId="1768191373">
    <w:abstractNumId w:val="11"/>
  </w:num>
  <w:num w:numId="5" w16cid:durableId="811945718">
    <w:abstractNumId w:val="0"/>
  </w:num>
  <w:num w:numId="6" w16cid:durableId="84959045">
    <w:abstractNumId w:val="25"/>
  </w:num>
  <w:num w:numId="7" w16cid:durableId="1897542888">
    <w:abstractNumId w:val="7"/>
  </w:num>
  <w:num w:numId="8" w16cid:durableId="1988629911">
    <w:abstractNumId w:val="20"/>
  </w:num>
  <w:num w:numId="9" w16cid:durableId="660892280">
    <w:abstractNumId w:val="23"/>
  </w:num>
  <w:num w:numId="10" w16cid:durableId="1164708008">
    <w:abstractNumId w:val="13"/>
  </w:num>
  <w:num w:numId="11" w16cid:durableId="410391941">
    <w:abstractNumId w:val="8"/>
  </w:num>
  <w:num w:numId="12" w16cid:durableId="2119905914">
    <w:abstractNumId w:val="12"/>
  </w:num>
  <w:num w:numId="13" w16cid:durableId="372118931">
    <w:abstractNumId w:val="10"/>
  </w:num>
  <w:num w:numId="14" w16cid:durableId="700056040">
    <w:abstractNumId w:val="15"/>
  </w:num>
  <w:num w:numId="15" w16cid:durableId="368723481">
    <w:abstractNumId w:val="16"/>
  </w:num>
  <w:num w:numId="16" w16cid:durableId="1370764630">
    <w:abstractNumId w:val="24"/>
  </w:num>
  <w:num w:numId="17" w16cid:durableId="406610183">
    <w:abstractNumId w:val="17"/>
  </w:num>
  <w:num w:numId="18" w16cid:durableId="919758479">
    <w:abstractNumId w:val="3"/>
  </w:num>
  <w:num w:numId="19" w16cid:durableId="450518388">
    <w:abstractNumId w:val="9"/>
  </w:num>
  <w:num w:numId="20" w16cid:durableId="1233157768">
    <w:abstractNumId w:val="19"/>
  </w:num>
  <w:num w:numId="21" w16cid:durableId="622662325">
    <w:abstractNumId w:val="22"/>
  </w:num>
  <w:num w:numId="22" w16cid:durableId="1567647323">
    <w:abstractNumId w:val="21"/>
  </w:num>
  <w:num w:numId="23" w16cid:durableId="2101949083">
    <w:abstractNumId w:val="18"/>
  </w:num>
  <w:num w:numId="24" w16cid:durableId="1889800272">
    <w:abstractNumId w:val="1"/>
  </w:num>
  <w:num w:numId="25" w16cid:durableId="1817797149">
    <w:abstractNumId w:val="5"/>
  </w:num>
  <w:num w:numId="26" w16cid:durableId="1197739058">
    <w:abstractNumId w:val="4"/>
  </w:num>
  <w:num w:numId="27" w16cid:durableId="581263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2C"/>
    <w:rsid w:val="001435B8"/>
    <w:rsid w:val="0018636D"/>
    <w:rsid w:val="001A04BF"/>
    <w:rsid w:val="001E0797"/>
    <w:rsid w:val="004648B0"/>
    <w:rsid w:val="00551A74"/>
    <w:rsid w:val="005F1B7D"/>
    <w:rsid w:val="005F6958"/>
    <w:rsid w:val="006123CF"/>
    <w:rsid w:val="007C1B88"/>
    <w:rsid w:val="009B32FD"/>
    <w:rsid w:val="00AF767F"/>
    <w:rsid w:val="00B0152C"/>
    <w:rsid w:val="00C30A1F"/>
    <w:rsid w:val="00C84383"/>
    <w:rsid w:val="00CF19C5"/>
    <w:rsid w:val="00D90AFA"/>
    <w:rsid w:val="00E056FB"/>
    <w:rsid w:val="00EF16FD"/>
    <w:rsid w:val="00F24C17"/>
    <w:rsid w:val="0C2F9DF9"/>
    <w:rsid w:val="1264F2FA"/>
    <w:rsid w:val="1F7356F0"/>
    <w:rsid w:val="4D26C5AF"/>
    <w:rsid w:val="4EEA4F04"/>
    <w:rsid w:val="51947FDF"/>
    <w:rsid w:val="5D40330F"/>
    <w:rsid w:val="63497EAA"/>
    <w:rsid w:val="692CD311"/>
    <w:rsid w:val="695D315F"/>
    <w:rsid w:val="714C7EE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8D2B"/>
  <w15:chartTrackingRefBased/>
  <w15:docId w15:val="{88FFF96A-AE12-4D6C-B3A1-21FC4B8BA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52C"/>
    <w:rPr>
      <w:rFonts w:eastAsiaTheme="majorEastAsia" w:cstheme="majorBidi"/>
      <w:color w:val="272727" w:themeColor="text1" w:themeTint="D8"/>
    </w:rPr>
  </w:style>
  <w:style w:type="paragraph" w:styleId="Title">
    <w:name w:val="Title"/>
    <w:basedOn w:val="Normal"/>
    <w:next w:val="Normal"/>
    <w:link w:val="TitleChar"/>
    <w:uiPriority w:val="10"/>
    <w:qFormat/>
    <w:rsid w:val="00B01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52C"/>
    <w:pPr>
      <w:spacing w:before="160"/>
      <w:jc w:val="center"/>
    </w:pPr>
    <w:rPr>
      <w:i/>
      <w:iCs/>
      <w:color w:val="404040" w:themeColor="text1" w:themeTint="BF"/>
    </w:rPr>
  </w:style>
  <w:style w:type="character" w:customStyle="1" w:styleId="QuoteChar">
    <w:name w:val="Quote Char"/>
    <w:basedOn w:val="DefaultParagraphFont"/>
    <w:link w:val="Quote"/>
    <w:uiPriority w:val="29"/>
    <w:rsid w:val="00B0152C"/>
    <w:rPr>
      <w:i/>
      <w:iCs/>
      <w:color w:val="404040" w:themeColor="text1" w:themeTint="BF"/>
    </w:rPr>
  </w:style>
  <w:style w:type="paragraph" w:styleId="ListParagraph">
    <w:name w:val="List Paragraph"/>
    <w:basedOn w:val="Normal"/>
    <w:uiPriority w:val="34"/>
    <w:qFormat/>
    <w:rsid w:val="00B0152C"/>
    <w:pPr>
      <w:ind w:left="720"/>
      <w:contextualSpacing/>
    </w:pPr>
  </w:style>
  <w:style w:type="character" w:styleId="IntenseEmphasis">
    <w:name w:val="Intense Emphasis"/>
    <w:basedOn w:val="DefaultParagraphFont"/>
    <w:uiPriority w:val="21"/>
    <w:qFormat/>
    <w:rsid w:val="00B0152C"/>
    <w:rPr>
      <w:i/>
      <w:iCs/>
      <w:color w:val="0F4761" w:themeColor="accent1" w:themeShade="BF"/>
    </w:rPr>
  </w:style>
  <w:style w:type="paragraph" w:styleId="IntenseQuote">
    <w:name w:val="Intense Quote"/>
    <w:basedOn w:val="Normal"/>
    <w:next w:val="Normal"/>
    <w:link w:val="IntenseQuoteChar"/>
    <w:uiPriority w:val="30"/>
    <w:qFormat/>
    <w:rsid w:val="00B01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52C"/>
    <w:rPr>
      <w:i/>
      <w:iCs/>
      <w:color w:val="0F4761" w:themeColor="accent1" w:themeShade="BF"/>
    </w:rPr>
  </w:style>
  <w:style w:type="character" w:styleId="IntenseReference">
    <w:name w:val="Intense Reference"/>
    <w:basedOn w:val="DefaultParagraphFont"/>
    <w:uiPriority w:val="32"/>
    <w:qFormat/>
    <w:rsid w:val="00B0152C"/>
    <w:rPr>
      <w:b/>
      <w:bCs/>
      <w:smallCaps/>
      <w:color w:val="0F4761" w:themeColor="accent1" w:themeShade="BF"/>
      <w:spacing w:val="5"/>
    </w:rPr>
  </w:style>
  <w:style w:type="character" w:styleId="Hyperlink">
    <w:name w:val="Hyperlink"/>
    <w:basedOn w:val="DefaultParagraphFont"/>
    <w:uiPriority w:val="99"/>
    <w:unhideWhenUsed/>
    <w:rsid w:val="005F6958"/>
    <w:rPr>
      <w:color w:val="467886" w:themeColor="hyperlink"/>
      <w:u w:val="single"/>
    </w:rPr>
  </w:style>
  <w:style w:type="character" w:styleId="FollowedHyperlink">
    <w:name w:val="FollowedHyperlink"/>
    <w:basedOn w:val="DefaultParagraphFont"/>
    <w:uiPriority w:val="99"/>
    <w:semiHidden/>
    <w:unhideWhenUsed/>
    <w:rsid w:val="005F69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eeexplore.ieee.org/stamp/stamp.jsp?arnumber=1068108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D9CAF-50E8-4735-9B2A-9134C01F0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14</Pages>
  <Words>4448</Words>
  <Characters>30205</Characters>
  <Application>Microsoft Office Word</Application>
  <DocSecurity>0</DocSecurity>
  <Lines>471</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Murad, Nagham</dc:creator>
  <cp:keywords/>
  <dc:description/>
  <cp:lastModifiedBy>Alsharif, Heba</cp:lastModifiedBy>
  <cp:revision>9</cp:revision>
  <dcterms:created xsi:type="dcterms:W3CDTF">2026-02-22T19:15:00Z</dcterms:created>
  <dcterms:modified xsi:type="dcterms:W3CDTF">2026-02-27T19:43:00Z</dcterms:modified>
</cp:coreProperties>
</file>