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1. Caractéristiques des patients à l'inclusion,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2. Caractéristiques tumorales, prise en charge chirurgicale et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Résécabilité,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Métastatique,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Une récidive à la fois locale et métastatique est comptée dans les deux catégories.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3. Nombre de cures reçues,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d'induction,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adjuvante,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avec dose relative moyenne &gt;= 80 %,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4. Doses reçues et adaptations de doses,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Pourcentage d'adaptation,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C4,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C8,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C12,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4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35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5. Toxicité chimio-induite de grade III-IV,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Toxicité de grade III-IV,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Common Terminology Criteria for Adverse Events (CTCAE) v5.0.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6. Facteurs associés au nombre total de cures reçues.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7. Évènements.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8. Estimations de la survie globale,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9. Facteurs associés à la survie globale.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10. Estimations de la survie sans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11. Facteurs associés à la survie sans récidive.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2026-09-10T22:52:09Z</dcterms:modified>
  <cp:category/>
</cp:coreProperties>
</file>