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Analyse univariable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Analyse multivariable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n/N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HR [IC95%]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n/N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aHR [IC95%]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0,95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0,43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25/53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25/51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Péri-opératoire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21/50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0,98 [0,55 ; 1,76]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17/44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0,77 [0,40 ; 1,47]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Nantes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14/25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CHD La Roche-sur-Yon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12/25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0,88 [0,41 ; 1,91]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Angers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18/36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1,10 [0,54 ; 2,21]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2/17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0,35 [0,08 ; 1,53]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Âge au diagnostic, années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46/103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1,10 [0,93 ; 1,31]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42/95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1,11 [0,93 ; 1,33]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Résection chirurgicale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28/68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28/68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14/27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1,29 [0,68 ; 2,45]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14/27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1,22 [0,62 ; 2,39]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Complication post-opératoire majeure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3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43/98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4,88 [2,45 ; 9,71]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&lt;0,001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1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Modèle de régression de Cox multivariable stratifié sur le centre, incluant 42 évènements pour 95 observations complètes (8 observations supprimées pour cause de données manquantes).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2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Incrémentation par tranches de 5 ans.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3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Définie par un grade supérieur ou égal à III selon la classification de Clavien-Dindo.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Le critère de jugement est le délai entre la chirurgie et le décès toutes causes. Les patients sans évènement sont censurés à la date de point du centre. Un hazard ratio &gt; 1 est en faveur d'un risque plus élevé de décès toutes causes comparé au groupe de référence. HR : hazard ratio ; aHR : hazard ratio ajusté ; n/N : nombre d'évènements/nombre total d'observations ; IC95% : intervalle de confiance à 95%.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2026-09-10T22:51:55Z</dcterms:modified>
  <cp:category/>
</cp:coreProperties>
</file>