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48,5%)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Décès toutes causes, n (%)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46 (44,7)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 (47,2)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 (42,0)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Premier évènement,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Récidive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56 (54,4)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 (47,2)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31 (62,0)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Décès sans récidive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(7,8)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 (6,0)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Censure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39 (37,9)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23 (43,4)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16 (32,0)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2026-09-10T22:51:56Z</dcterms:modified>
  <cp:category/>
</cp:coreProperties>
</file>