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d'induction,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adjuvante,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avec dose relative moyenne &gt;= 80 %,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2026-09-10T22:51:57Z</dcterms:modified>
  <cp:category/>
</cp:coreProperties>
</file>