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Résécabilité,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Métastatique,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Une récidive à la fois locale et métastatique est comptée dans les deux catégories.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2026-09-10T22:52:07Z</dcterms:modified>
  <cp:category/>
</cp:coreProperties>
</file>