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58.png" ContentType="image/png"/>
  <Override PartName="/word/media/rId46.png" ContentType="image/png"/>
  <Override PartName="/word/media/rId71.png" ContentType="image/png"/>
  <Override PartName="/word/media/rId85.png" ContentType="image/png"/>
  <Override PartName="/word/media/rId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Thèse Nesrine</w:t>
      </w:r>
    </w:p>
    <w:p>
      <w:pPr>
        <w:pStyle w:val="Subtitle"/>
      </w:pPr>
      <w:r>
        <w:t xml:space="preserve">Rapport d’analyse statistique</w:t>
      </w:r>
    </w:p>
    <w:p>
      <w:pPr>
        <w:pStyle w:val="Date"/>
      </w:pPr>
      <w:r>
        <w:t xml:space="preserve">2026-09-06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"1-4" \h \z \u</w:instrText>
            <w:fldChar w:fldCharType="separate"/>
            <w:fldChar w:fldCharType="end"/>
          </w:r>
        </w:p>
      </w:sdtContent>
    </w:sdt>
    <w:p>
      <w:pPr>
        <w:spacing w:before="0" w:after="0" w:line="20" w:lineRule="exact"/>
        <w:rPr>
          <w:sz w:val="2"/>
          <w:szCs w:val="2"/>
        </w:rPr>
      </w:pPr>
      <w:r>
        <w:rPr>
          <w:sz w:val="2"/>
          <w:szCs w:val="2"/>
        </w:rPr>
        <w:br w:type="page"/>
      </w:r>
    </w:p>
    <w:bookmarkStart w:id="35" w:name="matériel-et-méthodes"/>
    <w:p>
      <w:pPr>
        <w:pStyle w:val="Heading1"/>
      </w:pPr>
      <w:r>
        <w:t xml:space="preserve">Matériel et méthodes</w:t>
      </w:r>
    </w:p>
    <w:bookmarkStart w:id="18" w:name="design-et-aspects-réglementaires"/>
    <w:p>
      <w:pPr>
        <w:pStyle w:val="Heading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18"/>
    <w:bookmarkStart w:id="19" w:name="objectifs-de-létude"/>
    <w:p>
      <w:pPr>
        <w:pStyle w:val="Heading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19"/>
    <w:bookmarkStart w:id="22" w:name="critères-de-jugement"/>
    <w:p>
      <w:pPr>
        <w:pStyle w:val="Heading2"/>
      </w:pPr>
      <w:r>
        <w:t xml:space="preserve">Critères de jugement</w:t>
      </w:r>
    </w:p>
    <w:bookmarkStart w:id="20" w:name="critère-de-jugement-principal"/>
    <w:p>
      <w:pPr>
        <w:pStyle w:val="Heading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20"/>
    <w:bookmarkStart w:id="21" w:name="critères-de-jugement-secondaires"/>
    <w:p>
      <w:pPr>
        <w:pStyle w:val="Heading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21"/>
    <w:bookmarkEnd w:id="22"/>
    <w:bookmarkStart w:id="23" w:name="population-détude"/>
    <w:p>
      <w:pPr>
        <w:pStyle w:val="Heading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23"/>
    <w:bookmarkStart w:id="34" w:name="plan-danalyse-statistique"/>
    <w:p>
      <w:pPr>
        <w:pStyle w:val="Heading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24" w:name="analyses-descriptives"/>
    <w:p>
      <w:pPr>
        <w:pStyle w:val="Heading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24"/>
    <w:bookmarkStart w:id="25" w:name="analyse-du-critère-de-jugement-principal"/>
    <w:p>
      <w:pPr>
        <w:pStyle w:val="Heading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25"/>
    <w:bookmarkStart w:id="30" w:name="analyses-de-survie"/>
    <w:p>
      <w:pPr>
        <w:pStyle w:val="Heading3"/>
      </w:pPr>
      <w:r>
        <w:t xml:space="preserve">Analyses de survie</w:t>
      </w:r>
    </w:p>
    <w:p>
      <w:pPr>
        <w:pStyle w:val="FirstParagraph"/>
      </w:pPr>
      <w:r>
        <w:t xml:space="preserve">La survie globale et la survie sans récidive ont fait l’objet du même plan d’analyse.</w:t>
      </w:r>
    </w:p>
    <w:bookmarkStart w:id="26" w:name="suivi-des-patients"/>
    <w:p>
      <w:pPr>
        <w:pStyle w:val="Heading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26"/>
    <w:bookmarkStart w:id="27" w:name="évènements"/>
    <w:p>
      <w:pPr>
        <w:pStyle w:val="Heading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27"/>
    <w:bookmarkStart w:id="28" w:name="courbes-de-survie"/>
    <w:p>
      <w:pPr>
        <w:pStyle w:val="Heading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28"/>
    <w:bookmarkStart w:id="29" w:name="modèles-de-cox"/>
    <w:p>
      <w:pPr>
        <w:pStyle w:val="Heading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29"/>
    <w:bookmarkEnd w:id="30"/>
    <w:bookmarkStart w:id="31" w:name="données-manquantes"/>
    <w:p>
      <w:pPr>
        <w:pStyle w:val="Heading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31"/>
    <w:bookmarkStart w:id="32" w:name="taille-déchantillon"/>
    <w:p>
      <w:pPr>
        <w:pStyle w:val="Heading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32"/>
    <w:bookmarkStart w:id="33" w:name="environnement-logiciel"/>
    <w:p>
      <w:pPr>
        <w:pStyle w:val="Heading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i/>
          <w:iCs/>
        </w:rPr>
        <w:t xml:space="preserve">survival</w:t>
      </w:r>
      <w:r>
        <w:t xml:space="preserve"> </w:t>
      </w:r>
      <w:r>
        <w:t xml:space="preserve">(version 3.8.6).</w:t>
      </w:r>
      <w:r>
        <w:t xml:space="preserve"> </w:t>
      </w:r>
      <w:r>
        <w:t xml:space="preserve">Les modèles de comptage ont été obtenus avec</w:t>
      </w:r>
      <w:r>
        <w:t xml:space="preserve"> </w:t>
      </w:r>
      <w:r>
        <w:rPr>
          <w:i/>
          <w:iCs/>
        </w:rPr>
        <w:t xml:space="preserve">stats::glm</w:t>
      </w:r>
      <w:r>
        <w:t xml:space="preserve"> </w:t>
      </w:r>
      <w:r>
        <w:t xml:space="preserve">(familles Poisson et quasi-Poisson), et leurs diagnostics avec</w:t>
      </w:r>
      <w:r>
        <w:t xml:space="preserve"> </w:t>
      </w:r>
      <w:r>
        <w:rPr>
          <w:i/>
          <w:iCs/>
        </w:rPr>
        <w:t xml:space="preserve">performance</w:t>
      </w:r>
      <w:r>
        <w:t xml:space="preserve"> </w:t>
      </w:r>
      <w:r>
        <w:t xml:space="preserve">(version 0.18.2).</w:t>
      </w:r>
      <w:r>
        <w:t xml:space="preserve"> </w:t>
      </w:r>
      <w:r>
        <w:t xml:space="preserve">Les p-valeurs globales par variable ont été obtenues avec</w:t>
      </w:r>
      <w:r>
        <w:t xml:space="preserve"> </w:t>
      </w:r>
      <w:r>
        <w:rPr>
          <w:i/>
          <w:iCs/>
        </w:rPr>
        <w:t xml:space="preserve">car</w:t>
      </w:r>
      <w:r>
        <w:t xml:space="preserve"> </w:t>
      </w:r>
      <w:r>
        <w:t xml:space="preserve">(version 3.1.5).</w:t>
      </w:r>
    </w:p>
    <w:bookmarkEnd w:id="33"/>
    <w:bookmarkEnd w:id="34"/>
    <w:bookmarkEnd w:id="35"/>
    <w:bookmarkStart w:id="94" w:name="résultats"/>
    <w:p>
      <w:pPr>
        <w:pStyle w:val="Heading1"/>
      </w:pPr>
      <w:r>
        <w:t xml:space="preserve">Résultats</w:t>
      </w:r>
    </w:p>
    <w:bookmarkStart w:id="40" w:name="flowchart"/>
    <w:p>
      <w:pPr>
        <w:pStyle w:val="Heading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39" w:name="fig-flowchart"/>
          <w:p>
            <w:pPr>
              <w:pStyle w:val="TableCaption"/>
            </w:pPr>
            <w:r>
              <w:t xml:space="preserve">Figure 1. Flowchart</w:t>
            </w:r>
          </w:p>
          <w:p>
            <w:pPr>
              <w:pStyle w:val="Figure"/>
            </w:pPr>
            <w:r>
              <w:drawing>
                <wp:inline>
                  <wp:extent cx="5753100" cy="4960818"/>
                  <wp:effectExtent b="0" l="0" r="0" t="0"/>
                  <wp:docPr descr="" title="" id="37" name="Picture"/>
                  <a:graphic>
                    <a:graphicData uri="http://schemas.openxmlformats.org/drawingml/2006/picture">
                      <pic:pic>
                        <pic:nvPicPr>
                          <pic:cNvPr descr="output/fig-flowchart/fig-flowchart.png" id="38" name="Picture"/>
                          <pic:cNvPicPr>
                            <a:picLocks noChangeArrowheads="1" noChangeAspect="1"/>
                          </pic:cNvPicPr>
                        </pic:nvPicPr>
                        <pic:blipFill>
                          <a:blip r:embed="rId36"/>
                          <a:stretch>
                            <a:fillRect/>
                          </a:stretch>
                        </pic:blipFill>
                        <pic:spPr bwMode="auto">
                          <a:xfrm>
                            <a:off x="0" y="0"/>
                            <a:ext cx="5753100" cy="4960818"/>
                          </a:xfrm>
                          <a:prstGeom prst="rect">
                            <a:avLst/>
                          </a:prstGeom>
                          <a:noFill/>
                          <a:ln w="9525">
                            <a:noFill/>
                            <a:headEnd/>
                            <a:tailEnd/>
                          </a:ln>
                        </pic:spPr>
                      </pic:pic>
                    </a:graphicData>
                  </a:graphic>
                </wp:inline>
              </w:drawing>
            </w:r>
          </w:p>
          <w:bookmarkEnd w:id="39"/>
        </w:tc>
      </w:tr>
    </w:tbl>
    <w:bookmarkEnd w:id="40"/>
    <w:bookmarkStart w:id="55" w:name="analyses-descriptives-1"/>
    <w:p>
      <w:pPr>
        <w:pStyle w:val="Heading2"/>
      </w:pPr>
      <w:r>
        <w:t xml:space="preserve">Analyses descriptives</w:t>
      </w:r>
    </w:p>
    <w:bookmarkStart w:id="42" w:name="Xd890cd66b2da206e7de9579e040157789a36c00"/>
    <w:p>
      <w:pPr>
        <w:pStyle w:val="Heading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bookmarkStart w:id="41" w:name="tbl-baseline"/>
    <w:p>
      <w:pPr>
        <w:pStyle w:val="Tabl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Queue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bl>
    <w:p>
      <w:pPr>
        <w:spacing w:before="0" w:after="0" w:line="20" w:lineRule="exact"/>
        <w:rPr>
          <w:sz w:val="2"/>
          <w:szCs w:val="2"/>
        </w:rPr>
      </w:pPr>
    </w:p>
    <w:bookmarkEnd w:id="41"/>
    <w:bookmarkEnd w:id="42"/>
    <w:bookmarkStart w:id="44" w:name="X12b60f835577d4c57e1f671a1465945a3463cd1"/>
    <w:p>
      <w:pPr>
        <w:pStyle w:val="Heading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bookmarkStart w:id="43" w:name="tbl-tumor"/>
    <w:p>
      <w:pPr>
        <w:pStyle w:val="Tabl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Une récidive à la fois locale et métastatique est comptée dans les deux catégories.</w:t>
            </w:r>
          </w:p>
        </w:tc>
      </w:tr>
    </w:tbl>
    <w:p>
      <w:pPr>
        <w:spacing w:before="0" w:after="0" w:line="20" w:lineRule="exact"/>
        <w:rPr>
          <w:sz w:val="2"/>
          <w:szCs w:val="2"/>
        </w:rPr>
      </w:pPr>
    </w:p>
    <w:bookmarkEnd w:id="43"/>
    <w:bookmarkEnd w:id="44"/>
    <w:bookmarkStart w:id="50" w:name="critère-de-jugement-principal-1"/>
    <w:p>
      <w:pPr>
        <w:pStyle w:val="Heading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bookmarkStart w:id="45" w:name="tbl-outcome"/>
    <w:p>
      <w:pPr>
        <w:pStyle w:val="Tabl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Sans réduction de dose de plus de 20 % à la dernière cure de chaque phase, sur aucune des trois molécules.</w:t>
            </w:r>
          </w:p>
        </w:tc>
      </w:tr>
    </w:tbl>
    <w:p>
      <w:pPr>
        <w:spacing w:before="0" w:after="0" w:line="20" w:lineRule="exact"/>
        <w:rPr>
          <w:sz w:val="2"/>
          <w:szCs w:val="2"/>
        </w:rPr>
      </w:pPr>
    </w:p>
    <w:bookmarkEnd w:id="45"/>
    <w:tbl>
      <w:tblPr>
        <w:tblStyle w:val="Table"/>
        <w:tblW w:type="pct" w:w="5000"/>
        <w:tblLayout w:type="fixed"/>
        <w:tblLook w:firstRow="0" w:lastRow="0" w:firstColumn="0" w:lastColumn="0" w:noHBand="0" w:noVBand="0" w:val="0000"/>
      </w:tblPr>
      <w:tblGrid>
        <w:gridCol w:w="7920"/>
      </w:tblGrid>
      <w:tr>
        <w:tc>
          <w:tcPr/>
          <w:bookmarkStart w:id="49" w:name="fig-outcome"/>
          <w:p>
            <w:pPr>
              <w:pStyle w:val="CaptionedFigure"/>
            </w:pPr>
            <w:r>
              <w:drawing>
                <wp:inline>
                  <wp:extent cx="5177790" cy="4314825"/>
                  <wp:effectExtent b="0" l="0" r="0" t="0"/>
                  <wp:docPr descr="" title="" id="47" name="Picture"/>
                  <a:graphic>
                    <a:graphicData uri="http://schemas.openxmlformats.org/drawingml/2006/picture">
                      <pic:pic>
                        <pic:nvPicPr>
                          <pic:cNvPr descr="output/fig-outcome/fig-outcome.png" id="48" name="Picture"/>
                          <pic:cNvPicPr>
                            <a:picLocks noChangeArrowheads="1" noChangeAspect="1"/>
                          </pic:cNvPicPr>
                        </pic:nvPicPr>
                        <pic:blipFill>
                          <a:blip r:embed="rId46"/>
                          <a:stretch>
                            <a:fillRect/>
                          </a:stretch>
                        </pic:blipFill>
                        <pic:spPr bwMode="auto">
                          <a:xfrm>
                            <a:off x="0" y="0"/>
                            <a:ext cx="5177790" cy="4314825"/>
                          </a:xfrm>
                          <a:prstGeom prst="rect">
                            <a:avLst/>
                          </a:prstGeom>
                          <a:noFill/>
                          <a:ln w="9525">
                            <a:noFill/>
                            <a:headEnd/>
                            <a:tailEnd/>
                          </a:ln>
                        </pic:spPr>
                      </pic:pic>
                    </a:graphicData>
                  </a:graphic>
                </wp:inline>
              </w:drawing>
            </w:r>
          </w:p>
          <w:p>
            <w:pPr>
              <w:pStyle w:val="ImageCaption"/>
            </w:pPr>
            <w:r>
              <w:t xml:space="preserve">Figure 2. Distribution du nombre de cures reçues, par phase et selon le protocole de chimiothérapie.</w:t>
            </w:r>
          </w:p>
          <w:bookmarkEnd w:id="49"/>
        </w:tc>
      </w:tr>
    </w:tbl>
    <w:bookmarkEnd w:id="50"/>
    <w:bookmarkStart w:id="52" w:name="caractéristiques-du-traitement"/>
    <w:p>
      <w:pPr>
        <w:pStyle w:val="Heading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bookmarkStart w:id="51" w:name="tbl-ttt"/>
    <w:p>
      <w:pPr>
        <w:pStyle w:val="Tabl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35 patients.</w:t>
            </w:r>
          </w:p>
        </w:tc>
      </w:tr>
    </w:tbl>
    <w:p>
      <w:pPr>
        <w:spacing w:before="0" w:after="0" w:line="20" w:lineRule="exact"/>
        <w:rPr>
          <w:sz w:val="2"/>
          <w:szCs w:val="2"/>
        </w:rPr>
      </w:pPr>
    </w:p>
    <w:bookmarkEnd w:id="51"/>
    <w:bookmarkEnd w:id="52"/>
    <w:bookmarkStart w:id="54" w:name="toxicité-chimio-induite"/>
    <w:p>
      <w:pPr>
        <w:pStyle w:val="Heading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bookmarkStart w:id="53" w:name="tbl-tox"/>
    <w:p>
      <w:pPr>
        <w:pStyle w:val="Tabl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Common Terminology Criteria for Adverse Events (CTCAE) v5.0.</w:t>
            </w:r>
          </w:p>
        </w:tc>
      </w:tr>
    </w:tbl>
    <w:p>
      <w:pPr>
        <w:spacing w:before="0" w:after="0" w:line="20" w:lineRule="exact"/>
        <w:rPr>
          <w:sz w:val="2"/>
          <w:szCs w:val="2"/>
        </w:rPr>
      </w:pPr>
    </w:p>
    <w:bookmarkEnd w:id="53"/>
    <w:bookmarkEnd w:id="54"/>
    <w:bookmarkEnd w:id="55"/>
    <w:bookmarkStart w:id="57" w:name="X3dbe745328aacd98442a04ac9eee08ebc13a45c"/>
    <w:p>
      <w:pPr>
        <w:pStyle w:val="Heading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bookmarkStart w:id="56" w:name="tbl-pois"/>
    <w:p>
      <w:pPr>
        <w:pStyle w:val="Tabl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56"/>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57"/>
    <w:bookmarkStart w:id="93" w:name="analyses-de-survie-1"/>
    <w:p>
      <w:pPr>
        <w:pStyle w:val="Heading2"/>
      </w:pPr>
      <w:r>
        <w:t xml:space="preserve">Analyses de survie</w:t>
      </w:r>
    </w:p>
    <w:bookmarkStart w:id="62" w:name="suivi-des-patients-1"/>
    <w:p>
      <w:pPr>
        <w:pStyle w:val="Heading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61" w:name="fig-follow"/>
          <w:p>
            <w:pPr>
              <w:pStyle w:val="CaptionedFigure"/>
            </w:pPr>
            <w:r>
              <w:drawing>
                <wp:inline>
                  <wp:extent cx="5753100" cy="3082017"/>
                  <wp:effectExtent b="0" l="0" r="0" t="0"/>
                  <wp:docPr descr="" title="" id="59" name="Picture"/>
                  <a:graphic>
                    <a:graphicData uri="http://schemas.openxmlformats.org/drawingml/2006/picture">
                      <pic:pic>
                        <pic:nvPicPr>
                          <pic:cNvPr descr="output/fig-follow/fig-follow.png" id="60" name="Picture"/>
                          <pic:cNvPicPr>
                            <a:picLocks noChangeArrowheads="1" noChangeAspect="1"/>
                          </pic:cNvPicPr>
                        </pic:nvPicPr>
                        <pic:blipFill>
                          <a:blip r:embed="rId58"/>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3. Recul de suivi, selon le protocole de chimiothérapie.</w:t>
            </w:r>
          </w:p>
          <w:p>
            <w:pPr>
              <w:pStyle w:val="ImageCaptionSubtitle"/>
            </w:pPr>
            <w:r>
              <w:t xml:space="preserve">Recul de suivi estimé par la méthode de Kaplan-Meier inversée : l’évènement est la fin du suivi, la censure est le décès.</w:t>
            </w:r>
          </w:p>
          <w:bookmarkEnd w:id="61"/>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62"/>
    <w:bookmarkStart w:id="64" w:name="évènements-1"/>
    <w:p>
      <w:pPr>
        <w:pStyle w:val="Heading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bookmarkStart w:id="63" w:name="tbl-event"/>
    <w:p>
      <w:pPr>
        <w:pStyle w:val="Tabl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r>
    </w:tbl>
    <w:p>
      <w:pPr>
        <w:spacing w:before="0" w:after="0" w:line="20" w:lineRule="exact"/>
        <w:rPr>
          <w:sz w:val="2"/>
          <w:szCs w:val="2"/>
        </w:rPr>
      </w:pPr>
    </w:p>
    <w:bookmarkEnd w:id="63"/>
    <w:bookmarkEnd w:id="64"/>
    <w:bookmarkStart w:id="78" w:name="survie-globale"/>
    <w:p>
      <w:pPr>
        <w:pStyle w:val="Heading3"/>
      </w:pPr>
      <w:r>
        <w:t xml:space="preserve">Survie globale</w:t>
      </w:r>
    </w:p>
    <w:bookmarkStart w:id="65" w:name="tbl-surv-os"/>
    <w:p>
      <w:pPr>
        <w:pStyle w:val="Tabl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65"/>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70" w:name="population-totale"/>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69" w:name="fig-surv-total-os"/>
          <w:p>
            <w:pPr>
              <w:pStyle w:val="CaptionedFigure"/>
            </w:pPr>
            <w:r>
              <w:drawing>
                <wp:inline>
                  <wp:extent cx="5753100" cy="3082017"/>
                  <wp:effectExtent b="0" l="0" r="0" t="0"/>
                  <wp:docPr descr="" title="" id="67" name="Picture"/>
                  <a:graphic>
                    <a:graphicData uri="http://schemas.openxmlformats.org/drawingml/2006/picture">
                      <pic:pic>
                        <pic:nvPicPr>
                          <pic:cNvPr descr="output/fig-surv-total/fig-surv-total-os.png" id="68" name="Picture"/>
                          <pic:cNvPicPr>
                            <a:picLocks noChangeArrowheads="1" noChangeAspect="1"/>
                          </pic:cNvPicPr>
                        </pic:nvPicPr>
                        <pic:blipFill>
                          <a:blip r:embed="rId66"/>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4. Survie globale dans la population totale.</w:t>
            </w:r>
          </w:p>
          <w:p>
            <w:pPr>
              <w:pStyle w:val="ImageCaptionSubtitle"/>
            </w:pPr>
            <w:r>
              <w:t xml:space="preserve">Les évènements et censures sont présentés en effectifs cumulés au cours du temps.</w:t>
            </w:r>
          </w:p>
          <w:bookmarkEnd w:id="69"/>
        </w:tc>
      </w:tr>
    </w:tbl>
    <w:bookmarkEnd w:id="70"/>
    <w:bookmarkStart w:id="75" w:name="selon-le-protocole-de-chimiothérapie"/>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74" w:name="fig-surv-strata-os"/>
          <w:p>
            <w:pPr>
              <w:pStyle w:val="CaptionedFigure"/>
            </w:pPr>
            <w:r>
              <w:drawing>
                <wp:inline>
                  <wp:extent cx="5753100" cy="3082017"/>
                  <wp:effectExtent b="0" l="0" r="0" t="0"/>
                  <wp:docPr descr="" title="" id="72" name="Picture"/>
                  <a:graphic>
                    <a:graphicData uri="http://schemas.openxmlformats.org/drawingml/2006/picture">
                      <pic:pic>
                        <pic:nvPicPr>
                          <pic:cNvPr descr="output/fig-surv-strata/fig-surv-strata-os.png" id="73" name="Picture"/>
                          <pic:cNvPicPr>
                            <a:picLocks noChangeArrowheads="1" noChangeAspect="1"/>
                          </pic:cNvPicPr>
                        </pic:nvPicPr>
                        <pic:blipFill>
                          <a:blip r:embed="rId71"/>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5. Survie globale, selon le protocole de chimiothérapie.</w:t>
            </w:r>
          </w:p>
          <w:p>
            <w:pPr>
              <w:pStyle w:val="ImageCaptionSubtitle"/>
            </w:pPr>
            <w:r>
              <w:t xml:space="preserve">Les évènements et censures sont présentés en effectifs cumulés au cours du temps.</w:t>
            </w:r>
          </w:p>
          <w:bookmarkEnd w:id="74"/>
        </w:tc>
      </w:tr>
    </w:tbl>
    <w:bookmarkEnd w:id="75"/>
    <w:bookmarkStart w:id="77" w:name="modèles-de-cox-1"/>
    <w:p>
      <w:pPr>
        <w:pStyle w:val="Heading4"/>
      </w:pPr>
      <w:r>
        <w:t xml:space="preserve">Modèles de Cox</w:t>
      </w:r>
    </w:p>
    <w:bookmarkStart w:id="76" w:name="tbl-coxph-os"/>
    <w:p>
      <w:pPr>
        <w:pStyle w:val="Tabl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76"/>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77"/>
    <w:bookmarkEnd w:id="78"/>
    <w:bookmarkStart w:id="92" w:name="survie-sans-récidive"/>
    <w:p>
      <w:pPr>
        <w:pStyle w:val="Heading3"/>
      </w:pPr>
      <w:r>
        <w:t xml:space="preserve">Survie sans récidive</w:t>
      </w:r>
    </w:p>
    <w:bookmarkStart w:id="79" w:name="tbl-surv-pfs"/>
    <w:p>
      <w:pPr>
        <w:pStyle w:val="Tabl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79"/>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84" w:name="population-totale-1"/>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3" w:name="fig-surv-total-pfs"/>
          <w:p>
            <w:pPr>
              <w:pStyle w:val="CaptionedFigure"/>
            </w:pPr>
            <w:r>
              <w:drawing>
                <wp:inline>
                  <wp:extent cx="5753100" cy="3082017"/>
                  <wp:effectExtent b="0" l="0" r="0" t="0"/>
                  <wp:docPr descr="" title="" id="81" name="Picture"/>
                  <a:graphic>
                    <a:graphicData uri="http://schemas.openxmlformats.org/drawingml/2006/picture">
                      <pic:pic>
                        <pic:nvPicPr>
                          <pic:cNvPr descr="output/fig-surv-total/fig-surv-total-pfs.png" id="82" name="Picture"/>
                          <pic:cNvPicPr>
                            <a:picLocks noChangeArrowheads="1" noChangeAspect="1"/>
                          </pic:cNvPicPr>
                        </pic:nvPicPr>
                        <pic:blipFill>
                          <a:blip r:embed="rId80"/>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6. Survie sans récidive dans la population totale.</w:t>
            </w:r>
          </w:p>
          <w:p>
            <w:pPr>
              <w:pStyle w:val="ImageCaptionSubtitle"/>
            </w:pPr>
            <w:r>
              <w:t xml:space="preserve">Les évènements et censures sont présentés en effectifs cumulés au cours du temps.</w:t>
            </w:r>
          </w:p>
          <w:bookmarkEnd w:id="83"/>
        </w:tc>
      </w:tr>
    </w:tbl>
    <w:bookmarkEnd w:id="84"/>
    <w:bookmarkStart w:id="89" w:name="selon-le-protocole-de-chimiothérapie-1"/>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88" w:name="fig-surv-strata-pfs"/>
          <w:p>
            <w:pPr>
              <w:pStyle w:val="CaptionedFigure"/>
            </w:pPr>
            <w:r>
              <w:drawing>
                <wp:inline>
                  <wp:extent cx="5753100" cy="3082017"/>
                  <wp:effectExtent b="0" l="0" r="0" t="0"/>
                  <wp:docPr descr="" title="" id="86" name="Picture"/>
                  <a:graphic>
                    <a:graphicData uri="http://schemas.openxmlformats.org/drawingml/2006/picture">
                      <pic:pic>
                        <pic:nvPicPr>
                          <pic:cNvPr descr="output/fig-surv-strata/fig-surv-strata-pfs.png" id="87" name="Picture"/>
                          <pic:cNvPicPr>
                            <a:picLocks noChangeArrowheads="1" noChangeAspect="1"/>
                          </pic:cNvPicPr>
                        </pic:nvPicPr>
                        <pic:blipFill>
                          <a:blip r:embed="rId85"/>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7. Survie sans récidive, selon le protocole de chimiothérapie.</w:t>
            </w:r>
          </w:p>
          <w:p>
            <w:pPr>
              <w:pStyle w:val="ImageCaptionSubtitle"/>
            </w:pPr>
            <w:r>
              <w:t xml:space="preserve">Les évènements et censures sont présentés en effectifs cumulés au cours du temps.</w:t>
            </w:r>
          </w:p>
          <w:bookmarkEnd w:id="88"/>
        </w:tc>
      </w:tr>
    </w:tbl>
    <w:bookmarkEnd w:id="89"/>
    <w:bookmarkStart w:id="91" w:name="modèles-de-cox-2"/>
    <w:p>
      <w:pPr>
        <w:pStyle w:val="Heading4"/>
      </w:pPr>
      <w:r>
        <w:t xml:space="preserve">Modèles de Cox</w:t>
      </w:r>
    </w:p>
    <w:bookmarkStart w:id="90" w:name="tbl-coxph-pfs"/>
    <w:p>
      <w:pPr>
        <w:pStyle w:val="Tabl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90"/>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91"/>
    <w:bookmarkEnd w:id="92"/>
    <w:bookmarkEnd w:id="93"/>
    <w:bookmarkEnd w:id="94"/>
    <w:bookmarkStart w:id="96" w:name="discussion"/>
    <w:p>
      <w:pPr>
        <w:pStyle w:val="Heading1"/>
      </w:pPr>
      <w:r>
        <w:t xml:space="preserve">Discussion</w:t>
      </w:r>
    </w:p>
    <w:bookmarkStart w:id="95" w:name="principaux-résultats"/>
    <w:p>
      <w:pPr>
        <w:pStyle w:val="Heading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95"/>
    <w:bookmarkEnd w:id="96"/>
    <w:bookmarkStart w:id="107" w:name="annexes"/>
    <w:p>
      <w:pPr>
        <w:pStyle w:val="Heading1"/>
      </w:pPr>
      <w:r>
        <w:t xml:space="preserve">Annexes</w:t>
      </w:r>
    </w:p>
    <w:bookmarkStart w:id="100" w:name="variables"/>
    <w:p>
      <w:pPr>
        <w:pStyle w:val="Heading2"/>
      </w:pPr>
      <w:r>
        <w:t xml:space="preserve">Variables</w:t>
      </w:r>
    </w:p>
    <w:p>
      <w:pPr>
        <w:pStyle w:val="Compact"/>
        <w:numPr>
          <w:ilvl w:val="0"/>
          <w:numId w:val="1003"/>
        </w:numPr>
      </w:pPr>
      <w:hyperlink r:id="rId97">
        <w:r>
          <w:rPr>
            <w:rStyle w:val="Hyperlink"/>
          </w:rPr>
          <w:t xml:space="preserve">Dictionnaire des variables</w:t>
        </w:r>
      </w:hyperlink>
    </w:p>
    <w:p>
      <w:pPr>
        <w:pStyle w:val="Compact"/>
        <w:numPr>
          <w:ilvl w:val="0"/>
          <w:numId w:val="1003"/>
        </w:numPr>
      </w:pPr>
      <w:hyperlink r:id="rId98">
        <w:r>
          <w:rPr>
            <w:rStyle w:val="Hyperlink"/>
          </w:rPr>
          <w:t xml:space="preserve">Distribution des variables avant recodage</w:t>
        </w:r>
      </w:hyperlink>
    </w:p>
    <w:p>
      <w:pPr>
        <w:pStyle w:val="Compact"/>
        <w:numPr>
          <w:ilvl w:val="0"/>
          <w:numId w:val="1003"/>
        </w:numPr>
      </w:pPr>
      <w:hyperlink r:id="rId99">
        <w:r>
          <w:rPr>
            <w:rStyle w:val="Hyperlink"/>
          </w:rPr>
          <w:t xml:space="preserve">Distribution des variables après recodage</w:t>
        </w:r>
      </w:hyperlink>
    </w:p>
    <w:bookmarkEnd w:id="100"/>
    <w:bookmarkStart w:id="106" w:name="vérification-des-hypothèses"/>
    <w:p>
      <w:pPr>
        <w:pStyle w:val="Heading2"/>
      </w:pPr>
      <w:r>
        <w:t xml:space="preserve">Vérification des hypothèses</w:t>
      </w:r>
    </w:p>
    <w:bookmarkStart w:id="102" w:name="modèle-de-comptage"/>
    <w:p>
      <w:pPr>
        <w:pStyle w:val="Heading3"/>
      </w:pPr>
      <w:r>
        <w:t xml:space="preserve">Modèle de comptage</w:t>
      </w:r>
    </w:p>
    <w:p>
      <w:pPr>
        <w:pStyle w:val="FirstParagraph"/>
      </w:pPr>
      <w:r>
        <w:t xml:space="preserve">VIF : mesure de combien la variance du coefficient est augmentée par la corrélation de la variable avec les autres variables du modèle.</w:t>
      </w:r>
    </w:p>
    <w:bookmarkStart w:id="101" w:name="anx-pois-vif"/>
    <w:p>
      <w:pPr>
        <w:pStyle w:val="TableCaption"/>
      </w:pPr>
      <w:r>
        <w:t xml:space="preserve">Annexe 1. Facteurs d’inflation de la variance (</w:t>
      </w:r>
      <w:hyperlink w:anchor="tbl-pois">
        <w:r>
          <w:rPr>
            <w:rStyle w:val="Hyperlink"/>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vif_adj</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01"/>
    <w:p>
      <w:pPr>
        <w:pStyle w:val="BodyText"/>
      </w:pPr>
      <w:r>
        <w:t xml:space="preserve">1 = absence de corrélation ; &lt;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02"/>
    <w:bookmarkStart w:id="105" w:name="modèles-de-cox-3"/>
    <w:p>
      <w:pPr>
        <w:pStyle w:val="Heading3"/>
      </w:pPr>
      <w:r>
        <w:t xml:space="preserve">Modèles de Cox</w:t>
      </w:r>
    </w:p>
    <w:p>
      <w:pPr>
        <w:pStyle w:val="FirstParagraph"/>
      </w:pPr>
      <w:r>
        <w:t xml:space="preserve">Pour chaque variable du modèle multivariable et pour l’ensemble du modèle, test de proportionnalité des risques basé sur les résidus de Schoenfeld :</w:t>
      </w:r>
    </w:p>
    <w:bookmarkStart w:id="103" w:name="anx-coxzph-os"/>
    <w:p>
      <w:pPr>
        <w:pStyle w:val="TableCaption"/>
      </w:pPr>
      <w:r>
        <w:t xml:space="preserve">Annexe 2. Test des risques proportionnels de la survie globale (</w:t>
      </w:r>
      <w:hyperlink w:anchor="tbl-coxph-os">
        <w:r>
          <w:rPr>
            <w:rStyle w:val="Hyperlink"/>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03"/>
    <w:p>
      <w:pPr>
        <w:pStyle w:val="BodyText"/>
      </w:pPr>
      <w:r>
        <w:t xml:space="preserve">L’hypothèse des risques proportionnels n’était mise en défaut ni pour l’ensemble du modèle (p=0,49), ni pour aucune des variables prises séparément.</w:t>
      </w:r>
    </w:p>
    <w:bookmarkStart w:id="104" w:name="anx-coxzph-pfs"/>
    <w:p>
      <w:pPr>
        <w:pStyle w:val="TableCaption"/>
      </w:pPr>
      <w:r>
        <w:t xml:space="preserve">Annexe 3. Test des risques proportionnels de la survie sans récidive (</w:t>
      </w:r>
      <w:hyperlink w:anchor="tbl-coxph-pfs">
        <w:r>
          <w:rPr>
            <w:rStyle w:val="Hyperlink"/>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04"/>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05"/>
    <w:bookmarkEnd w:id="106"/>
    <w:bookmarkEnd w:id="107"/>
    <w:sectPr>
      <w:footerReference r:id="rId9" w:type="default"/>
      <w:footnotePr>
        <w:numRestart w:val="eachSect"/>
      </w:footnotePr>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altName w:val="Calibri"/>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2</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1">
    <w:nsid w:val="696B7C68"/>
    <w:multiLevelType w:val="multilevel"/>
    <w:name w:val="hebstr-doc headings"/>
    <w:lvl w:ilvl="0">
      <w:start w:val="1"/>
      <w:numFmt w:val="none"/>
      <w:suff w:val="nothing"/>
      <w:lvlText w:val=""/>
      <w:lvlJc w:val="left"/>
      <w:pPr>
        <w:ind w:hanging="432" w:left="432"/>
      </w:pPr>
    </w:lvl>
    <w:lvl w:ilvl="1">
      <w:start w:val="1"/>
      <w:numFmt w:val="decimal"/>
      <w:pStyle w:val="Heading1"/>
      <w:lvlText w:val="%1%2"/>
      <w:lvlJc w:val="left"/>
      <w:pPr>
        <w:ind w:hanging="576" w:left="576"/>
      </w:pPr>
    </w:lvl>
    <w:lvl w:ilvl="2">
      <w:start w:val="1"/>
      <w:numFmt w:val="decimal"/>
      <w:pStyle w:val="Heading2"/>
      <w:lvlText w:val="%1%2.%3"/>
      <w:lvlJc w:val="left"/>
      <w:pPr>
        <w:ind w:hanging="720" w:left="720"/>
      </w:pPr>
    </w:lvl>
    <w:lvl w:ilvl="3">
      <w:start w:val="1"/>
      <w:numFmt w:val="decimal"/>
      <w:pStyle w:val="Heading3"/>
      <w:lvlText w:val="%1%2.%3.%4"/>
      <w:lvlJc w:val="left"/>
      <w:pPr>
        <w:ind w:hanging="864" w:left="864"/>
      </w:pPr>
    </w:lvl>
    <w:lvl w:ilvl="4">
      <w:start w:val="1"/>
      <w:numFmt w:val="decimal"/>
      <w:pStyle w:val="Heading4"/>
      <w:lvlText w:val="%1%2.%3.%4.%5"/>
      <w:lvlJc w:val="left"/>
      <w:pPr>
        <w:ind w:hanging="1008" w:left="1008"/>
      </w:pPr>
    </w:lvl>
    <w:lvl w:ilvl="5">
      <w:start w:val="1"/>
      <w:numFmt w:val="decimal"/>
      <w:pStyle w:val="Heading5"/>
      <w:lvlText w:val="%1%2.%3.%4.%5.%6"/>
      <w:lvlJc w:val="left"/>
      <w:pPr>
        <w:ind w:hanging="1152" w:left="1152"/>
      </w:pPr>
    </w:lvl>
    <w:lvl w:ilvl="6">
      <w:start w:val="1"/>
      <w:numFmt w:val="decimal"/>
      <w:pStyle w:val="Heading6"/>
      <w:lvlText w:val="%1%2.%3.%4.%5.%6.%7"/>
      <w:lvlJc w:val="left"/>
      <w:pPr>
        <w:ind w:hanging="1296" w:left="1296"/>
      </w:pPr>
    </w:lvl>
    <w:lvl w:ilvl="7">
      <w:start w:val="1"/>
      <w:numFmt w:val="decimal"/>
      <w:pStyle w:val="Heading7"/>
      <w:lvlText w:val="%1%2.%3.%4.%5.%6.%7.%8"/>
      <w:lvlJc w:val="left"/>
      <w:pPr>
        <w:ind w:hanging="1440" w:left="1440"/>
      </w:pPr>
    </w:lvl>
    <w:lvl w:ilvl="8">
      <w:start w:val="1"/>
      <w:numFmt w:val="decimal"/>
      <w:pStyle w:val="Heading8"/>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425"/>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pPr>
      <w:suppressAutoHyphens/>
      <w:spacing w:after="120" w:before="120"/>
    </w:pPr>
  </w:style>
  <w:style w:styleId="BodyText" w:type="paragraph">
    <w:name w:val="Body Text"/>
    <w:basedOn w:val="Normal"/>
    <w:link w:val="BodyTextChar"/>
    <w:qFormat/>
    <w:pPr>
      <w:suppressAutoHyphens w:val="0"/>
      <w:spacing w:line="360" w:lineRule="auto"/>
      <w:jc w:val="both"/>
    </w:pPr>
    <w:rPr>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uppressAutoHyphens/>
      <w:spacing w:after="36" w:before="36"/>
      <w:jc w:val="left"/>
    </w:pPr>
  </w:style>
  <w:style w:styleId="Title" w:type="paragraph">
    <w:name w:val="Title"/>
    <w:basedOn w:val="Normal"/>
    <w:next w:val="BodyText"/>
    <w:link w:val="TitleChar"/>
    <w:qFormat/>
    <w:pPr>
      <w:spacing w:after="480" w:before="480"/>
      <w:contextualSpacing/>
      <w:jc w:val="center"/>
    </w:pPr>
    <w:rPr>
      <w:b/>
      <w:bCs/>
      <w:color w:val="1B4377"/>
      <w:spacing w:val="5"/>
      <w:kern w:val="28"/>
      <w:sz w:val="56"/>
      <w:szCs w:val="48"/>
    </w:rPr>
  </w:style>
  <w:style w:customStyle="1" w:styleId="TitleChar" w:type="character">
    <w:name w:val="Title Char"/>
    <w:basedOn w:val="DefaultParagraphFont"/>
    <w:link w:val="Title"/>
    <w:qFormat/>
    <w:rPr>
      <w:b/>
      <w:bCs/>
      <w:color w:val="1B4377"/>
      <w:spacing w:val="5"/>
      <w:kern w:val="28"/>
      <w:sz w:val="56"/>
      <w:szCs w:val="48"/>
    </w:rPr>
  </w:style>
  <w:style w:styleId="Subtitle" w:type="paragraph">
    <w:name w:val="Subtitle"/>
    <w:basedOn w:val="Title"/>
    <w:next w:val="BodyText"/>
    <w:link w:val="SubtitleChar"/>
    <w:qFormat/>
    <w:rPr>
      <w:b w:val="0"/>
      <w:bCs w:val="0"/>
      <w:spacing w:val="0"/>
      <w:kern w:val="0"/>
      <w:sz w:val="48"/>
      <w:szCs w:val="28"/>
    </w:rPr>
  </w:style>
  <w:style w:customStyle="1" w:styleId="SubtitleChar" w:type="character">
    <w:name w:val="Subtitle Char"/>
    <w:basedOn w:val="DefaultParagraphFont"/>
    <w:link w:val="Subtitle"/>
    <w:qFormat/>
    <w:rPr>
      <w:color w:val="1B4377"/>
      <w:sz w:val="48"/>
      <w:szCs w:val="28"/>
    </w:rPr>
  </w:style>
  <w:style w:customStyle="1" w:styleId="Author" w:type="paragraph">
    <w:name w:val="Author"/>
    <w:basedOn w:val="Normal"/>
    <w:next w:val="BodyText"/>
    <w:qFormat/>
    <w:pPr>
      <w:keepNext/>
      <w:keepLines/>
      <w:spacing w:after="60"/>
      <w:jc w:val="center"/>
    </w:pPr>
    <w:rPr>
      <w:b/>
      <w:bCs/>
      <w:color w:val="111111"/>
      <w:sz w:val="32"/>
    </w:rPr>
  </w:style>
  <w:style w:styleId="Date" w:type="paragraph">
    <w:name w:val="Date"/>
    <w:basedOn w:val="Normal"/>
    <w:next w:val="BodyText"/>
    <w:qFormat/>
    <w:pPr>
      <w:keepNext/>
      <w:keepLines/>
      <w:spacing w:after="60"/>
      <w:jc w:val="center"/>
    </w:pPr>
    <w:rPr>
      <w:bCs/>
      <w:color w:val="111111"/>
      <w:sz w:val="3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tabs>
        <w:tab w:pos="709" w:val="left"/>
      </w:tabs>
      <w:spacing w:after="0"/>
      <w:ind w:hanging="709" w:left="709"/>
    </w:pPr>
  </w:style>
  <w:style w:styleId="Heading1" w:type="paragraph">
    <w:name w:val="heading 1"/>
    <w:basedOn w:val="Normal"/>
    <w:next w:val="BodyText"/>
    <w:link w:val="Heading1Char"/>
    <w:qFormat/>
    <w:pPr>
      <w:keepNext/>
      <w:keepLines/>
      <w:numPr>
        <w:ilvl w:val="1"/>
        <w:numId w:val="1"/>
      </w:numPr>
      <w:spacing w:after="320" w:before="480"/>
      <w:outlineLvl w:val="0"/>
    </w:pPr>
    <w:rPr>
      <w:b/>
      <w:bCs/>
      <w:color w:val="1B4377"/>
      <w:sz w:val="32"/>
      <w:szCs w:val="32"/>
    </w:rPr>
  </w:style>
  <w:style w:styleId="Heading2" w:type="paragraph">
    <w:name w:val="heading 2"/>
    <w:basedOn w:val="Normal"/>
    <w:next w:val="BodyText"/>
    <w:link w:val="Heading2Char"/>
    <w:uiPriority w:val="9"/>
    <w:semiHidden/>
    <w:unhideWhenUsed/>
    <w:qFormat/>
    <w:pPr>
      <w:keepNext/>
      <w:keepLines/>
      <w:numPr>
        <w:ilvl w:val="2"/>
        <w:numId w:val="1"/>
      </w:numPr>
      <w:spacing w:after="240" w:before="240"/>
      <w:outlineLvl w:val="1"/>
    </w:pPr>
    <w:rPr>
      <w:b/>
      <w:bCs/>
      <w:color w:val="1B4377"/>
      <w:sz w:val="28"/>
      <w:szCs w:val="28"/>
    </w:rPr>
  </w:style>
  <w:style w:styleId="Heading3" w:type="paragraph">
    <w:name w:val="heading 3"/>
    <w:basedOn w:val="Normal"/>
    <w:next w:val="BodyText"/>
    <w:link w:val="Heading3Char"/>
    <w:uiPriority w:val="9"/>
    <w:semiHidden/>
    <w:unhideWhenUsed/>
    <w:qFormat/>
    <w:pPr>
      <w:keepNext/>
      <w:keepLines/>
      <w:numPr>
        <w:ilvl w:val="3"/>
        <w:numId w:val="1"/>
      </w:numPr>
      <w:spacing w:after="200" w:before="200"/>
      <w:ind w:hanging="862" w:left="862"/>
      <w:outlineLvl w:val="2"/>
    </w:pPr>
    <w:rPr>
      <w:b/>
      <w:bCs/>
      <w:color w:val="1B4377"/>
      <w:sz w:val="26"/>
      <w:szCs w:val="26"/>
    </w:rPr>
  </w:style>
  <w:style w:styleId="Heading4" w:type="paragraph">
    <w:name w:val="heading 4"/>
    <w:basedOn w:val="Normal"/>
    <w:next w:val="BodyText"/>
    <w:link w:val="Heading4Char"/>
    <w:uiPriority w:val="9"/>
    <w:semiHidden/>
    <w:unhideWhenUsed/>
    <w:qFormat/>
    <w:pPr>
      <w:keepNext/>
      <w:keepLines/>
      <w:numPr>
        <w:ilvl w:val="4"/>
        <w:numId w:val="1"/>
      </w:numPr>
      <w:spacing w:after="160" w:before="160"/>
      <w:ind w:hanging="1009" w:left="1009"/>
      <w:outlineLvl w:val="3"/>
    </w:pPr>
    <w:rPr>
      <w:b/>
      <w:bCs/>
      <w:iCs/>
      <w:color w:val="1B4377"/>
    </w:rPr>
  </w:style>
  <w:style w:styleId="Heading5" w:type="paragraph">
    <w:name w:val="heading 5"/>
    <w:basedOn w:val="Normal"/>
    <w:next w:val="BodyText"/>
    <w:link w:val="Heading5Char"/>
    <w:uiPriority w:val="9"/>
    <w:semiHidden/>
    <w:unhideWhenUsed/>
    <w:qFormat/>
    <w:pPr>
      <w:keepNext/>
      <w:keepLines/>
      <w:numPr>
        <w:ilvl w:val="5"/>
        <w:numId w:val="1"/>
      </w:numPr>
      <w:spacing w:after="0" w:before="200"/>
      <w:outlineLvl w:val="4"/>
    </w:pPr>
    <w:rPr>
      <w:color w:val="1B4377"/>
    </w:rPr>
  </w:style>
  <w:style w:styleId="Heading6" w:type="paragraph">
    <w:name w:val="heading 6"/>
    <w:basedOn w:val="Normal"/>
    <w:next w:val="BodyText"/>
    <w:link w:val="Heading6Char"/>
    <w:uiPriority w:val="9"/>
    <w:semiHidden/>
    <w:unhideWhenUsed/>
    <w:qFormat/>
    <w:pPr>
      <w:keepNext/>
      <w:keepLines/>
      <w:numPr>
        <w:ilvl w:val="6"/>
        <w:numId w:val="1"/>
      </w:numPr>
      <w:spacing w:after="0" w:before="200"/>
      <w:outlineLvl w:val="5"/>
    </w:pPr>
    <w:rPr>
      <w:i/>
      <w:iCs/>
      <w:color w:val="1B4377"/>
    </w:rPr>
  </w:style>
  <w:style w:styleId="Heading7" w:type="paragraph">
    <w:name w:val="heading 7"/>
    <w:basedOn w:val="Normal"/>
    <w:next w:val="BodyText"/>
    <w:link w:val="Heading7Char"/>
    <w:uiPriority w:val="9"/>
    <w:semiHidden/>
    <w:unhideWhenUsed/>
    <w:qFormat/>
    <w:pPr>
      <w:keepNext/>
      <w:keepLines/>
      <w:numPr>
        <w:ilvl w:val="7"/>
        <w:numId w:val="1"/>
      </w:numPr>
      <w:spacing w:after="0" w:before="200"/>
      <w:outlineLvl w:val="6"/>
    </w:pPr>
    <w:rPr>
      <w:i/>
      <w:iCs/>
      <w:color w:val="404040"/>
    </w:rPr>
  </w:style>
  <w:style w:styleId="Heading8" w:type="paragraph">
    <w:name w:val="heading 8"/>
    <w:basedOn w:val="Normal"/>
    <w:next w:val="BodyText"/>
    <w:link w:val="Heading8Char"/>
    <w:uiPriority w:val="9"/>
    <w:semiHidden/>
    <w:unhideWhenUsed/>
    <w:qFormat/>
    <w:pPr>
      <w:keepNext/>
      <w:keepLines/>
      <w:numPr>
        <w:ilvl w:val="8"/>
        <w:numId w:val="1"/>
      </w:numPr>
      <w:spacing w:after="0" w:before="200"/>
      <w:outlineLvl w:val="7"/>
    </w:pPr>
    <w:rPr>
      <w:color w:val="404040"/>
      <w:sz w:val="20"/>
      <w:szCs w:val="20"/>
    </w:rPr>
  </w:style>
  <w:style w:styleId="Heading9" w:type="paragraph">
    <w:name w:val="heading 9"/>
    <w:basedOn w:val="Normal"/>
    <w:next w:val="BodyText"/>
    <w:link w:val="Heading9Char"/>
    <w:uiPriority w:val="9"/>
    <w:semiHidden/>
    <w:unhideWhenUsed/>
    <w:qFormat/>
    <w:pPr>
      <w:keepNext/>
      <w:keepLines/>
      <w:spacing w:after="0" w:before="200"/>
      <w:outlineLvl w:val="8"/>
    </w:pPr>
    <w:rPr>
      <w:i/>
      <w:iCs/>
      <w:color w:val="404040"/>
      <w:sz w:val="20"/>
      <w:szCs w:val="20"/>
    </w:rPr>
  </w:style>
  <w:style w:customStyle="1" w:styleId="Heading1Char" w:type="character">
    <w:name w:val="Heading 1 Char"/>
    <w:basedOn w:val="DefaultParagraphFont"/>
    <w:link w:val="Heading1"/>
    <w:qFormat/>
    <w:rPr>
      <w:b/>
      <w:bCs/>
      <w:color w:val="1B4377"/>
      <w:sz w:val="32"/>
      <w:szCs w:val="32"/>
    </w:rPr>
  </w:style>
  <w:style w:customStyle="1" w:styleId="Heading2Char" w:type="character">
    <w:name w:val="Heading 2 Char"/>
    <w:basedOn w:val="DefaultParagraphFont"/>
    <w:link w:val="Heading2"/>
    <w:qFormat/>
    <w:rPr>
      <w:b/>
      <w:bCs/>
      <w:color w:val="1B4377"/>
      <w:sz w:val="28"/>
      <w:szCs w:val="28"/>
    </w:rPr>
  </w:style>
  <w:style w:customStyle="1" w:styleId="Heading3Char" w:type="character">
    <w:name w:val="Heading 3 Char"/>
    <w:basedOn w:val="DefaultParagraphFont"/>
    <w:link w:val="Heading3"/>
    <w:qFormat/>
    <w:rPr>
      <w:b/>
      <w:bCs/>
      <w:color w:val="1B4377"/>
      <w:sz w:val="26"/>
      <w:szCs w:val="26"/>
    </w:rPr>
  </w:style>
  <w:style w:customStyle="1" w:styleId="Heading4Char" w:type="character">
    <w:name w:val="Heading 4 Char"/>
    <w:basedOn w:val="DefaultParagraphFont"/>
    <w:link w:val="Heading4"/>
    <w:qFormat/>
    <w:rPr>
      <w:b/>
      <w:bCs/>
      <w:iCs/>
      <w:color w:val="1B4377"/>
    </w:rPr>
  </w:style>
  <w:style w:customStyle="1" w:styleId="Heading5Char" w:type="character">
    <w:name w:val="Heading 5 Char"/>
    <w:basedOn w:val="DefaultParagraphFont"/>
    <w:link w:val="Heading5"/>
    <w:qFormat/>
    <w:rPr>
      <w:color w:val="1B4377"/>
    </w:rPr>
  </w:style>
  <w:style w:customStyle="1" w:styleId="Heading6Char" w:type="character">
    <w:name w:val="Heading 6 Char"/>
    <w:basedOn w:val="DefaultParagraphFont"/>
    <w:link w:val="Heading6"/>
    <w:qFormat/>
    <w:rPr>
      <w:i/>
      <w:iCs/>
      <w:color w:val="1B4377"/>
    </w:rPr>
  </w:style>
  <w:style w:customStyle="1" w:styleId="Heading7Char" w:type="character">
    <w:name w:val="Heading 7 Char"/>
    <w:basedOn w:val="DefaultParagraphFont"/>
    <w:link w:val="Heading7"/>
    <w:qFormat/>
    <w:rPr>
      <w:i/>
      <w:iCs/>
      <w:color w:val="404040"/>
    </w:rPr>
  </w:style>
  <w:style w:customStyle="1" w:styleId="Heading8Char" w:type="character">
    <w:name w:val="Heading 8 Char"/>
    <w:basedOn w:val="DefaultParagraphFont"/>
    <w:link w:val="Heading8"/>
    <w:qFormat/>
    <w:rPr>
      <w:color w:val="404040"/>
      <w:sz w:val="20"/>
      <w:szCs w:val="20"/>
    </w:rPr>
  </w:style>
  <w:style w:customStyle="1" w:styleId="Heading9Char" w:type="character">
    <w:name w:val="Heading 9 Char"/>
    <w:basedOn w:val="DefaultParagraphFont"/>
    <w:link w:val="Heading9"/>
    <w:qFormat/>
    <w:rPr>
      <w:i/>
      <w:iCs/>
      <w:color w:val="404040"/>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qFormat/>
    <w:pPr>
      <w:spacing w:after="0" w:before="0"/>
      <w:jc w:val="left"/>
    </w:pPr>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rPr>
      <w:b/>
      <w:bCs/>
      <w:color w:val="111111"/>
      <w:sz w:val="20"/>
      <w:szCs w:val="20"/>
    </w:rPr>
  </w:style>
  <w:style w:customStyle="1" w:styleId="TableCaption" w:type="paragraph">
    <w:name w:val="Table Caption"/>
    <w:basedOn w:val="Caption"/>
    <w:qFormat/>
    <w:pPr>
      <w:keepNext/>
      <w:spacing w:after="240" w:before="240"/>
      <w:jc w:val="center"/>
    </w:pPr>
  </w:style>
  <w:style w:customStyle="1" w:styleId="ImageCaption" w:type="paragraph">
    <w:name w:val="Image Caption"/>
    <w:basedOn w:val="Caption"/>
    <w:qFormat/>
  </w:style>
  <w:style w:customStyle="1" w:styleId="Figure" w:type="paragraph">
    <w:name w:val="Figure"/>
    <w:basedOn w:val="Normal"/>
    <w:qFormat/>
    <w:pPr>
      <w:jc w:val="center"/>
    </w:pPr>
  </w:style>
  <w:style w:customStyle="1" w:styleId="CaptionedFigure" w:type="paragraph">
    <w:name w:val="Captioned Figure"/>
    <w:basedOn w:val="Figure"/>
    <w:qFormat/>
    <w:pPr>
      <w:keepNext/>
      <w:spacing w:after="240" w:before="240"/>
    </w:pPr>
  </w:style>
  <w:style w:customStyle="1" w:styleId="BodyTextChar" w:type="character">
    <w:name w:val="Body Text Char"/>
    <w:basedOn w:val="DefaultParagraphFont"/>
    <w:link w:val="BodyText"/>
    <w:qFormat/>
    <w:rPr>
      <w:sz w:val="22"/>
      <w:szCs w:val="22"/>
    </w:rPr>
  </w:style>
  <w:style w:customStyle="1" w:styleId="VerbatimChar" w:type="character">
    <w:name w:val="Verbatim Char"/>
    <w:basedOn w:val="BodyTextChar"/>
    <w:qFormat/>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0000FF"/>
      <w:u w:val="single"/>
    </w:rPr>
  </w:style>
  <w:style w:styleId="TOCHeading" w:type="paragraph">
    <w:name w:val="TOC Heading"/>
    <w:basedOn w:val="Heading1"/>
    <w:next w:val="BodyText"/>
    <w:uiPriority w:val="39"/>
    <w:unhideWhenUsed/>
    <w:qFormat/>
    <w:pPr>
      <w:pageBreakBefore/>
      <w:numPr>
        <w:ilvl w:val="0"/>
        <w:numId w:val="0"/>
      </w:numPr>
      <w:spacing w:after="240" w:before="0"/>
      <w:jc w:val="center"/>
      <w:outlineLvl w:val="9"/>
    </w:pPr>
  </w:style>
  <w:style w:customStyle="1" w:styleId="TableCaptionTitle" w:type="paragraph">
    <w:name w:val="Table Caption Title"/>
    <w:basedOn w:val="TableCaption"/>
    <w:qFormat/>
    <w:pPr>
      <w:keepNext/>
      <w:spacing w:after="0"/>
    </w:pPr>
  </w:style>
  <w:style w:customStyle="1" w:styleId="TableCaptionSubtitle" w:type="paragraph">
    <w:name w:val="Table Caption Subtitle"/>
    <w:basedOn w:val="TableCaption"/>
    <w:qFormat/>
    <w:pPr>
      <w:spacing w:before="0"/>
    </w:pPr>
    <w:rPr>
      <w:b w:val="0"/>
      <w:bCs w:val="0"/>
      <w:color w:val="555555"/>
      <w:sz w:val="18"/>
      <w:szCs w:val="18"/>
    </w:rPr>
  </w:style>
  <w:style w:customStyle="1" w:styleId="ImageCaptionTitle" w:type="paragraph">
    <w:name w:val="Image Caption Title"/>
    <w:basedOn w:val="ImageCaption"/>
    <w:qFormat/>
    <w:pPr>
      <w:keepNext/>
      <w:spacing w:after="0"/>
    </w:pPr>
  </w:style>
  <w:style w:customStyle="1" w:styleId="ImageCaptionSubtitle" w:type="paragraph">
    <w:name w:val="Image Caption Subtitle"/>
    <w:basedOn w:val="ImageCaption"/>
    <w:qFormat/>
    <w:pPr>
      <w:spacing w:before="0"/>
    </w:pPr>
    <w:rPr>
      <w:b w:val="0"/>
      <w:bCs w:val="0"/>
      <w:color w:val="555555"/>
      <w:sz w:val="18"/>
      <w:szCs w:val="18"/>
    </w:rPr>
  </w:style>
  <w:style w:styleId="Footer" w:type="paragraph">
    <w:name w:val="footer"/>
    <w:basedOn w:val="Normal"/>
    <w:uiPriority w:val="99"/>
    <w:unhideWhenUsed/>
    <w:qFormat/>
    <w:pPr>
      <w:spacing w:after="0" w:before="0"/>
      <w:jc w:val="center"/>
    </w:pPr>
    <w:rPr>
      <w:sz w:val="20"/>
      <w:szCs w:val="20"/>
    </w:rPr>
  </w:style>
  <w:style w:styleId="TOC1" w:type="paragraph">
    <w:name w:val="toc 1"/>
    <w:basedOn w:val="Normal"/>
    <w:next w:val="Normal"/>
    <w:uiPriority w:val="39"/>
    <w:unhideWhenUsed/>
    <w:qFormat/>
    <w:pPr>
      <w:tabs>
        <w:tab w:pos="480" w:val="left"/>
        <w:tab w:leader="dot" w:pos="9056" w:val="right"/>
      </w:tabs>
      <w:spacing w:after="40" w:before="40"/>
    </w:pPr>
    <w:rPr>
      <w:b/>
      <w:noProof/>
      <w:sz w:val="22"/>
    </w:rPr>
  </w:style>
  <w:style w:styleId="TOC2" w:type="paragraph">
    <w:name w:val="toc 2"/>
    <w:basedOn w:val="TOC1"/>
    <w:next w:val="Normal"/>
    <w:uiPriority w:val="39"/>
    <w:unhideWhenUsed/>
    <w:qFormat/>
    <w:pPr>
      <w:ind w:left="238"/>
    </w:pPr>
    <w:rPr>
      <w:b w:val="0"/>
      <w:sz w:val="20"/>
    </w:rPr>
  </w:style>
  <w:style w:styleId="TOC3" w:type="paragraph">
    <w:name w:val="toc 3"/>
    <w:basedOn w:val="TOC1"/>
    <w:next w:val="Normal"/>
    <w:uiPriority w:val="39"/>
    <w:unhideWhenUsed/>
    <w:qFormat/>
    <w:pPr>
      <w:ind w:left="482"/>
    </w:pPr>
    <w:rPr>
      <w:b w:val="0"/>
      <w:sz w:val="20"/>
    </w:rPr>
  </w:style>
  <w:style w:styleId="TOC4" w:type="paragraph">
    <w:name w:val="toc 4"/>
    <w:basedOn w:val="TOC1"/>
    <w:next w:val="Normal"/>
    <w:uiPriority w:val="39"/>
    <w:unhideWhenUsed/>
    <w:qFormat/>
    <w:pPr>
      <w:ind w:left="726"/>
    </w:pPr>
    <w:rPr>
      <w:b w:val="0"/>
      <w:sz w:val="20"/>
    </w:rPr>
  </w:style>
  <w:style w:styleId="TOC5" w:type="paragraph">
    <w:name w:val="toc 5"/>
    <w:basedOn w:val="TOC1"/>
    <w:next w:val="Normal"/>
    <w:uiPriority w:val="39"/>
    <w:unhideWhenUsed/>
    <w:qFormat/>
    <w:pPr>
      <w:ind w:left="970"/>
    </w:pPr>
    <w:rPr>
      <w:b w:val="0"/>
      <w:sz w:val="20"/>
    </w:rPr>
  </w:style>
  <w:style w:styleId="TOC6" w:type="paragraph">
    <w:name w:val="toc 6"/>
    <w:basedOn w:val="TOC1"/>
    <w:next w:val="Normal"/>
    <w:uiPriority w:val="39"/>
    <w:unhideWhenUsed/>
    <w:qFormat/>
    <w:pPr>
      <w:ind w:left="1214"/>
    </w:pPr>
    <w:rPr>
      <w:b w:val="0"/>
      <w:sz w:val="20"/>
    </w:rPr>
  </w:style>
  <w:style w:styleId="TOC7" w:type="paragraph">
    <w:name w:val="toc 7"/>
    <w:basedOn w:val="TOC1"/>
    <w:next w:val="Normal"/>
    <w:uiPriority w:val="39"/>
    <w:unhideWhenUsed/>
    <w:qFormat/>
    <w:pPr>
      <w:ind w:left="1458"/>
    </w:pPr>
    <w:rPr>
      <w:b w:val="0"/>
      <w:sz w:val="20"/>
    </w:rPr>
  </w:style>
  <w:style w:styleId="TOC8" w:type="paragraph">
    <w:name w:val="toc 8"/>
    <w:basedOn w:val="TOC1"/>
    <w:next w:val="Normal"/>
    <w:uiPriority w:val="39"/>
    <w:unhideWhenUsed/>
    <w:qFormat/>
    <w:pPr>
      <w:ind w:left="1702"/>
    </w:pPr>
    <w:rPr>
      <w:b w:val="0"/>
      <w:sz w:val="20"/>
    </w:rPr>
  </w:style>
  <w:style w:styleId="TOC9" w:type="paragraph">
    <w:name w:val="toc 9"/>
    <w:basedOn w:val="TOC1"/>
    <w:next w:val="Normal"/>
    <w:uiPriority w:val="39"/>
    <w:unhideWhenUsed/>
    <w:qFormat/>
    <w:pPr>
      <w:ind w:left="1946"/>
    </w:pPr>
    <w:rPr>
      <w:b w:val="0"/>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80" Target="media/rId80.png" /><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
  <dc:language>fr</dc:language>
  <cp:keywords/>
  <dcterms:created xsi:type="dcterms:W3CDTF">2026-09-16T20:03:48Z</dcterms:created>
  <dcterms:modified xsi:type="dcterms:W3CDTF">2026-09-16T20:03:48Z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appearance">
    <vt:lpwstr>simple</vt:lpwstr>
  </property>
  <property fmtid="{D5CDD505-2E9C-101B-9397-08002B2CF9AE}" pid="4" name="colorlinks">
    <vt:lpwstr>True</vt:lpwstr>
  </property>
  <property fmtid="{D5CDD505-2E9C-101B-9397-08002B2CF9AE}" pid="5" name="crossref">
    <vt:lpwstr/>
  </property>
  <property fmtid="{D5CDD505-2E9C-101B-9397-08002B2CF9AE}" pid="6" name="date">
    <vt:lpwstr>2026-09-06</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link-citations">
    <vt:lpwstr>True</vt:lpwstr>
  </property>
  <property fmtid="{D5CDD505-2E9C-101B-9397-08002B2CF9AE}" pid="14" name="number-depth">
    <vt:lpwstr>4</vt:lpwstr>
  </property>
  <property fmtid="{D5CDD505-2E9C-101B-9397-08002B2CF9AE}" pid="15" name="revealjs-plugins">
    <vt:lpwstr/>
  </property>
  <property fmtid="{D5CDD505-2E9C-101B-9397-08002B2CF9AE}" pid="16" name="subtitle">
    <vt:lpwstr>Rapport d’analyse statistique</vt:lpwstr>
  </property>
  <property fmtid="{D5CDD505-2E9C-101B-9397-08002B2CF9AE}" pid="17" name="tbl-cap-location">
    <vt:lpwstr>top</vt:lpwstr>
  </property>
  <property fmtid="{D5CDD505-2E9C-101B-9397-08002B2CF9AE}" pid="18" name="toc-title">
    <vt:lpwstr>Table des matières</vt:lpwstr>
  </property>
</Properties>
</file>