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d'induction,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adjuvante,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avec dose relative moyenne &gt;= 80 %,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2026-09-16T22:03:28Z</dcterms:modified>
  <cp:category/>
</cp:coreProperties>
</file>