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Toxicité de grade III-IV,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Selon la Common Terminology Criteria for Adverse Events (CTCAE) v5.0.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2026-09-16T22:03:35Z</dcterms:modified>
  <cp:category/>
</cp:coreProperties>
</file>