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Pourcentage d'adaptation,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C4,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C8,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 à C12,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2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3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4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Cure atteinte par 35 patients.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2026-09-16T22:03:37Z</dcterms:modified>
  <cp:category/>
</cp:coreProperties>
</file>