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d'induction,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adjuvante,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avec dose relative moyenne &gt;= 80 %,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31F87072-1598-4C61-94B6-70277AE8DD79}"/>
    <w:embedBold xmlns:w="http://schemas.openxmlformats.org/wordprocessingml/2006/main" xmlns:r="http://schemas.openxmlformats.org/officeDocument/2006/relationships" r:id="rId2" w:fontKey="{AF5BEC71-6082-4C43-AA26-A947FA3AA758}"/>
    <w:embedItalic xmlns:w="http://schemas.openxmlformats.org/wordprocessingml/2006/main" xmlns:r="http://schemas.openxmlformats.org/officeDocument/2006/relationships" r:id="rId3" w:fontKey="{84EA1981-2E66-4A3B-A018-7B7AA39DD1DD}"/>
    <w:embedBoldItalic xmlns:w="http://schemas.openxmlformats.org/wordprocessingml/2006/main" xmlns:r="http://schemas.openxmlformats.org/officeDocument/2006/relationships" r:id="rId4" w:fontKey="{B0C751D6-56AF-4326-A84A-3C228CF25368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2026-09-12T18:55:59Z</dcterms:modified>
  <cp:category/>
</cp:coreProperties>
</file>