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48,5%)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Résécabilité,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&lt;0,001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Résécable d'emblée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62 (63,3)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 (100,0)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Borderline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(39,6)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Localement avancé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(17,3)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17 (35,4)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Durée d'hospitalisation, jours,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16,5 (12,0—21,0)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15,0 (12,0—23,0)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0,75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Complication post-opératoire,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de complication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60 (61,2)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(56,9)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(66,0)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(11,8)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III-IV-V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14 (14,3)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(15,7)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Résection chirurgicale,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2/6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68 (71,6)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32 (72,7)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(28,4)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15 (29,4)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12 (27,3)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Type de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Aucune,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27 (50,9)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Locale,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29 (28,2)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16 (32,0)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0,40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Métastatique,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20 (37,7)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19 (38,0)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0,98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les critères du National Comprehensive Cancer Network (NCCN).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Selon la classification de Clavien-Dindo.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Une récidive à la fois locale et métastatique est comptée dans les deux catégories.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C4B45D7F-C806-44E4-8855-48BFF4C25133}"/>
    <w:embedBold xmlns:w="http://schemas.openxmlformats.org/wordprocessingml/2006/main" xmlns:r="http://schemas.openxmlformats.org/officeDocument/2006/relationships" r:id="rId2" w:fontKey="{1A30621F-2790-491F-AA17-EE7586115DEF}"/>
    <w:embedItalic xmlns:w="http://schemas.openxmlformats.org/wordprocessingml/2006/main" xmlns:r="http://schemas.openxmlformats.org/officeDocument/2006/relationships" r:id="rId3" w:fontKey="{2821D2A2-A8F6-468E-94FF-0A543CC5BF0A}"/>
    <w:embedBoldItalic xmlns:w="http://schemas.openxmlformats.org/wordprocessingml/2006/main" xmlns:r="http://schemas.openxmlformats.org/officeDocument/2006/relationships" r:id="rId4" w:fontKey="{33ED809C-796F-4373-93D5-CFFDF4CF1C44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2026-09-12T18:56:09Z</dcterms:modified>
  <cp:category/>
</cp:coreProperties>
</file>