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d890cd66b2da206e7de9579e040157789a36c00"/>
    <w:p>
      <w:pPr>
        <w:pStyle w:val="Titre2"/>
      </w:pPr>
      <w:r>
        <w:t xml:space="preserve">Caractéristiques des patients à l’inclusion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à l’inclusion,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2b60f835577d4c57e1f671a1465945a3463cd1"/>
    <w:p>
      <w:pPr>
        <w:pStyle w:val="Titre2"/>
      </w:pPr>
      <w:r>
        <w:t xml:space="preserve">Caractéristiques tumorales, prise en charge chirurgicale et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tumorales, prise en charge chirurgicale et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de complication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(11,0—13,0)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&gt;=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 (63,1)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(58,5)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(68,0)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avec dose relative moyenne &gt;= 80%,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(5,8)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(7,5)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Sans réduction de dose de plus de 20 % à la dernière cure de chaque phase, sur aucune des trois molécules.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Adaptation maximale parmi les trois molécules, à la dernière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Patients ayant reçu au moins une cure de chimiothérapie adjuvante (94 sur 103 patients inclus). 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7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83,1 [76,1 ; 90,8]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62,8 [53,3 ; 74,1]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50,6 [40,1 ; 63,8]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29,7 [18,0 ; 49,0]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65,7 [53,2 ; 81,2]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47,7 [34,2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31,8 [18,0 ; 56,3]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77,7 [66,8 ; 90,2]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60,1 [46,5 ; 77,8]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55,5 [41,1 ; 75,0]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27,8 [11,8 ; 65,3]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Start w:id="56" w:name="survie-sans-récidive"/>
    <w:p>
      <w:pPr>
        <w:pStyle w:val="Titre2"/>
      </w:pPr>
      <w:r>
        <w:t xml:space="preserve">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urv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Estimations Kaplan-Meier de la survie sans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sans récidive,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63,0 [54,1 ; 73,2]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37,1 [28,1 ; 48,8]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0,068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72,4 [61,0 ; 85,9]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42,7 [30,3 ; 60,1]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53,2 [40,9 ; 69,2]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31,5 [20,2 ; 49,3]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IC95% : intervalle de confiance à 95%.</w:t>
                  </w:r>
                </w:p>
              </w:tc>
            </w:tr>
          </w:tbl>
          <w:bookmarkEnd w:id="55"/>
        </w:tc>
      </w:tr>
    </w:tbl>
    <w:p>
      <w:r>
        <w:br w:type="page"/>
      </w:r>
    </w:p>
    <w:bookmarkEnd w:id="56"/>
    <w:bookmarkEnd w:id="57"/>
    <w:bookmarkStart w:id="64" w:name="modèles"/>
    <w:p>
      <w:pPr>
        <w:pStyle w:val="Titre1"/>
      </w:pPr>
      <w:r>
        <w:t xml:space="preserve">Modèles</w:t>
      </w:r>
    </w:p>
    <w:bookmarkStart w:id="59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mode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au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RM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aRM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[1,05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[0,91 ; 1,35]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[1,06 ; 1,72]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0,95 [0,91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[0,76 ; 1,04]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[0,79 ; 1,12]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0,70 [0,55 ; 0,87]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0,73 [0,58 ; 0,91]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 portant sur 91 observations complètes (12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odel-coxph-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0,98 [0,55 ; 1,76]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0,77 [0,40 ; 1,47]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0,88 [0,41 ; 1,91]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[0,54 ; 2,21]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0,35 [0,08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[0,93 ; 1,31]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[0,93 ; 1,33]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1,29 [0,68 ; 2,45]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[0,62 ; 2,39]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4,88 [2,45 ; 9,71]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&lt;0,001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42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sans-récidive"/>
    <w:p>
      <w:pPr>
        <w:pStyle w:val="Titre2"/>
      </w:pPr>
      <w:r>
        <w:t xml:space="preserve">Estimation de la 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model-coxph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sans récidive,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0,070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1,58 [0,96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[0,82 ; 2,36]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0,78 [0,39 ; 1,56]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[0,76 ; 2,55]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[0,20 ; 1,42]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64/103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[0,89 ; 1,19]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59/95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1,05 [0,90 ; 1,22]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[0,63 ; 1,92]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[0,57 ; 1,85]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3,05 [1,64 ; 5,69]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 incluant 59 évènements pour 95 observations complètes (8 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-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cp:keywords/>
  <dcterms:created xsi:type="dcterms:W3CDTF">2026-08-26T18:04:26Z</dcterms:created>
  <dcterms:modified xsi:type="dcterms:W3CDTF">2026-08-26T18:04:26Z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fig-cap-location">
    <vt:lpwstr>bottom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4</vt:lpwstr>
  </property>
  <property fmtid="{D5CDD505-2E9C-101B-9397-08002B2CF9AE}" pid="13" name="revealjs-plugins">
    <vt:lpwstr/>
  </property>
  <property fmtid="{D5CDD505-2E9C-101B-9397-08002B2CF9AE}" pid="14" name="tbl-cap-location">
    <vt:lpwstr>top</vt:lpwstr>
  </property>
  <property fmtid="{D5CDD505-2E9C-101B-9397-08002B2CF9AE}" pid="15" name="toc-title">
    <vt:lpwstr/>
  </property>
</Properties>
</file>