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2048nqj923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45"/>
        <w:gridCol w:w="5700"/>
        <w:tblGridChange w:id="0">
          <w:tblGrid>
            <w:gridCol w:w="5745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Chatgpt x Céline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Thèse Boil.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stdgle2et2og" w:id="1"/>
            <w:bookmarkEnd w:id="1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 – Introduction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pancréas sain</w:t>
              <w:br w:type="textWrapping"/>
            </w:r>
            <w:r w:rsidDel="00000000" w:rsidR="00000000" w:rsidRPr="00000000">
              <w:rPr>
                <w:rtl w:val="0"/>
              </w:rPr>
              <w:t xml:space="preserve"> 1.1 Rappels anatomiques</w:t>
              <w:br w:type="textWrapping"/>
              <w:t xml:space="preserve"> 1.2 Histologie et physiologie pancréatique</w:t>
              <w:br w:type="textWrapping"/>
              <w:t xml:space="preserve"> 1.2.1 Fonction exocrine</w:t>
              <w:br w:type="textWrapping"/>
              <w:t xml:space="preserve"> 1.2.2 Fonction endocrine</w:t>
              <w:br w:type="textWrapping"/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Adénocarcinome du pancréas (ADKP)</w:t>
              <w:br w:type="textWrapping"/>
            </w:r>
            <w:r w:rsidDel="00000000" w:rsidR="00000000" w:rsidRPr="00000000">
              <w:rPr>
                <w:rtl w:val="0"/>
              </w:rPr>
              <w:t xml:space="preserve"> 2.1 Épidémiologie et facteurs de risque</w:t>
              <w:br w:type="textWrapping"/>
              <w:t xml:space="preserve"> 2.2 Physiopathologie et carcinogenèse</w:t>
              <w:br w:type="textWrapping"/>
              <w:t xml:space="preserve"> 2.3 Classification anatomopathologique</w:t>
              <w:br w:type="textWrapping"/>
              <w:t xml:space="preserve"> 2.4 Stades et classification TNM</w:t>
              <w:br w:type="textWrapping"/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Prise en charge thérapeutique de l’ADKP résécable</w:t>
              <w:br w:type="textWrapping"/>
            </w:r>
            <w:r w:rsidDel="00000000" w:rsidR="00000000" w:rsidRPr="00000000">
              <w:rPr>
                <w:rtl w:val="0"/>
              </w:rPr>
              <w:t xml:space="preserve"> 3.1 Chirurgie carcinologique</w:t>
              <w:br w:type="textWrapping"/>
              <w:t xml:space="preserve"> 3.1.1 Types de résections pancréatiques</w:t>
              <w:br w:type="textWrapping"/>
              <w:t xml:space="preserve"> 3.1.2 Critères de résécabilité</w:t>
              <w:br w:type="textWrapping"/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 Traitements systémiques</w:t>
              <w:br w:type="textWrapping"/>
              <w:t xml:space="preserve"> 3.2.1 Chimiothérapie adjuvante</w:t>
              <w:br w:type="textWrapping"/>
              <w:t xml:space="preserve"> 3.2.2 Chimiothérapie néoadjuvante et péri-opératoire</w:t>
              <w:br w:type="textWrapping"/>
              <w:t xml:space="preserve"> 3.2.3 Protocoles usuels (FOLFIRINOX, Gemcitabine, etc.)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3.3 Données de la littérature</w:t>
              <w:br w:type="textWrapping"/>
              <w:t xml:space="preserve"> 3.3.1 Essais majeurs en adjuvant</w:t>
              <w:br w:type="textWrapping"/>
              <w:t xml:space="preserve"> 3.3.2 Essais en péri-opératoire / néoadjuvant</w:t>
              <w:br w:type="textWrapping"/>
              <w:t xml:space="preserve"> 3.3.3 Comparaison indirecte des stratégies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 de l’étude</w:t>
              <w:br w:type="textWrapping"/>
            </w:r>
            <w:r w:rsidDel="00000000" w:rsidR="00000000" w:rsidRPr="00000000">
              <w:rPr>
                <w:rtl w:val="0"/>
              </w:rPr>
              <w:t xml:space="preserve"> 4.1 Limites des données actuelles</w:t>
              <w:br w:type="textWrapping"/>
              <w:t xml:space="preserve"> 4.2 Intérêt d’une étude multicentrique rétrospective</w:t>
              <w:br w:type="textWrapping"/>
              <w:t xml:space="preserve"> 4.3 Objectifs de l’étude</w:t>
              <w:br w:type="textWrapping"/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oqw976lxnjqz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II – Matériels et méthodes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de l’étude</w:t>
              <w:br w:type="textWrapping"/>
            </w:r>
            <w:r w:rsidDel="00000000" w:rsidR="00000000" w:rsidRPr="00000000">
              <w:rPr>
                <w:rtl w:val="0"/>
              </w:rPr>
              <w:t xml:space="preserve"> 1.1 Type d’étude</w:t>
              <w:br w:type="textWrapping"/>
              <w:t xml:space="preserve"> 1.2 Centres participants</w:t>
              <w:br w:type="textWrapping"/>
              <w:t xml:space="preserve"> 1.3 Période d’inclusion</w:t>
              <w:br w:type="textWrapping"/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Population étudiée</w:t>
              <w:br w:type="textWrapping"/>
            </w:r>
            <w:r w:rsidDel="00000000" w:rsidR="00000000" w:rsidRPr="00000000">
              <w:rPr>
                <w:rtl w:val="0"/>
              </w:rPr>
              <w:t xml:space="preserve"> 2.1 Critères d’inclusion</w:t>
              <w:br w:type="textWrapping"/>
              <w:t xml:space="preserve"> 2.2 Critères de non-inclusion / exclusion</w:t>
              <w:br w:type="textWrapping"/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 des groupes</w:t>
              <w:br w:type="textWrapping"/>
            </w:r>
            <w:r w:rsidDel="00000000" w:rsidR="00000000" w:rsidRPr="00000000">
              <w:rPr>
                <w:rtl w:val="0"/>
              </w:rPr>
              <w:t xml:space="preserve"> 3.1 Groupe chimiothérapie adjuvante</w:t>
              <w:br w:type="textWrapping"/>
              <w:t xml:space="preserve"> 3.2 Groupe chimiothérapie péri-opératoire</w:t>
              <w:br w:type="textWrapping"/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 recueillies</w:t>
              <w:br w:type="textWrapping"/>
            </w:r>
            <w:r w:rsidDel="00000000" w:rsidR="00000000" w:rsidRPr="00000000">
              <w:rPr>
                <w:rtl w:val="0"/>
              </w:rPr>
              <w:t xml:space="preserve"> 4.1 Données démographiques</w:t>
              <w:br w:type="textWrapping"/>
              <w:t xml:space="preserve"> 4.2 Données tumorales</w:t>
              <w:br w:type="textWrapping"/>
              <w:t xml:space="preserve"> 4.3 Données chirurgicales</w:t>
              <w:br w:type="textWrapping"/>
              <w:t xml:space="preserve"> 4.4 Données thérapeutiques</w:t>
              <w:br w:type="textWrapping"/>
              <w:t xml:space="preserve"> 4.5 Données biologiques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Critères de jugement</w:t>
              <w:br w:type="textWrapping"/>
            </w:r>
            <w:r w:rsidDel="00000000" w:rsidR="00000000" w:rsidRPr="00000000">
              <w:rPr>
                <w:rtl w:val="0"/>
              </w:rPr>
              <w:t xml:space="preserve"> 5.1 Critère principal : survie globale (OS)</w:t>
              <w:br w:type="textWrapping"/>
              <w:t xml:space="preserve"> 5.2 Critères secondaires</w:t>
              <w:br w:type="textWrapping"/>
              <w:t xml:space="preserve"> 5.2.1 Survie sans progression (PFS)</w:t>
              <w:br w:type="textWrapping"/>
              <w:t xml:space="preserve"> 5.2.2 Tolérance et toxicités (CTCAE)</w:t>
              <w:br w:type="textWrapping"/>
              <w:t xml:space="preserve"> 5.2.3 Taux de complétion des traitements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Méthodes statistiques</w:t>
              <w:br w:type="textWrapping"/>
            </w:r>
            <w:r w:rsidDel="00000000" w:rsidR="00000000" w:rsidRPr="00000000">
              <w:rPr>
                <w:rtl w:val="0"/>
              </w:rPr>
              <w:t xml:space="preserve"> 6.1 Analyse descriptive</w:t>
              <w:br w:type="textWrapping"/>
              <w:t xml:space="preserve"> 6.2 Analyse de survie (Kaplan-Meier, log-rank)</w:t>
              <w:br w:type="textWrapping"/>
              <w:t xml:space="preserve"> 6.3 Modèles multivariés (Cox)</w:t>
              <w:br w:type="textWrapping"/>
              <w:t xml:space="preserve"> 6.4 Analyses de sous-groupes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3z0kta6pqsju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III – Résultats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de la population</w:t>
              <w:br w:type="textWrapping"/>
            </w:r>
            <w:r w:rsidDel="00000000" w:rsidR="00000000" w:rsidRPr="00000000">
              <w:rPr>
                <w:rtl w:val="0"/>
              </w:rPr>
              <w:t xml:space="preserve"> 1.1 Population globale</w:t>
              <w:br w:type="textWrapping"/>
              <w:t xml:space="preserve"> 1.2 Répartition entre les groupes</w:t>
              <w:br w:type="textWrapping"/>
              <w:t xml:space="preserve"> 1.3 Comparabilité des groupes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Caractéristiques initiales</w:t>
              <w:br w:type="textWrapping"/>
            </w:r>
            <w:r w:rsidDel="00000000" w:rsidR="00000000" w:rsidRPr="00000000">
              <w:rPr>
                <w:rtl w:val="0"/>
              </w:rPr>
              <w:t xml:space="preserve"> 2.1 Données démographiques</w:t>
              <w:br w:type="textWrapping"/>
              <w:t xml:space="preserve"> 2.2 Données tumorales</w:t>
              <w:br w:type="textWrapping"/>
              <w:t xml:space="preserve"> 2.3 Données chirurgicales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Traitements administrés</w:t>
              <w:br w:type="textWrapping"/>
            </w:r>
            <w:r w:rsidDel="00000000" w:rsidR="00000000" w:rsidRPr="00000000">
              <w:rPr>
                <w:rtl w:val="0"/>
              </w:rPr>
              <w:t xml:space="preserve"> 3.1 Protocoles de chimiothérapie</w:t>
              <w:br w:type="textWrapping"/>
              <w:t xml:space="preserve"> 3.2 Doses et intensité relative</w:t>
              <w:br w:type="textWrapping"/>
              <w:t xml:space="preserve"> 3.3 Taux de complétion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Tolérance des traitements</w:t>
              <w:br w:type="textWrapping"/>
            </w:r>
            <w:r w:rsidDel="00000000" w:rsidR="00000000" w:rsidRPr="00000000">
              <w:rPr>
                <w:rtl w:val="0"/>
              </w:rPr>
              <w:t xml:space="preserve"> 4.1 Toxicités hématologiques</w:t>
              <w:br w:type="textWrapping"/>
              <w:t xml:space="preserve"> 4.2 Toxicités non hématologiques</w:t>
              <w:br w:type="textWrapping"/>
              <w:t xml:space="preserve"> 4.3 Arrêts de traitement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Analyse de la survie globale (OS)</w:t>
              <w:br w:type="textWrapping"/>
            </w:r>
            <w:r w:rsidDel="00000000" w:rsidR="00000000" w:rsidRPr="00000000">
              <w:rPr>
                <w:rtl w:val="0"/>
              </w:rPr>
              <w:t xml:space="preserve"> 5.1 Analyse globale</w:t>
              <w:br w:type="textWrapping"/>
              <w:t xml:space="preserve"> 5.2 Comparaison entre les groupes</w:t>
              <w:br w:type="textWrapping"/>
              <w:t xml:space="preserve"> 5.3 Analyses ajustées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Analyse de la survie sans progression (PFS)</w:t>
              <w:br w:type="textWrapping"/>
            </w:r>
            <w:r w:rsidDel="00000000" w:rsidR="00000000" w:rsidRPr="00000000">
              <w:rPr>
                <w:rtl w:val="0"/>
              </w:rPr>
              <w:t xml:space="preserve"> 6.1 Analyse globale</w:t>
              <w:br w:type="textWrapping"/>
              <w:t xml:space="preserve"> 6.2 Comparaison entre les groupes</w:t>
              <w:br w:type="textWrapping"/>
              <w:t xml:space="preserve"> 6.3 Analyses ajustées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Analyses en sous-groupes</w:t>
              <w:br w:type="textWrapping"/>
            </w:r>
            <w:r w:rsidDel="00000000" w:rsidR="00000000" w:rsidRPr="00000000">
              <w:rPr>
                <w:rtl w:val="0"/>
              </w:rPr>
              <w:t xml:space="preserve"> 7.1 Selon le stade tumoral</w:t>
              <w:br w:type="textWrapping"/>
              <w:t xml:space="preserve"> 7.2 Selon le type de chirurgie</w:t>
              <w:br w:type="textWrapping"/>
              <w:t xml:space="preserve"> 7.3 Selon le protocole de chimiothérapie</w:t>
              <w:br w:type="textWrapping"/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gk75q7p8edj" w:id="4"/>
            <w:bookmarkEnd w:id="4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IV – Discussion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Interprétation des résultats principaux</w:t>
              <w:br w:type="textWrapping"/>
            </w:r>
            <w:r w:rsidDel="00000000" w:rsidR="00000000" w:rsidRPr="00000000">
              <w:rPr>
                <w:rtl w:val="0"/>
              </w:rPr>
              <w:t xml:space="preserve"> 1.1 Impact de la stratégie thérapeutique sur la survie</w:t>
              <w:br w:type="textWrapping"/>
              <w:t xml:space="preserve"> 1.2 Comparaison avec la littérature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Tolérance et faisabilité des traitements</w:t>
              <w:br w:type="textWrapping"/>
            </w:r>
            <w:r w:rsidDel="00000000" w:rsidR="00000000" w:rsidRPr="00000000">
              <w:rPr>
                <w:rtl w:val="0"/>
              </w:rPr>
              <w:t xml:space="preserve"> 2.1 Balance bénéfice/risque</w:t>
              <w:br w:type="textWrapping"/>
              <w:t xml:space="preserve"> 2.2 Adhérence thérapeutique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Facteurs pronostiques identifiés</w:t>
              <w:br w:type="textWrapping"/>
            </w:r>
            <w:r w:rsidDel="00000000" w:rsidR="00000000" w:rsidRPr="00000000">
              <w:rPr>
                <w:rtl w:val="0"/>
              </w:rPr>
              <w:t xml:space="preserve"> 3.1 Facteurs cliniques</w:t>
              <w:br w:type="textWrapping"/>
              <w:t xml:space="preserve"> 3.2 Facteurs tumoraux</w:t>
              <w:br w:type="textWrapping"/>
              <w:t xml:space="preserve"> 3.3 Facteurs liés au traitement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 de la chimiothérapie péri-opératoire dans la stratégie actuelle</w:t>
              <w:br w:type="textWrapping"/>
            </w:r>
            <w:r w:rsidDel="00000000" w:rsidR="00000000" w:rsidRPr="00000000">
              <w:rPr>
                <w:rtl w:val="0"/>
              </w:rPr>
              <w:t xml:space="preserve"> 4.1 Avantages potentiels</w:t>
              <w:br w:type="textWrapping"/>
              <w:t xml:space="preserve"> 4.2 Limites et risques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Forces et limites de l’étude</w:t>
              <w:br w:type="textWrapping"/>
            </w:r>
            <w:r w:rsidDel="00000000" w:rsidR="00000000" w:rsidRPr="00000000">
              <w:rPr>
                <w:rtl w:val="0"/>
              </w:rPr>
              <w:t xml:space="preserve"> 5.1 Forces (multicentrique, effectif, données réelles)</w:t>
              <w:br w:type="textWrapping"/>
              <w:t xml:space="preserve"> 5.2 Limites (rétrospectif, biais de sélection, hétérogénéité)</w:t>
              <w:br w:type="textWrapping"/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Perspectives</w:t>
              <w:br w:type="textWrapping"/>
            </w:r>
            <w:r w:rsidDel="00000000" w:rsidR="00000000" w:rsidRPr="00000000">
              <w:rPr>
                <w:rtl w:val="0"/>
              </w:rPr>
              <w:t xml:space="preserve"> 6.1 Implications cliniques</w:t>
              <w:br w:type="textWrapping"/>
              <w:t xml:space="preserve"> 6.2 Besoin d’essais prospectifs</w:t>
              <w:br w:type="textWrapping"/>
              <w:t xml:space="preserve"> 6.3 Personnalisation des stratégies thérapeutiques</w:t>
              <w:br w:type="textWrapping"/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yrl1aj4izci9" w:id="5"/>
            <w:bookmarkEnd w:id="5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V – Conclusion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r8zcwye5cnbs" w:id="6"/>
            <w:bookmarkEnd w:id="6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VI – Bibliographie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spacing w:after="80" w:lineRule="auto"/>
              <w:rPr/>
            </w:pPr>
            <w:bookmarkStart w:colFirst="0" w:colLast="0" w:name="_o9m12mc2586p" w:id="7"/>
            <w:bookmarkEnd w:id="7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VII – Table des figures et tableaux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A. Le pancréas sain :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Anatomie et organisation du pancréas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   Organisation tissulaire du pancréas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   Organisation de la muqueuse des canaux pancréatique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      Définition d'un épithelium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      Epithelium des canaux pancréatiques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Fonction du pancréas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  Le pancréas endocrine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  Le pancréas exocrine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lgl7l4r3w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