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Introduction (brouillon) : </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widowControl w:val="0"/>
        <w:spacing w:after="240" w:before="240" w:line="240" w:lineRule="auto"/>
        <w:rPr/>
      </w:pPr>
      <w:r w:rsidDel="00000000" w:rsidR="00000000" w:rsidRPr="00000000">
        <w:rPr>
          <w:rtl w:val="0"/>
        </w:rPr>
        <w:t xml:space="preserve">Le cancer du pancréas est un enjeu majeur de santé publique dans le monde industrialisé particulièrement en Europe et en France. L’adénocarcinome canalaire pancréatique (pancreatic ductal adenocarcinoma, PDAC) représente plus de 90 % des cancers du pancréas. En 2022, il était responsable d’environ 132 000 nouveaux cas et 128 000 décès en Europe, se classant au 7ᵉ rang des cancers en termes d’incidence et au 4ᵉ rang des causes de mortalité par cancer, après les cancers du poumon, du côlon et du sein. En France, il fait partie des dix cancers les plus fréquents, avec près de 16 000 nouveaux cas diagnostiqués chaque année. Son incidence est en augmentation continue depuis les années 1990, avec une progression annuelle estimée à +1,6 % chez l’homme et +2,1 % chez la femme depuis 2010.</w:t>
      </w:r>
    </w:p>
    <w:p w:rsidR="00000000" w:rsidDel="00000000" w:rsidP="00000000" w:rsidRDefault="00000000" w:rsidRPr="00000000" w14:paraId="00000004">
      <w:pPr>
        <w:widowControl w:val="0"/>
        <w:spacing w:after="240" w:before="240" w:line="240" w:lineRule="auto"/>
        <w:rPr/>
      </w:pPr>
      <w:r w:rsidDel="00000000" w:rsidR="00000000" w:rsidRPr="00000000">
        <w:rPr>
          <w:rtl w:val="0"/>
        </w:rPr>
        <w:t xml:space="preserve">Les principaux facteurs de risque mis en évidence sont le tabagisme, le diabète de type 2, l’obésité, la pancréatite chronique et certaines prédispositions génétiques. L’augmentation de l’incidence observée dans les pays occidentaux s’explique à la fois par la progression du diabète et de l’obésité, mais également par le vieillissement de la population.</w:t>
      </w:r>
    </w:p>
    <w:p w:rsidR="00000000" w:rsidDel="00000000" w:rsidP="00000000" w:rsidRDefault="00000000" w:rsidRPr="00000000" w14:paraId="00000005">
      <w:pPr>
        <w:widowControl w:val="0"/>
        <w:spacing w:after="240" w:before="240" w:line="240" w:lineRule="auto"/>
        <w:rPr/>
      </w:pPr>
      <w:r w:rsidDel="00000000" w:rsidR="00000000" w:rsidRPr="00000000">
        <w:rPr>
          <w:rtl w:val="0"/>
        </w:rPr>
        <w:t xml:space="preserve">Le choix de la stratégie thérapeutique à adopter repose sur l’évaluation de la résécabilité tumorale déterminée par la classification du National Comprehensive Cancer Network (NCCN). Celle-ci distingue trois catégories de tumeurs (résécable d’emblée, borderline, localement avancée) selon la présence d’un envahissement par des principaux axes vasculaires (tronc coeliaque, veine porte, veine et/ou artère mésentériques supérieures).</w:t>
      </w:r>
    </w:p>
    <w:p w:rsidR="00000000" w:rsidDel="00000000" w:rsidP="00000000" w:rsidRDefault="00000000" w:rsidRPr="00000000" w14:paraId="00000006">
      <w:pPr>
        <w:widowControl w:val="0"/>
        <w:spacing w:after="240" w:before="240" w:line="240" w:lineRule="auto"/>
        <w:rPr/>
      </w:pPr>
      <w:r w:rsidDel="00000000" w:rsidR="00000000" w:rsidRPr="00000000">
        <w:rPr>
          <w:rtl w:val="0"/>
        </w:rPr>
        <w:t xml:space="preserve">La chirurgie pancréatique constitue le seul traitement à visée curative du cancer du pancréas. Celle-ci repose principalement sur la duodénopancréatectomie céphalique pour les tumeurs de la tête du pancréas et sur la pancréatectomie distale avec splénectomie pour les tumeurs de localisation corporéo-caudale.</w:t>
      </w:r>
    </w:p>
    <w:p w:rsidR="00000000" w:rsidDel="00000000" w:rsidP="00000000" w:rsidRDefault="00000000" w:rsidRPr="00000000" w14:paraId="00000007">
      <w:pPr>
        <w:widowControl w:val="0"/>
        <w:spacing w:after="240" w:before="240" w:line="240" w:lineRule="auto"/>
        <w:rPr/>
      </w:pPr>
      <w:r w:rsidDel="00000000" w:rsidR="00000000" w:rsidRPr="00000000">
        <w:rPr>
          <w:rtl w:val="0"/>
        </w:rPr>
        <w:t xml:space="preserve">L’intérêt d’un traitement systémique après chirurgie est parfaitement établi depuis l’essai CONKO-001, qui a démontré un bénéfice significatif de la chimiothérapie adjuvante en termes de survie sans récidive (13,4 contre 6,9 mois) et de survie globale (22,8 contre 20,2 mois) par rapport à la surveillance seule. Plus récemment, l’essai PRODIGE-24 a prouvé la supériorité du schéma mFOLFIRINOX par rapport à la gemcitabine seule, avec une survie globale médiane portée à 54,4 mois contre 35,0 mois et une survie sans récidive de 21,6 mois contre 12,8 mois. </w:t>
      </w:r>
    </w:p>
    <w:p w:rsidR="00000000" w:rsidDel="00000000" w:rsidP="00000000" w:rsidRDefault="00000000" w:rsidRPr="00000000" w14:paraId="00000008">
      <w:pPr>
        <w:widowControl w:val="0"/>
        <w:spacing w:after="240" w:before="240" w:line="240" w:lineRule="auto"/>
        <w:rPr/>
      </w:pPr>
      <w:r w:rsidDel="00000000" w:rsidR="00000000" w:rsidRPr="00000000">
        <w:rPr>
          <w:rtl w:val="0"/>
        </w:rPr>
        <w:t xml:space="preserve">Toutefois, en pratique clinique, environ la moitié des patients opérés ne bénéficie pas de l’intégralité ou d’une partie de la chimiothérapie adjuvante. </w:t>
      </w:r>
    </w:p>
    <w:p w:rsidR="00000000" w:rsidDel="00000000" w:rsidP="00000000" w:rsidRDefault="00000000" w:rsidRPr="00000000" w14:paraId="00000009">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Cela s’explique notamment par la morbidité importante associée à la chirurgie pancréatique (30 à 50% des patients). En effet, la survenue d’une complication sévère (hémorragie postopératoire, fistule pancréatique, gastroparésie, infection intra-abdominale) réduit significativement la probabilité de pouvoir bénéficier d’une chimiothérapie adjuvante passant de 61,8 % à 43,6 % (OR ≈ 2,2 pour l’omission).</w:t>
      </w:r>
    </w:p>
    <w:p w:rsidR="00000000" w:rsidDel="00000000" w:rsidP="00000000" w:rsidRDefault="00000000" w:rsidRPr="00000000" w14:paraId="0000000A">
      <w:pPr>
        <w:widowControl w:val="0"/>
        <w:spacing w:after="240" w:before="240" w:line="240" w:lineRule="auto"/>
        <w:rPr/>
      </w:pPr>
      <w:r w:rsidDel="00000000" w:rsidR="00000000" w:rsidRPr="00000000">
        <w:rPr>
          <w:rtl w:val="0"/>
        </w:rPr>
        <w:t xml:space="preserve">Outre les complications post-chirurgicales, d’autres facteurs pourraient contribuer à cette faible proportion. Certains facteurs liés au patient (âge avancé, comorbidités) peuvent engendrer une moins bonne tolérance de la chimiothérapie. D’autres facteurs sont liés à l’évolution de la maladie, une progression ou une récidive précoce après chirurgie étant observée chez près d’un tiers des patients.</w:t>
      </w:r>
    </w:p>
    <w:p w:rsidR="00000000" w:rsidDel="00000000" w:rsidP="00000000" w:rsidRDefault="00000000" w:rsidRPr="00000000" w14:paraId="0000000B">
      <w:pPr>
        <w:widowControl w:val="0"/>
        <w:spacing w:after="240" w:before="240" w:line="240" w:lineRule="auto"/>
        <w:rPr/>
      </w:pPr>
      <w:r w:rsidDel="00000000" w:rsidR="00000000" w:rsidRPr="00000000">
        <w:rPr>
          <w:rtl w:val="0"/>
        </w:rPr>
        <w:t xml:space="preserve">C’est dans ce contexte qu’a émergé l’intérêt pour une stratégie de chimiothérapie néoadjuvante ou périopératoire. Cette approche s’inspire aussi des résultats obtenus dans les tumeurs localement avancées, où la chimiothérapie d’induction permet de convertir une proportion significative de tumeurs initialement non résécables en tumeurs résécables, avec une amélioration des taux de résection R0 et de la survie globale. </w:t>
      </w:r>
    </w:p>
    <w:p w:rsidR="00000000" w:rsidDel="00000000" w:rsidP="00000000" w:rsidRDefault="00000000" w:rsidRPr="00000000" w14:paraId="0000000C">
      <w:pPr>
        <w:widowControl w:val="0"/>
        <w:spacing w:after="240" w:before="240" w:line="240" w:lineRule="auto"/>
        <w:rPr/>
      </w:pPr>
      <w:r w:rsidDel="00000000" w:rsidR="00000000" w:rsidRPr="00000000">
        <w:rPr>
          <w:rtl w:val="0"/>
        </w:rPr>
        <w:t xml:space="preserve">Dans les tumeurs borderline, une méta-analyse de Liu S. et al. a mis en évidence un bénéfice significatif de la chimiothérapie néoadjuvante, avec une augmentation du taux de résection  (RR = 2,71 ; IC95 % : 1,59–4,62) et une amélioration de la survie globale (HR = 0,66 ; IC95 % : 0,54–0,82). </w:t>
      </w:r>
    </w:p>
    <w:p w:rsidR="00000000" w:rsidDel="00000000" w:rsidP="00000000" w:rsidRDefault="00000000" w:rsidRPr="00000000" w14:paraId="0000000D">
      <w:pPr>
        <w:widowControl w:val="0"/>
        <w:spacing w:after="240" w:before="240" w:line="240" w:lineRule="auto"/>
        <w:rPr/>
      </w:pPr>
      <w:r w:rsidDel="00000000" w:rsidR="00000000" w:rsidRPr="00000000">
        <w:rPr>
          <w:rtl w:val="0"/>
        </w:rPr>
        <w:t xml:space="preserve">En cohérence avec ces données, les recommandations actuelles de l’ESMO et du TNCD privilégient une approche néoadjuvante dans les tumeurs borderline plutôt qu’une chirurgie d’emblée.</w:t>
      </w:r>
    </w:p>
    <w:p w:rsidR="00000000" w:rsidDel="00000000" w:rsidP="00000000" w:rsidRDefault="00000000" w:rsidRPr="00000000" w14:paraId="0000000E">
      <w:pPr>
        <w:widowControl w:val="0"/>
        <w:spacing w:after="240" w:before="240" w:line="240" w:lineRule="auto"/>
        <w:rPr/>
      </w:pPr>
      <w:r w:rsidDel="00000000" w:rsidR="00000000" w:rsidRPr="00000000">
        <w:rPr>
          <w:rtl w:val="0"/>
        </w:rPr>
        <w:t xml:space="preserve">En revanche, dans les tumeurs résécables d’emblée, la chimiothérapie néoadjuvante reste en cours d’évaluation, bien que plusieurs travaux suggèrent un bénéfice potentiel en termes de meilleure sélection des patients opérés.</w:t>
      </w:r>
    </w:p>
    <w:p w:rsidR="00000000" w:rsidDel="00000000" w:rsidP="00000000" w:rsidRDefault="00000000" w:rsidRPr="00000000" w14:paraId="0000000F">
      <w:pPr>
        <w:widowControl w:val="0"/>
        <w:spacing w:after="240" w:before="240" w:line="240" w:lineRule="auto"/>
        <w:rPr>
          <w:b w:val="1"/>
          <w:bCs w:val="1"/>
          <w:sz w:val="28"/>
          <w:szCs w:val="28"/>
        </w:rPr>
      </w:pPr>
      <w:r w:rsidDel="00000000" w:rsidR="00000000" w:rsidRPr="00000000">
        <w:rPr>
          <w:rtl w:val="0"/>
        </w:rPr>
        <w:t xml:space="preserve">L’objectif de ce travail est de comparer la survie globale et la survie sans progression chez des patients opérés pour un adénocarcinome canalaire du pancréas selon qu’ils aient reçu une chimiothérapie adjuvante ou une chimiothérapie périopératoire.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