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Rédaction introduction (version 0) : </w:t>
      </w:r>
      <w:r w:rsidDel="00000000" w:rsidR="00000000" w:rsidRPr="00000000">
        <w:rPr>
          <w:rtl w:val="0"/>
        </w:rPr>
      </w:r>
    </w:p>
    <w:p w:rsidR="00000000" w:rsidDel="00000000" w:rsidP="00000000" w:rsidRDefault="00000000" w:rsidRPr="00000000" w14:paraId="00000002">
      <w:pPr>
        <w:spacing w:after="240" w:before="240" w:lineRule="auto"/>
        <w:rPr>
          <w:rFonts w:ascii="Calibri" w:cs="Calibri" w:eastAsia="Calibri" w:hAnsi="Calibri"/>
          <w:b w:val="1"/>
          <w:bCs w:val="1"/>
          <w:u w:val="single"/>
          <w:shd w:fill="ffe1e1" w:val="clear"/>
        </w:rPr>
      </w:pPr>
      <w:r w:rsidDel="00000000" w:rsidR="00000000" w:rsidRPr="00000000">
        <w:rPr>
          <w:rFonts w:ascii="Calibri" w:cs="Calibri" w:eastAsia="Calibri" w:hAnsi="Calibri"/>
          <w:b w:val="1"/>
          <w:bCs w:val="1"/>
          <w:u w:val="single"/>
          <w:shd w:fill="ffe1e1" w:val="clear"/>
          <w:rtl w:val="0"/>
        </w:rPr>
        <w:t xml:space="preserve">PANCRÉAS SAIN : </w:t>
      </w:r>
    </w:p>
    <w:p w:rsidR="00000000" w:rsidDel="00000000" w:rsidP="00000000" w:rsidRDefault="00000000" w:rsidRPr="00000000" w14:paraId="00000003">
      <w:pPr>
        <w:spacing w:after="240" w:before="240" w:lineRule="auto"/>
        <w:ind w:left="720"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shd w:fill="ffe1e1" w:val="clear"/>
          <w:rtl w:val="0"/>
        </w:rPr>
        <w:t xml:space="preserve">Rappels anatomiques</w:t>
      </w:r>
      <w:r w:rsidDel="00000000" w:rsidR="00000000" w:rsidRPr="00000000">
        <w:rPr>
          <w:rtl w:val="0"/>
        </w:rPr>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Le pancréas est un organe profond situé en arrière de l'estomac et en avant des gros vaisseaux, en position rétro-péritonéale et sus-mésocolique. Il s'agit d'une glande allongée transversalement, mesurant environ 12 à 15 cm de long. Il est constitué de quatre segments : la tête, l'isthme, le corps et la queue.</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La tête, partie la plus volumineuse, est enchâssée dans le cadre duodénal et se prolonge à sa partie inférieure pour donner le crochet. L'isthme, portion rétrécie qui sépare la tête du corps, est situé en avant de l'axe mésentérico-porte. Le corps est oblique vers le haut et se trouve en avant de l'aorte et des vertèbres rachidiennes. Enfin, la queue se prolonge jusqu'à devenir sous splénique. </w:t>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D’un point de vue embryologique, le pancréas résulte de la fusion de l’ébauche dorsale (d’où proviennent la partie haute de la tête, le corps et la queue), et de l’ébauche ventrale (qui donne la partie basse de la tête et le crochet). </w:t>
      </w:r>
    </w:p>
    <w:p w:rsidR="00000000" w:rsidDel="00000000" w:rsidP="00000000" w:rsidRDefault="00000000" w:rsidRPr="00000000" w14:paraId="00000009">
      <w:pPr>
        <w:rPr>
          <w:rFonts w:ascii="Calibri" w:cs="Calibri" w:eastAsia="Calibri" w:hAnsi="Calibri"/>
        </w:rPr>
      </w:pP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Le canal pancréatique principal (canal de Wirsung) mesure environ 3 mm de diamètre, et parcourt toute la longueur du pancréas en recevant des canaux secondaires qui s’abouchent perpendiculairement. Il rejoint le canal cholédoque au niveau de la tête pour former un sphincter commun, le sphincter d’Oddi qui se termine dans le bord interne du 2ème duodénum.</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La vascularisation artérielle du pancréas est riche et provient de l’artère mésentérique supérieure et du tronc coeliaque, via l'artère splénique et l'artère gastro-duodénale issue de l'artère hépatique commune. Le drainage veineux est assuré par les veines pancréatico-duodénales et la veine splénique. Le drainage lymphatique de la région céphalique est assuré par les ganglions périduodéno-pancréatiques, rétrocholédociens, mésentériques supérieurs et hépatiques communs. </w:t>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rtl w:val="0"/>
        </w:rPr>
        <w:t xml:space="preserve">Le drainage corporéocaudal s’effectue via des ganglions du hile splénique. Enfin, les ganglions situés près du tronc coeliaque et de l’artère mésentérique supérieure ou dans la région inter-aorticocave assurent le drainage de l’ensemble du pancréas.</w:t>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Le pancréas est innervé par le système sympathique via les nerfs splanchniques et par le système parasympathique via le nerf vague. Le système parasympathique, via les fibres cholinergiques, contribue à la commande de la sécrétion exocrine.</w:t>
      </w:r>
    </w:p>
    <w:p w:rsidR="00000000" w:rsidDel="00000000" w:rsidP="00000000" w:rsidRDefault="00000000" w:rsidRPr="00000000" w14:paraId="00000011">
      <w:pPr>
        <w:rPr>
          <w:rFonts w:ascii="Calibri" w:cs="Calibri" w:eastAsia="Calibri" w:hAnsi="Calibri"/>
        </w:rPr>
      </w:pP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(Schéma pancréas)</w:t>
      </w:r>
    </w:p>
    <w:p w:rsidR="00000000" w:rsidDel="00000000" w:rsidP="00000000" w:rsidRDefault="00000000" w:rsidRPr="00000000" w14:paraId="00000013">
      <w:pPr>
        <w:spacing w:after="240" w:before="240" w:lineRule="auto"/>
        <w:ind w:left="720" w:firstLine="0"/>
        <w:rPr>
          <w:rFonts w:ascii="Calibri" w:cs="Calibri" w:eastAsia="Calibri" w:hAnsi="Calibri"/>
          <w:b w:val="1"/>
          <w:bCs w:val="1"/>
          <w:u w:val="single"/>
          <w:shd w:fill="ffe1e1" w:val="clear"/>
        </w:rPr>
      </w:pPr>
      <w:r w:rsidDel="00000000" w:rsidR="00000000" w:rsidRPr="00000000">
        <w:rPr>
          <w:rFonts w:ascii="Calibri" w:cs="Calibri" w:eastAsia="Calibri" w:hAnsi="Calibri"/>
          <w:b w:val="1"/>
          <w:bCs w:val="1"/>
          <w:u w:val="single"/>
          <w:shd w:fill="ffe1e1" w:val="clear"/>
          <w:rtl w:val="0"/>
        </w:rPr>
        <w:t xml:space="preserve">Histologie et physiologie pancréatique </w:t>
      </w:r>
    </w:p>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rtl w:val="0"/>
        </w:rPr>
        <w:t xml:space="preserve">Le pancréas constitue un organe complexe dans lequel les composantes exocrine et endocrine sont étroitement intriquées, assurant des fonctions essentielles dans la digestion et la régulation du métabolisme.</w:t>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Le parenchyme pancréatique est organisé en lobules délimités par des cloisons fibreuses. Chaque lobule est constitué majoritairement d’acini et de canaux excréteurs, tandis que les îlots de Langerhans sont disséminés au sein de ce tissu.</w:t>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Les acini sont formés de cellules acineuses, des cellules épithéliales polarisées dont le pôle basal renferme le noyau ainsi qu’un réticulum endoplasmique rugueux particulièrement développé. Au centre des acini se trouvent des cellules centro-acineuses, des cellules souches multipotentes capables de se différencier en cellules acineuses, canalaires et endocrines.</w:t>
      </w:r>
    </w:p>
    <w:p w:rsidR="00000000" w:rsidDel="00000000" w:rsidP="00000000" w:rsidRDefault="00000000" w:rsidRPr="00000000" w14:paraId="00000019">
      <w:pPr>
        <w:rPr>
          <w:rFonts w:ascii="Calibri" w:cs="Calibri" w:eastAsia="Calibri" w:hAnsi="Calibri"/>
        </w:rPr>
      </w:pPr>
      <w:r w:rsidDel="00000000" w:rsidR="00000000" w:rsidRPr="00000000">
        <w:rPr>
          <w:rtl w:val="0"/>
        </w:rPr>
      </w:r>
    </w:p>
    <w:p w:rsidR="00000000" w:rsidDel="00000000" w:rsidP="00000000" w:rsidRDefault="00000000" w:rsidRPr="00000000" w14:paraId="0000001A">
      <w:pPr>
        <w:rPr>
          <w:rFonts w:ascii="Calibri" w:cs="Calibri" w:eastAsia="Calibri" w:hAnsi="Calibri"/>
          <w:shd w:fill="ffe1e1" w:val="clear"/>
        </w:rPr>
      </w:pPr>
      <w:r w:rsidDel="00000000" w:rsidR="00000000" w:rsidRPr="00000000">
        <w:rPr>
          <w:rFonts w:ascii="Calibri" w:cs="Calibri" w:eastAsia="Calibri" w:hAnsi="Calibri"/>
          <w:rtl w:val="0"/>
        </w:rPr>
        <w:t xml:space="preserve">Les sécrétions enzymatiques produites par les acini s'évacuent via un réseau de canaux excréteurs hiérarchisé, comprenant successivement les canaux intralobulaires, interlobulaires puis les canaux collecteurs. </w:t>
      </w:r>
      <w:r w:rsidDel="00000000" w:rsidR="00000000" w:rsidRPr="00000000">
        <w:rPr>
          <w:rtl w:val="0"/>
        </w:rPr>
      </w:r>
    </w:p>
    <w:p w:rsidR="00000000" w:rsidDel="00000000" w:rsidP="00000000" w:rsidRDefault="00000000" w:rsidRPr="00000000" w14:paraId="0000001B">
      <w:pPr>
        <w:spacing w:after="240" w:before="240" w:lineRule="auto"/>
        <w:ind w:left="720" w:firstLine="0"/>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Fonction exocrine</w:t>
      </w:r>
    </w:p>
    <w:p w:rsidR="00000000" w:rsidDel="00000000" w:rsidP="00000000" w:rsidRDefault="00000000" w:rsidRPr="00000000" w14:paraId="0000001C">
      <w:pPr>
        <w:spacing w:after="240" w:before="240" w:lineRule="auto"/>
        <w:ind w:left="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pancréas exocrine s’organise en unités fonctionnelles spécialisées appelées acini. Chaque acinus est formé principalement de </w:t>
      </w:r>
      <w:r w:rsidDel="00000000" w:rsidR="00000000" w:rsidRPr="00000000">
        <w:rPr>
          <w:rFonts w:ascii="Calibri" w:cs="Calibri" w:eastAsia="Calibri" w:hAnsi="Calibri"/>
          <w:b w:val="1"/>
          <w:bCs w:val="1"/>
          <w:highlight w:val="white"/>
          <w:rtl w:val="0"/>
        </w:rPr>
        <w:t xml:space="preserve">cellules acineuses polarisées</w:t>
      </w:r>
      <w:r w:rsidDel="00000000" w:rsidR="00000000" w:rsidRPr="00000000">
        <w:rPr>
          <w:rFonts w:ascii="Calibri" w:cs="Calibri" w:eastAsia="Calibri" w:hAnsi="Calibri"/>
          <w:highlight w:val="white"/>
          <w:rtl w:val="0"/>
        </w:rPr>
        <w:t xml:space="preserve">, à activité sécrétoire élevée, associées à des </w:t>
      </w:r>
      <w:r w:rsidDel="00000000" w:rsidR="00000000" w:rsidRPr="00000000">
        <w:rPr>
          <w:rFonts w:ascii="Calibri" w:cs="Calibri" w:eastAsia="Calibri" w:hAnsi="Calibri"/>
          <w:b w:val="1"/>
          <w:bCs w:val="1"/>
          <w:highlight w:val="white"/>
          <w:rtl w:val="0"/>
        </w:rPr>
        <w:t xml:space="preserve">cellules centro-acineuses</w:t>
      </w:r>
      <w:r w:rsidDel="00000000" w:rsidR="00000000" w:rsidRPr="00000000">
        <w:rPr>
          <w:rFonts w:ascii="Calibri" w:cs="Calibri" w:eastAsia="Calibri" w:hAnsi="Calibri"/>
          <w:highlight w:val="white"/>
          <w:rtl w:val="0"/>
        </w:rPr>
        <w:t xml:space="preserve">, prolongées par un réseau de cellules canalaires. L’ensemble est soutenu par un stroma conjonctif contenant notamment des </w:t>
      </w:r>
      <w:r w:rsidDel="00000000" w:rsidR="00000000" w:rsidRPr="00000000">
        <w:rPr>
          <w:rFonts w:ascii="Calibri" w:cs="Calibri" w:eastAsia="Calibri" w:hAnsi="Calibri"/>
          <w:b w:val="1"/>
          <w:bCs w:val="1"/>
          <w:highlight w:val="white"/>
          <w:rtl w:val="0"/>
        </w:rPr>
        <w:t xml:space="preserve">cellules stellaires pancréatiques</w:t>
      </w:r>
      <w:r w:rsidDel="00000000" w:rsidR="00000000" w:rsidRPr="00000000">
        <w:rPr>
          <w:rFonts w:ascii="Calibri" w:cs="Calibri" w:eastAsia="Calibri" w:hAnsi="Calibri"/>
          <w:highlight w:val="white"/>
          <w:rtl w:val="0"/>
        </w:rPr>
        <w:t xml:space="preserve">, impliquées dans les processus de remodelage tissulaire et de fibrogenèse.</w:t>
      </w:r>
    </w:p>
    <w:p w:rsidR="00000000" w:rsidDel="00000000" w:rsidP="00000000" w:rsidRDefault="00000000" w:rsidRPr="00000000" w14:paraId="0000001D">
      <w:pPr>
        <w:spacing w:after="240" w:before="240" w:lineRule="auto"/>
        <w:ind w:left="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pancréas exocrine assure la production et la sécrétion de 0,4 à 4 litres par jour de suc pancréatique, un liquide clair, légèrement visqueux et de PH alcalin, nécessaire à la digestion et à l’absorption des nutriments.</w:t>
      </w:r>
    </w:p>
    <w:p w:rsidR="00000000" w:rsidDel="00000000" w:rsidP="00000000" w:rsidRDefault="00000000" w:rsidRPr="00000000" w14:paraId="0000001E">
      <w:pPr>
        <w:spacing w:after="240" w:before="240" w:lineRule="auto"/>
        <w:ind w:left="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 suc pancréatique résulte d’une double sécrétion : </w:t>
      </w:r>
    </w:p>
    <w:p w:rsidR="00000000" w:rsidDel="00000000" w:rsidP="00000000" w:rsidRDefault="00000000" w:rsidRPr="00000000" w14:paraId="0000001F">
      <w:pPr>
        <w:numPr>
          <w:ilvl w:val="0"/>
          <w:numId w:val="17"/>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Une sécrétion acineuse contenant des amylotiques (amylase), protéolytique (endopeptidase, exopeptidases) et lipolytiques (lipase, phospholipase, carboxylestérase) produites sous la forme d’un précurseur inactif (zymogènes) activés secondairement dans la lumière intestinale. </w:t>
      </w:r>
    </w:p>
    <w:p w:rsidR="00000000" w:rsidDel="00000000" w:rsidP="00000000" w:rsidRDefault="00000000" w:rsidRPr="00000000" w14:paraId="00000020">
      <w:pPr>
        <w:numPr>
          <w:ilvl w:val="0"/>
          <w:numId w:val="17"/>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Une sécrétion canalaire constituée d’eau et d’ions bicarbonates qui participent à neutraliser l’acidité gastrique.</w:t>
      </w:r>
    </w:p>
    <w:p w:rsidR="00000000" w:rsidDel="00000000" w:rsidP="00000000" w:rsidRDefault="00000000" w:rsidRPr="00000000" w14:paraId="00000021">
      <w:pPr>
        <w:rPr>
          <w:rFonts w:ascii="Calibri" w:cs="Calibri" w:eastAsia="Calibri" w:hAnsi="Calibri"/>
          <w:b w:val="1"/>
          <w:bCs w:val="1"/>
        </w:rPr>
      </w:pPr>
      <w:r w:rsidDel="00000000" w:rsidR="00000000" w:rsidRPr="00000000">
        <w:rPr>
          <w:rFonts w:ascii="Calibri" w:cs="Calibri" w:eastAsia="Calibri" w:hAnsi="Calibri"/>
          <w:b w:val="1"/>
          <w:bCs w:val="1"/>
          <w:shd w:fill="ffe1e1" w:val="clear"/>
          <w:rtl w:val="0"/>
        </w:rPr>
        <w:t xml:space="preserve">Fonction endocrine : </w:t>
      </w: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Les cellules endocrines du pancréas constituent 2% du volume glandulaire total et sont regroupées en unités fonctionnelles appelées ilots de Langerhans. </w:t>
      </w:r>
    </w:p>
    <w:p w:rsidR="00000000" w:rsidDel="00000000" w:rsidP="00000000" w:rsidRDefault="00000000" w:rsidRPr="00000000" w14:paraId="00000023">
      <w:pPr>
        <w:rPr>
          <w:rFonts w:ascii="Calibri" w:cs="Calibri" w:eastAsia="Calibri" w:hAnsi="Calibri"/>
        </w:rPr>
      </w:pPr>
      <w:r w:rsidDel="00000000" w:rsidR="00000000" w:rsidRPr="00000000">
        <w:rPr>
          <w:rFonts w:ascii="Calibri" w:cs="Calibri" w:eastAsia="Calibri" w:hAnsi="Calibri"/>
          <w:rtl w:val="0"/>
        </w:rPr>
        <w:t xml:space="preserve">Ces îlots comportent 4 types de cellules :</w:t>
      </w:r>
    </w:p>
    <w:p w:rsidR="00000000" w:rsidDel="00000000" w:rsidP="00000000" w:rsidRDefault="00000000" w:rsidRPr="00000000" w14:paraId="00000024">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les cellules alpha : sécrétion de glucagon, hormone hyperglycémiante.</w:t>
      </w:r>
    </w:p>
    <w:p w:rsidR="00000000" w:rsidDel="00000000" w:rsidP="00000000" w:rsidRDefault="00000000" w:rsidRPr="00000000" w14:paraId="00000025">
      <w:pPr>
        <w:numPr>
          <w:ilvl w:val="0"/>
          <w:numId w:val="22"/>
        </w:numPr>
        <w:ind w:left="720" w:hanging="360"/>
        <w:rPr>
          <w:rFonts w:ascii="Calibri" w:cs="Calibri" w:eastAsia="Calibri" w:hAnsi="Calibri"/>
        </w:rPr>
      </w:pPr>
      <w:r w:rsidDel="00000000" w:rsidR="00000000" w:rsidRPr="00000000">
        <w:rPr>
          <w:rFonts w:ascii="Calibri" w:cs="Calibri" w:eastAsia="Calibri" w:hAnsi="Calibri"/>
          <w:rtl w:val="0"/>
        </w:rPr>
        <w:t xml:space="preserve"> les cellules bêta : sécrétion de l’insuline, du nerve growth factor ou VGF impliqué dans la régulation de la balance énergétique, de l’oxérine (qui régule de façon autocrine la sécrétion d’insuline), de la leptine, de la ghréline et de l’obestatine (impliquées dans la régulation de l’appétit).</w:t>
      </w:r>
    </w:p>
    <w:p w:rsidR="00000000" w:rsidDel="00000000" w:rsidP="00000000" w:rsidRDefault="00000000" w:rsidRPr="00000000" w14:paraId="00000026">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 les cellules delta (sécrétion de somatostatine)</w:t>
      </w:r>
    </w:p>
    <w:p w:rsidR="00000000" w:rsidDel="00000000" w:rsidP="00000000" w:rsidRDefault="00000000" w:rsidRPr="00000000" w14:paraId="00000027">
      <w:pPr>
        <w:numPr>
          <w:ilvl w:val="0"/>
          <w:numId w:val="3"/>
        </w:numPr>
        <w:ind w:left="720" w:hanging="360"/>
        <w:rPr>
          <w:rFonts w:ascii="Calibri" w:cs="Calibri" w:eastAsia="Calibri" w:hAnsi="Calibri"/>
        </w:rPr>
      </w:pPr>
      <w:r w:rsidDel="00000000" w:rsidR="00000000" w:rsidRPr="00000000">
        <w:rPr>
          <w:rFonts w:ascii="Calibri" w:cs="Calibri" w:eastAsia="Calibri" w:hAnsi="Calibri"/>
          <w:rtl w:val="0"/>
        </w:rPr>
        <w:t xml:space="preserve">les cellules PP (sécrétion du popypeptide pancréatique qui module la sécrétion gastrique acide et inhibe la sécrétion exocrine, la contraction vésiculaire, la motilité gastro-intestinale).</w:t>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rPr>
          <w:rFonts w:ascii="Calibri" w:cs="Calibri" w:eastAsia="Calibri" w:hAnsi="Calibri"/>
          <w:b w:val="1"/>
          <w:bCs w:val="1"/>
          <w:shd w:fill="ffe1e1" w:val="clear"/>
        </w:rPr>
      </w:pPr>
      <w:r w:rsidDel="00000000" w:rsidR="00000000" w:rsidRPr="00000000">
        <w:rPr>
          <w:rtl w:val="0"/>
        </w:rPr>
      </w:r>
    </w:p>
    <w:p w:rsidR="00000000" w:rsidDel="00000000" w:rsidP="00000000" w:rsidRDefault="00000000" w:rsidRPr="00000000" w14:paraId="0000002C">
      <w:pPr>
        <w:spacing w:after="240" w:before="240" w:lineRule="auto"/>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ADÉNOCARCINOME DU PANCRÉAS (PDAC) : </w:t>
      </w:r>
    </w:p>
    <w:p w:rsidR="00000000" w:rsidDel="00000000" w:rsidP="00000000" w:rsidRDefault="00000000" w:rsidRPr="00000000" w14:paraId="0000002D">
      <w:pPr>
        <w:spacing w:after="240" w:befor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L’adénocarcinome canalaire du pancréas (PDAC pour Pancreatic Ductal Adenocarcinoma) représente la forme histologique prédominante (90 à 95%) des cancers primitifs du pancréas.</w:t>
      </w:r>
    </w:p>
    <w:p w:rsidR="00000000" w:rsidDel="00000000" w:rsidP="00000000" w:rsidRDefault="00000000" w:rsidRPr="00000000" w14:paraId="0000002E">
      <w:pPr>
        <w:spacing w:after="240" w:befor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autres sous-types sont les carcinomes acineux, le cystadénome et le cystadénome séreux, le cystadénome et le cystadénocarcinome mucineux et enfin le pancréatoblastome.</w:t>
      </w:r>
    </w:p>
    <w:p w:rsidR="00000000" w:rsidDel="00000000" w:rsidP="00000000" w:rsidRDefault="00000000" w:rsidRPr="00000000" w14:paraId="0000002F">
      <w:pPr>
        <w:spacing w:after="240" w:befor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Dans cette thèse, nous nous intéresserons exclusivement au PDAC.</w:t>
      </w:r>
    </w:p>
    <w:p w:rsidR="00000000" w:rsidDel="00000000" w:rsidP="00000000" w:rsidRDefault="00000000" w:rsidRPr="00000000" w14:paraId="00000030">
      <w:pPr>
        <w:numPr>
          <w:ilvl w:val="0"/>
          <w:numId w:val="14"/>
        </w:numPr>
        <w:spacing w:after="0" w:afterAutospacing="0" w:before="240" w:lineRule="auto"/>
        <w:ind w:left="720" w:hanging="360"/>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Epidémiologie : </w:t>
      </w:r>
    </w:p>
    <w:p w:rsidR="00000000" w:rsidDel="00000000" w:rsidP="00000000" w:rsidRDefault="00000000" w:rsidRPr="00000000" w14:paraId="00000031">
      <w:pPr>
        <w:numPr>
          <w:ilvl w:val="0"/>
          <w:numId w:val="10"/>
        </w:numPr>
        <w:spacing w:after="240" w:before="0" w:beforeAutospacing="0" w:lineRule="auto"/>
        <w:ind w:left="720" w:hanging="360"/>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 Incidence et prévalence </w:t>
      </w:r>
      <w:r w:rsidDel="00000000" w:rsidR="00000000" w:rsidRPr="00000000">
        <w:rPr>
          <w:rtl w:val="0"/>
        </w:rPr>
      </w:r>
    </w:p>
    <w:p w:rsidR="00000000" w:rsidDel="00000000" w:rsidP="00000000" w:rsidRDefault="00000000" w:rsidRPr="00000000" w14:paraId="00000032">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cancer du pancréas, représenté dans plus de 90 % des cas par l’adénocarcinome canalaire pancréatique (PDAC), constitue un enjeu majeur de santé publique à l’échelle mondiale, et plus particulièrement en Europe et en France.</w:t>
      </w:r>
    </w:p>
    <w:p w:rsidR="00000000" w:rsidDel="00000000" w:rsidP="00000000" w:rsidRDefault="00000000" w:rsidRPr="00000000" w14:paraId="00000033">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Selon les données du </w:t>
      </w:r>
      <w:r w:rsidDel="00000000" w:rsidR="00000000" w:rsidRPr="00000000">
        <w:rPr>
          <w:rFonts w:ascii="Calibri" w:cs="Calibri" w:eastAsia="Calibri" w:hAnsi="Calibri"/>
          <w:i w:val="1"/>
          <w:iCs w:val="1"/>
          <w:highlight w:val="white"/>
          <w:rtl w:val="0"/>
        </w:rPr>
        <w:t xml:space="preserve">Global Burden of Disease</w:t>
      </w:r>
      <w:r w:rsidDel="00000000" w:rsidR="00000000" w:rsidRPr="00000000">
        <w:rPr>
          <w:rFonts w:ascii="Calibri" w:cs="Calibri" w:eastAsia="Calibri" w:hAnsi="Calibri"/>
          <w:highlight w:val="white"/>
          <w:rtl w:val="0"/>
        </w:rPr>
        <w:t xml:space="preserve"> (GBD), il se classe au 14ᵉ rang des cancers les plus fréquents, mais au 4ᵉ rang en termes de mortalité par cancer, derrière les cancers du poumon, colorectal et du sein, illustrant ainsi sa létalité particulièrement élevée. </w:t>
      </w:r>
    </w:p>
    <w:p w:rsidR="00000000" w:rsidDel="00000000" w:rsidP="00000000" w:rsidRDefault="00000000" w:rsidRPr="00000000" w14:paraId="00000034">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Aux états-unis, il pourrait devenir la deuxième cause de mortalité par cancer à l’horizon 2030.</w:t>
      </w:r>
    </w:p>
    <w:p w:rsidR="00000000" w:rsidDel="00000000" w:rsidP="00000000" w:rsidRDefault="00000000" w:rsidRPr="00000000" w14:paraId="00000035">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médiane de survie globale, tous stades confondus, est estimée à environ 4 mois, avec une survie à 5 ans proche de 10 %. Ce pronostic défavorable s’explique à la fois par l’agressivité biologique des tumeurs pancréatiques et par leur caractère longtemps asymptomatique, conduisant à un diagnostic tardif ; plus de 50 % des patients sont ainsi diagnostiqués à un stade métastatique.</w:t>
      </w:r>
    </w:p>
    <w:p w:rsidR="00000000" w:rsidDel="00000000" w:rsidP="00000000" w:rsidRDefault="00000000" w:rsidRPr="00000000" w14:paraId="00000036">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À l’échelle mondiale, l’incidence du cancer du pancréas est en augmentation croissante et reste légèrement plus élevée chez les hommes que chez les femmes (respectivement environ 5,5 versus 4 cas pour 100 000 habitants). Il  pourrait devenir la deuxième cause de mortalité par cancer à l’horizon 2030.</w:t>
      </w:r>
    </w:p>
    <w:p w:rsidR="00000000" w:rsidDel="00000000" w:rsidP="00000000" w:rsidRDefault="00000000" w:rsidRPr="00000000" w14:paraId="00000037">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L’incidence du cancer du pancréas est en augmentation constante. Selon les données du GBD, le nombre de nouveaux cas est passé d’environ 59 000 en 1990 à 109 000 en 2019, avec une projection atteignant près de 147 000 cas en 2039. Parallèlement, le nombre de décès est passé de 60 000 à 109 000 sur la même période, et pourrait atteindre 155 000 décès en 2039. Les projections du GLOBOCAN (IARC) confirment cette tendance, avec une augmentation attendue de l’incidence mondiale d’environ 77 % entre 2018 et 2040, et de 25 à 30 % en Europe. Cette évolution s’explique en grande partie par le vieillissement de la population, mais également par l’augmentation de l’exposition à certains facteurs de risque liés au mode de vie, tels que le tabagisme, l’obésité ou le diabète.</w:t>
      </w:r>
    </w:p>
    <w:p w:rsidR="00000000" w:rsidDel="00000000" w:rsidP="00000000" w:rsidRDefault="00000000" w:rsidRPr="00000000" w14:paraId="00000038">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À l’échelle européenne, l’incidence et la mortalité liées au cancer du pancréas suivent également une tendance croissante. L’Europe de l’Ouest présente les niveaux d’incidence les plus élevés, avec des taux standardisés souvent supérieurs à 7 à 10 pour 100 000 habitants.</w:t>
      </w:r>
    </w:p>
    <w:p w:rsidR="00000000" w:rsidDel="00000000" w:rsidP="00000000" w:rsidRDefault="00000000" w:rsidRPr="00000000" w14:paraId="00000039">
      <w:pPr>
        <w:widowControl w:val="0"/>
        <w:spacing w:after="240" w:before="240" w:line="240" w:lineRule="auto"/>
        <w:ind w:left="0" w:right="60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France, le cancer du pancréas représente un problème majeur de santé publique. Il se situe au 9ᵉ rang des cancers en termes d’incidence et représente environ 3 % des nouveaux cas de cancers diagnostiqués chaque année. Le nombre annuel de nouveaux cas est passé d’environ 6 000 au début des années 1990 à plus de 14 000 en 2018. Cette augmentation s’accompagne d’une hausse significative des taux d’incidence standardisés, avec une variation annuelle moyenne estimée à +2,7 % chez les hommes et +3,8 % chez les femmes sur la période 1990–2018.</w:t>
      </w:r>
    </w:p>
    <w:p w:rsidR="00000000" w:rsidDel="00000000" w:rsidP="00000000" w:rsidRDefault="00000000" w:rsidRPr="00000000" w14:paraId="0000003A">
      <w:pPr>
        <w:widowControl w:val="0"/>
        <w:spacing w:after="240" w:before="240" w:line="240" w:lineRule="auto"/>
        <w:ind w:left="0" w:right="600" w:firstLine="0"/>
        <w:rPr>
          <w:rFonts w:ascii="Calibri" w:cs="Calibri" w:eastAsia="Calibri" w:hAnsi="Calibri"/>
          <w:shd w:fill="ffe1e1" w:val="clear"/>
        </w:rPr>
      </w:pPr>
      <w:r w:rsidDel="00000000" w:rsidR="00000000" w:rsidRPr="00000000">
        <w:rPr>
          <w:rFonts w:ascii="Calibri" w:cs="Calibri" w:eastAsia="Calibri" w:hAnsi="Calibri"/>
          <w:highlight w:val="white"/>
          <w:rtl w:val="0"/>
        </w:rPr>
        <w:t xml:space="preserve">Bien que le PDAC soit classiquement une pathologie du sujet âgé, avec une médiane d’âge au diagnostic comprise entre 65 et 70 ans, des données récentes suggèrent une augmentation de l’incidence chez les sujets plus jeunes (early-onset PDAC).</w:t>
      </w:r>
      <w:r w:rsidDel="00000000" w:rsidR="00000000" w:rsidRPr="00000000">
        <w:rPr>
          <w:rtl w:val="0"/>
        </w:rPr>
      </w:r>
    </w:p>
    <w:p w:rsidR="00000000" w:rsidDel="00000000" w:rsidP="00000000" w:rsidRDefault="00000000" w:rsidRPr="00000000" w14:paraId="0000003B">
      <w:pPr>
        <w:spacing w:after="240" w:before="240" w:lineRule="auto"/>
        <w:ind w:left="0" w:firstLine="0"/>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Facteurs de risque </w:t>
      </w:r>
    </w:p>
    <w:p w:rsidR="00000000" w:rsidDel="00000000" w:rsidP="00000000" w:rsidRDefault="00000000" w:rsidRPr="00000000" w14:paraId="0000003C">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Plusieurs facteurs de risque du cancer du pancréas ont été identifiés. Ils peuvent être regroupés en différentes catégories : les facteurs modifiables liés au mode de vie, les comorbidités favorisant la survenue de la maladie, ainsi que les facteurs héréditaires ou génétiques.</w:t>
      </w:r>
    </w:p>
    <w:p w:rsidR="00000000" w:rsidDel="00000000" w:rsidP="00000000" w:rsidRDefault="00000000" w:rsidRPr="00000000" w14:paraId="0000003D">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qk8nbl2zs8xh" w:id="0"/>
      <w:bookmarkEnd w:id="0"/>
      <w:r w:rsidDel="00000000" w:rsidR="00000000" w:rsidRPr="00000000">
        <w:rPr>
          <w:rFonts w:ascii="Calibri" w:cs="Calibri" w:eastAsia="Calibri" w:hAnsi="Calibri"/>
          <w:b w:val="1"/>
          <w:bCs w:val="1"/>
          <w:color w:val="000000"/>
          <w:sz w:val="22"/>
          <w:szCs w:val="22"/>
          <w:highlight w:val="white"/>
          <w:rtl w:val="0"/>
        </w:rPr>
        <w:t xml:space="preserve">Les facteurs modifiables liés au mode de vie</w:t>
      </w:r>
    </w:p>
    <w:p w:rsidR="00000000" w:rsidDel="00000000" w:rsidP="00000000" w:rsidRDefault="00000000" w:rsidRPr="00000000" w14:paraId="0000003E">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tabagisme constitue le principal facteur de risque environnemental associé au cancer du pancréas, avec un risque relatif (RR) de 1,8 (IC 95 % : 1,7–1,9) par rapport aux non-fumeurs. Environ 21 % des décès liés au PDAC lui sont attribuables. Ce risque augmente avec la durée et l’intensité de l’exposition tabagique. À l’inverse, l’arrêt du tabac permet de réduire ce risque, avec un RR estimé à 1,2 chez les anciens fumeurs.</w:t>
      </w:r>
    </w:p>
    <w:p w:rsidR="00000000" w:rsidDel="00000000" w:rsidP="00000000" w:rsidRDefault="00000000" w:rsidRPr="00000000" w14:paraId="0000003F">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 ailleurs, les régimes alimentaires riches en viandes transformées, en graisses saturées et en boissons riches en fructose sont également associés à une augmentation du risque.</w:t>
      </w:r>
    </w:p>
    <w:p w:rsidR="00000000" w:rsidDel="00000000" w:rsidP="00000000" w:rsidRDefault="00000000" w:rsidRPr="00000000" w14:paraId="00000040">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d4sfeecgqpc4" w:id="1"/>
      <w:bookmarkEnd w:id="1"/>
      <w:r w:rsidDel="00000000" w:rsidR="00000000" w:rsidRPr="00000000">
        <w:rPr>
          <w:rFonts w:ascii="Calibri" w:cs="Calibri" w:eastAsia="Calibri" w:hAnsi="Calibri"/>
          <w:b w:val="1"/>
          <w:bCs w:val="1"/>
          <w:color w:val="000000"/>
          <w:sz w:val="22"/>
          <w:szCs w:val="22"/>
          <w:highlight w:val="white"/>
          <w:rtl w:val="0"/>
        </w:rPr>
        <w:t xml:space="preserve">Les comorbidités favorisant la survenue de la maladie</w:t>
      </w:r>
    </w:p>
    <w:p w:rsidR="00000000" w:rsidDel="00000000" w:rsidP="00000000" w:rsidRDefault="00000000" w:rsidRPr="00000000" w14:paraId="00000041">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pancréatite chronique (hors formes génétiques) est associée à une augmentation majeure du risque relatif de cancer du pancréas (SIR &gt;20), bien que le risque absolu reste modéré (≈1,8 % à 10 ans), en raison de la faible incidence globale de la maladie.</w:t>
      </w:r>
    </w:p>
    <w:p w:rsidR="00000000" w:rsidDel="00000000" w:rsidP="00000000" w:rsidRDefault="00000000" w:rsidRPr="00000000" w14:paraId="00000042">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L’obésité est associée à une augmentation modérée du risque de cancer du pancréas, avec un risque relatif estimé autour de 1,5 chez les sujets présentant un IMC élevé, particulièrement en cas d’adiposité viscérale. Cette association s’expliquerait notamment par des mécanismes d’inflammation chronique de bas grade et d’insulinorésistance, qui pourraient, selon certains auteurs, favoriser la carcinogenèse pancréatique.</w:t>
      </w:r>
    </w:p>
    <w:p w:rsidR="00000000" w:rsidDel="00000000" w:rsidP="00000000" w:rsidRDefault="00000000" w:rsidRPr="00000000" w14:paraId="00000043">
      <w:pPr>
        <w:pStyle w:val="Heading3"/>
        <w:keepNext w:val="0"/>
        <w:keepLines w:val="0"/>
        <w:widowControl w:val="0"/>
        <w:spacing w:after="240" w:before="240" w:line="240" w:lineRule="auto"/>
        <w:rPr>
          <w:rFonts w:ascii="Calibri" w:cs="Calibri" w:eastAsia="Calibri" w:hAnsi="Calibri"/>
          <w:color w:val="000000"/>
          <w:sz w:val="22"/>
          <w:szCs w:val="22"/>
          <w:highlight w:val="white"/>
        </w:rPr>
      </w:pPr>
      <w:bookmarkStart w:colFirst="0" w:colLast="0" w:name="_c7cyg6qc2kx2" w:id="2"/>
      <w:bookmarkEnd w:id="2"/>
      <w:r w:rsidDel="00000000" w:rsidR="00000000" w:rsidRPr="00000000">
        <w:rPr>
          <w:rFonts w:ascii="Calibri" w:cs="Calibri" w:eastAsia="Calibri" w:hAnsi="Calibri"/>
          <w:color w:val="000000"/>
          <w:sz w:val="22"/>
          <w:szCs w:val="22"/>
          <w:highlight w:val="white"/>
          <w:rtl w:val="0"/>
        </w:rPr>
        <w:t xml:space="preserve">Le diabète sucré ancien est associé à une augmentation modérée du risque de cancer du pancréas (RR ≈ 1,4–1,6). En revanche, un diabète de survenue récente (≤3–4 ans) est associé à un risque nettement plus élevé (RR pouvant atteindre 5 à 8), suggérant qu’il constitue le plus souvent une manifestation précoce de la maladie plutôt qu’un facteur de risque causal. Globalement, 5 à 8 % des cas de cancer du pancréas seraient attribuables au diabète.</w:t>
      </w:r>
    </w:p>
    <w:p w:rsidR="00000000" w:rsidDel="00000000" w:rsidP="00000000" w:rsidRDefault="00000000" w:rsidRPr="00000000" w14:paraId="00000044">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c3rpd9yi881z" w:id="3"/>
      <w:bookmarkEnd w:id="3"/>
      <w:r w:rsidDel="00000000" w:rsidR="00000000" w:rsidRPr="00000000">
        <w:rPr>
          <w:rFonts w:ascii="Calibri" w:cs="Calibri" w:eastAsia="Calibri" w:hAnsi="Calibri"/>
          <w:b w:val="1"/>
          <w:bCs w:val="1"/>
          <w:color w:val="000000"/>
          <w:sz w:val="22"/>
          <w:szCs w:val="22"/>
          <w:highlight w:val="white"/>
          <w:rtl w:val="0"/>
        </w:rPr>
        <w:t xml:space="preserve">Les facteurs héréditaires ou génétiques</w:t>
      </w:r>
    </w:p>
    <w:p w:rsidR="00000000" w:rsidDel="00000000" w:rsidP="00000000" w:rsidRDefault="00000000" w:rsidRPr="00000000" w14:paraId="00000045">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Une prédisposition génétique est impliquée dans une proportion non négligeable des cancers du pancréas. On estime qu’environ 4 à 10 % des patients présentent une mutation germinale pathogène identifiée, le plus souvent au sein de gènes impliqués dans la réparation de l’ADN. Par ailleurs, une agrégation familiale est retrouvée dans près de 20 à 30 % des cas, suggérant l’existence de facteurs génétiques ou environnementaux partagés encore imparfaitement caractérisés.</w:t>
      </w:r>
    </w:p>
    <w:p w:rsidR="00000000" w:rsidDel="00000000" w:rsidP="00000000" w:rsidRDefault="00000000" w:rsidRPr="00000000" w14:paraId="00000046">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principales altérations génétiques concernent notamment les mutations des gènes BRCA1, BRCA2 et PALB2, ainsi que celles associées à des syndromes de prédisposition tumorale tels que le syndrome de Peutz-Jeghers (gène STK11), le syndrome de Lynch (MLH1, MSH2, MSH6, PMS2), le syndrome FAMMM (familial atypical multiple mole melanoma, lié notamment à CDKN2A), le syndrome d’ataxie-télangiectasie (ATM) et les formes de pancréatite chronique héréditaire (PRSS1, SPINK1).</w:t>
      </w:r>
    </w:p>
    <w:p w:rsidR="00000000" w:rsidDel="00000000" w:rsidP="00000000" w:rsidRDefault="00000000" w:rsidRPr="00000000" w14:paraId="00000047">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D’autres facteurs de risque ont été décrits dans la littérature, avec un niveau de preuve plus hétérogène, incluant notamment les groupes sanguins non O (en particulier A et B), l’infection à </w:t>
      </w:r>
      <w:r w:rsidDel="00000000" w:rsidR="00000000" w:rsidRPr="00000000">
        <w:rPr>
          <w:rFonts w:ascii="Calibri" w:cs="Calibri" w:eastAsia="Calibri" w:hAnsi="Calibri"/>
          <w:i w:val="1"/>
          <w:iCs w:val="1"/>
          <w:highlight w:val="white"/>
          <w:rtl w:val="0"/>
        </w:rPr>
        <w:t xml:space="preserve">Helicobacter pylori</w:t>
      </w:r>
      <w:r w:rsidDel="00000000" w:rsidR="00000000" w:rsidRPr="00000000">
        <w:rPr>
          <w:rFonts w:ascii="Calibri" w:cs="Calibri" w:eastAsia="Calibri" w:hAnsi="Calibri"/>
          <w:highlight w:val="white"/>
          <w:rtl w:val="0"/>
        </w:rPr>
        <w:t xml:space="preserve">, l’origine afro-américaine ou encore l’exposition à certains pesticides.</w:t>
      </w:r>
    </w:p>
    <w:p w:rsidR="00000000" w:rsidDel="00000000" w:rsidP="00000000" w:rsidRDefault="00000000" w:rsidRPr="00000000" w14:paraId="00000048">
      <w:pPr>
        <w:widowControl w:val="0"/>
        <w:spacing w:after="240" w:before="240" w:line="240" w:lineRule="auto"/>
        <w:rPr>
          <w:rFonts w:ascii="Calibri" w:cs="Calibri" w:eastAsia="Calibri" w:hAnsi="Calibri"/>
          <w:shd w:fill="ffe1e1" w:val="clear"/>
        </w:rPr>
      </w:pPr>
      <w:r w:rsidDel="00000000" w:rsidR="00000000" w:rsidRPr="00000000">
        <w:rPr>
          <w:rFonts w:ascii="Calibri" w:cs="Calibri" w:eastAsia="Calibri" w:hAnsi="Calibri"/>
          <w:highlight w:val="white"/>
          <w:rtl w:val="0"/>
        </w:rPr>
        <w:t xml:space="preserve">Néanmoins, la majorité des cancers du pancréas reste d’origine sporadique, sans facteur de risque identifié, ce qui souligne la complexité de la carcinogenèse pancréatique et l’existence probable de déterminants encore mal élucidés.</w:t>
      </w:r>
      <w:r w:rsidDel="00000000" w:rsidR="00000000" w:rsidRPr="00000000">
        <w:rPr>
          <w:rtl w:val="0"/>
        </w:rPr>
      </w:r>
    </w:p>
    <w:p w:rsidR="00000000" w:rsidDel="00000000" w:rsidP="00000000" w:rsidRDefault="00000000" w:rsidRPr="00000000" w14:paraId="00000049">
      <w:pPr>
        <w:numPr>
          <w:ilvl w:val="0"/>
          <w:numId w:val="14"/>
        </w:numPr>
        <w:spacing w:after="240" w:before="24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Carcinogenèse : </w:t>
      </w:r>
    </w:p>
    <w:p w:rsidR="00000000" w:rsidDel="00000000" w:rsidP="00000000" w:rsidRDefault="00000000" w:rsidRPr="00000000" w14:paraId="0000004A">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lésions précancéreuses du pancréas correspondent à des anomalies intraépithéliales des canaux pancréatiques, susceptibles d’évoluer progressivement vers un carcinome invasif. Leur évolution s’inscrit dans un processus séquentiel de carcinogenèse, similaire à celui décrit dans le cancer colorectal, caractérisé par une progression à travers différents stades de dysplasie (bas grade puis haut grade), suivie d’un stade de carcinome in situ, avant l’apparition d’un carcinome infiltrant.</w:t>
      </w:r>
    </w:p>
    <w:p w:rsidR="00000000" w:rsidDel="00000000" w:rsidP="00000000" w:rsidRDefault="00000000" w:rsidRPr="00000000" w14:paraId="0000004B">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Trois principaux types de lésions précancéreuses ont été décrites : les néoplasies intraépithéliales pancréatiques (PanIN), les tumeurs intracanalaire papillaires et mucineuses du pancréas (TIPMP) et les cystadénomes mucineux (MCN).</w:t>
      </w:r>
    </w:p>
    <w:p w:rsidR="00000000" w:rsidDel="00000000" w:rsidP="00000000" w:rsidRDefault="00000000" w:rsidRPr="00000000" w14:paraId="0000004C">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62mufz7f9oax" w:id="4"/>
      <w:bookmarkEnd w:id="4"/>
      <w:r w:rsidDel="00000000" w:rsidR="00000000" w:rsidRPr="00000000">
        <w:rPr>
          <w:rFonts w:ascii="Calibri" w:cs="Calibri" w:eastAsia="Calibri" w:hAnsi="Calibri"/>
          <w:b w:val="1"/>
          <w:bCs w:val="1"/>
          <w:color w:val="000000"/>
          <w:sz w:val="22"/>
          <w:szCs w:val="22"/>
          <w:highlight w:val="white"/>
          <w:rtl w:val="0"/>
        </w:rPr>
        <w:t xml:space="preserve">1. Néoplasie intraépithéliale pancréatique (PanIN)</w:t>
      </w:r>
    </w:p>
    <w:p w:rsidR="00000000" w:rsidDel="00000000" w:rsidP="00000000" w:rsidRDefault="00000000" w:rsidRPr="00000000" w14:paraId="0000004D">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PanIN constituent la lésion précurseur la plus fréquente, à l’origine d’environ 85 à 95 % des adénocarcinomes canalaires pancréatiques. Il s’agit de lésions microscopiques (&lt; 5 mm), non détectables par les techniques d’imageries conventionnelles, développées au niveau des petits canaux pancréatiques.</w:t>
      </w:r>
    </w:p>
    <w:p w:rsidR="00000000" w:rsidDel="00000000" w:rsidP="00000000" w:rsidRDefault="00000000" w:rsidRPr="00000000" w14:paraId="0000004E">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lésions de PanIN sont actuellement classées selon un système de gradation en deux niveaux (bas grade et haut grade), conformément au consensus de Baltimore (2015) adopté par la classification OMS (5e édition, 2019), remplaçant l’ancien système en trois grades (PanIN-1, PanIN-2, PanIN-3), encore largement utilisé dans la littérature.</w:t>
      </w:r>
    </w:p>
    <w:p w:rsidR="00000000" w:rsidDel="00000000" w:rsidP="00000000" w:rsidRDefault="00000000" w:rsidRPr="00000000" w14:paraId="0000004F">
      <w:pPr>
        <w:widowControl w:val="0"/>
        <w:numPr>
          <w:ilvl w:val="0"/>
          <w:numId w:val="15"/>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PanIN de bas grade</w:t>
      </w:r>
      <w:r w:rsidDel="00000000" w:rsidR="00000000" w:rsidRPr="00000000">
        <w:rPr>
          <w:rFonts w:ascii="Calibri" w:cs="Calibri" w:eastAsia="Calibri" w:hAnsi="Calibri"/>
          <w:highlight w:val="white"/>
          <w:rtl w:val="0"/>
        </w:rPr>
        <w:t xml:space="preserve"> : correspondant aux anciennes PanIN-1 et PanIN-2, caractérisées par un faible potentiel évolutif.</w:t>
      </w:r>
    </w:p>
    <w:p w:rsidR="00000000" w:rsidDel="00000000" w:rsidP="00000000" w:rsidRDefault="00000000" w:rsidRPr="00000000" w14:paraId="00000050">
      <w:pPr>
        <w:widowControl w:val="0"/>
        <w:numPr>
          <w:ilvl w:val="0"/>
          <w:numId w:val="15"/>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PanIN de haut grade</w:t>
      </w:r>
      <w:r w:rsidDel="00000000" w:rsidR="00000000" w:rsidRPr="00000000">
        <w:rPr>
          <w:rFonts w:ascii="Calibri" w:cs="Calibri" w:eastAsia="Calibri" w:hAnsi="Calibri"/>
          <w:highlight w:val="white"/>
          <w:rtl w:val="0"/>
        </w:rPr>
        <w:t xml:space="preserve"> : correspondant aux anciennes PanIN-3 (carcinome in situ), constituant le principal précurseur direct du cancer invasif et classé Tis dans la classification TNM (AJCC 8e édition).</w:t>
      </w:r>
    </w:p>
    <w:p w:rsidR="00000000" w:rsidDel="00000000" w:rsidP="00000000" w:rsidRDefault="00000000" w:rsidRPr="00000000" w14:paraId="00000051">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Sur le plan épidémiologique, les PanIN de bas grade sont fréquentes dans la population générale, notamment chez les sujets âgés. Une étude autopsique portant sur 173 pancréas indemnes de cancer (âge moyen : 80,5 ans) retrouvait des PanIN-1 dans 77 % des cas, des PanIN-2 dans 28 % et des PanIN-3 dans seulement 4 %, ces dernières étant associées à un âge avancé et au diabète.</w:t>
      </w:r>
    </w:p>
    <w:p w:rsidR="00000000" w:rsidDel="00000000" w:rsidP="00000000" w:rsidRDefault="00000000" w:rsidRPr="00000000" w14:paraId="00000052">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5nael08wivzp" w:id="5"/>
      <w:bookmarkEnd w:id="5"/>
      <w:r w:rsidDel="00000000" w:rsidR="00000000" w:rsidRPr="00000000">
        <w:rPr>
          <w:rFonts w:ascii="Calibri" w:cs="Calibri" w:eastAsia="Calibri" w:hAnsi="Calibri"/>
          <w:b w:val="1"/>
          <w:bCs w:val="1"/>
          <w:color w:val="000000"/>
          <w:sz w:val="22"/>
          <w:szCs w:val="22"/>
          <w:highlight w:val="white"/>
          <w:rtl w:val="0"/>
        </w:rPr>
        <w:t xml:space="preserve">2. Tumeurs intracanalaire papillaires et mucineuses du pancréas (TIPMP)</w:t>
      </w:r>
    </w:p>
    <w:p w:rsidR="00000000" w:rsidDel="00000000" w:rsidP="00000000" w:rsidRDefault="00000000" w:rsidRPr="00000000" w14:paraId="00000053">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TIPMP sont des lésions kystiques mucineuses macroscopiques développées à partir de l’épithélium des canaux pancréatiques. Elles sont caractérisées par une production excessive de mucus et, à la différence des cystadénomes mucineux, par une communication avec le système canalaire pancréatique.</w:t>
      </w:r>
    </w:p>
    <w:p w:rsidR="00000000" w:rsidDel="00000000" w:rsidP="00000000" w:rsidRDefault="00000000" w:rsidRPr="00000000" w14:paraId="00000054">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Elles sont classées selon leur localisation :</w:t>
      </w:r>
    </w:p>
    <w:p w:rsidR="00000000" w:rsidDel="00000000" w:rsidP="00000000" w:rsidRDefault="00000000" w:rsidRPr="00000000" w14:paraId="00000055">
      <w:pPr>
        <w:widowControl w:val="0"/>
        <w:numPr>
          <w:ilvl w:val="0"/>
          <w:numId w:val="7"/>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TIPMP du canal principal</w:t>
      </w:r>
      <w:r w:rsidDel="00000000" w:rsidR="00000000" w:rsidRPr="00000000">
        <w:rPr>
          <w:rFonts w:ascii="Calibri" w:cs="Calibri" w:eastAsia="Calibri" w:hAnsi="Calibri"/>
          <w:highlight w:val="white"/>
          <w:rtl w:val="0"/>
        </w:rPr>
        <w:t xml:space="preserve"> : associées au risque le plus élevé de transformation maligne, avec une prévalence de dysplasie de haut grade ou de cancer invasif de 40 à 70 % dans les séries chirurgicales.</w:t>
      </w:r>
    </w:p>
    <w:p w:rsidR="00000000" w:rsidDel="00000000" w:rsidP="00000000" w:rsidRDefault="00000000" w:rsidRPr="00000000" w14:paraId="00000056">
      <w:pPr>
        <w:widowControl w:val="0"/>
        <w:numPr>
          <w:ilvl w:val="0"/>
          <w:numId w:val="7"/>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TIPMP des canaux secondaires</w:t>
      </w:r>
      <w:r w:rsidDel="00000000" w:rsidR="00000000" w:rsidRPr="00000000">
        <w:rPr>
          <w:rFonts w:ascii="Calibri" w:cs="Calibri" w:eastAsia="Calibri" w:hAnsi="Calibri"/>
          <w:highlight w:val="white"/>
          <w:rtl w:val="0"/>
        </w:rPr>
        <w:t xml:space="preserve"> : présentant un risque plus faible, avec un taux de transformation maligne estimé entre 3 et 15 % à 5 ans et environ 15 à 25 % à 10–15 ans.</w:t>
      </w:r>
    </w:p>
    <w:p w:rsidR="00000000" w:rsidDel="00000000" w:rsidP="00000000" w:rsidRDefault="00000000" w:rsidRPr="00000000" w14:paraId="00000057">
      <w:pPr>
        <w:widowControl w:val="0"/>
        <w:numPr>
          <w:ilvl w:val="0"/>
          <w:numId w:val="7"/>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TIPMP mixtes</w:t>
      </w:r>
      <w:r w:rsidDel="00000000" w:rsidR="00000000" w:rsidRPr="00000000">
        <w:rPr>
          <w:rFonts w:ascii="Calibri" w:cs="Calibri" w:eastAsia="Calibri" w:hAnsi="Calibri"/>
          <w:highlight w:val="white"/>
          <w:rtl w:val="0"/>
        </w:rPr>
        <w:t xml:space="preserve"> : associant atteinte du canal principal et des canaux secondaires, avec un risque intermédiaire à élevé. </w:t>
      </w:r>
    </w:p>
    <w:p w:rsidR="00000000" w:rsidDel="00000000" w:rsidP="00000000" w:rsidRDefault="00000000" w:rsidRPr="00000000" w14:paraId="00000058">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Sur le plan histologique, les TIPMP sont classées en quatre sous-types principaux, associés à des profils évolutifs distincts :</w:t>
      </w:r>
    </w:p>
    <w:p w:rsidR="00000000" w:rsidDel="00000000" w:rsidP="00000000" w:rsidRDefault="00000000" w:rsidRPr="00000000" w14:paraId="00000059">
      <w:pPr>
        <w:widowControl w:val="0"/>
        <w:numPr>
          <w:ilvl w:val="0"/>
          <w:numId w:val="5"/>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Phénotype gastrique</w:t>
      </w:r>
      <w:r w:rsidDel="00000000" w:rsidR="00000000" w:rsidRPr="00000000">
        <w:rPr>
          <w:rFonts w:ascii="Calibri" w:cs="Calibri" w:eastAsia="Calibri" w:hAnsi="Calibri"/>
          <w:highlight w:val="white"/>
          <w:rtl w:val="0"/>
        </w:rPr>
        <w:t xml:space="preserve"> (le plus fréquent, environ 60–70 %) : généralement associé aux TIPMP des canaux secondaires, avec un faible potentiel évolutif et une progression préférentielle vers un adénocarcinome tubulaire.</w:t>
      </w:r>
    </w:p>
    <w:p w:rsidR="00000000" w:rsidDel="00000000" w:rsidP="00000000" w:rsidRDefault="00000000" w:rsidRPr="00000000" w14:paraId="0000005A">
      <w:pPr>
        <w:widowControl w:val="0"/>
        <w:numPr>
          <w:ilvl w:val="0"/>
          <w:numId w:val="5"/>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Phénotype intestinal</w:t>
      </w:r>
      <w:r w:rsidDel="00000000" w:rsidR="00000000" w:rsidRPr="00000000">
        <w:rPr>
          <w:rFonts w:ascii="Calibri" w:cs="Calibri" w:eastAsia="Calibri" w:hAnsi="Calibri"/>
          <w:highlight w:val="white"/>
          <w:rtl w:val="0"/>
        </w:rPr>
        <w:t xml:space="preserve"> : plus souvent associé aux TIPMP du canal principal, avec un risque élevé d’évolution vers un carcinome colloïde.</w:t>
      </w:r>
    </w:p>
    <w:p w:rsidR="00000000" w:rsidDel="00000000" w:rsidP="00000000" w:rsidRDefault="00000000" w:rsidRPr="00000000" w14:paraId="0000005B">
      <w:pPr>
        <w:widowControl w:val="0"/>
        <w:numPr>
          <w:ilvl w:val="0"/>
          <w:numId w:val="5"/>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Phénotype pancréatobiliaire</w:t>
      </w:r>
      <w:r w:rsidDel="00000000" w:rsidR="00000000" w:rsidRPr="00000000">
        <w:rPr>
          <w:rFonts w:ascii="Calibri" w:cs="Calibri" w:eastAsia="Calibri" w:hAnsi="Calibri"/>
          <w:highlight w:val="white"/>
          <w:rtl w:val="0"/>
        </w:rPr>
        <w:t xml:space="preserve"> : associé à un pronostic plus défavorable et à une évolution fréquente vers un adénocarcinome tubulaire.</w:t>
      </w:r>
    </w:p>
    <w:p w:rsidR="00000000" w:rsidDel="00000000" w:rsidP="00000000" w:rsidRDefault="00000000" w:rsidRPr="00000000" w14:paraId="0000005C">
      <w:pPr>
        <w:widowControl w:val="0"/>
        <w:numPr>
          <w:ilvl w:val="0"/>
          <w:numId w:val="5"/>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Phénotype oncocytaire</w:t>
      </w:r>
      <w:r w:rsidDel="00000000" w:rsidR="00000000" w:rsidRPr="00000000">
        <w:rPr>
          <w:rFonts w:ascii="Calibri" w:cs="Calibri" w:eastAsia="Calibri" w:hAnsi="Calibri"/>
          <w:highlight w:val="white"/>
          <w:rtl w:val="0"/>
        </w:rPr>
        <w:t xml:space="preserve"> : plus rare, avec des caractéristiques distinctes et un comportement généralement moins agressif.</w:t>
      </w:r>
    </w:p>
    <w:p w:rsidR="00000000" w:rsidDel="00000000" w:rsidP="00000000" w:rsidRDefault="00000000" w:rsidRPr="00000000" w14:paraId="0000005D">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données génomiques suggèrent un délai moyen supérieur à 3 ans entre l’apparition d’une dysplasie de haut grade et le développement d’un cancer invasif, offrant une fenêtre d’opportunité pour le diagnostic précoce et la surveillance.</w:t>
      </w:r>
    </w:p>
    <w:p w:rsidR="00000000" w:rsidDel="00000000" w:rsidP="00000000" w:rsidRDefault="00000000" w:rsidRPr="00000000" w14:paraId="0000005E">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conséquence, les lésions de TIPMP justifient une surveillance prolongée qui repose sur une stratification du risque, intégrant la présence ou non de critères morphologiques et cliniques évocateurs de malignité. </w:t>
      </w:r>
    </w:p>
    <w:p w:rsidR="00000000" w:rsidDel="00000000" w:rsidP="00000000" w:rsidRDefault="00000000" w:rsidRPr="00000000" w14:paraId="0000005F">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Elle est ainsi adaptée au profil de risque de chaque patient, avec un suivi plus rapproché en cas de facteurs de risque et des intervalles plus espacés pour les lésions à faible risque. Cette approche individualisée vise à permettre un diagnostic précoce des formes évolutives tout en limitant les indications chirurgicales inutiles.</w:t>
      </w:r>
    </w:p>
    <w:p w:rsidR="00000000" w:rsidDel="00000000" w:rsidP="00000000" w:rsidRDefault="00000000" w:rsidRPr="00000000" w14:paraId="00000060">
      <w:pPr>
        <w:widowControl w:val="0"/>
        <w:spacing w:after="240" w:before="240" w:line="24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3. Cystadénome mucineux (MCN)</w:t>
      </w:r>
    </w:p>
    <w:p w:rsidR="00000000" w:rsidDel="00000000" w:rsidP="00000000" w:rsidRDefault="00000000" w:rsidRPr="00000000" w14:paraId="00000061">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cystadénomes mucineux sont des lésions kystiques à paroi épaisse, le plus souvent uniloculaires, caractérisées par la présence d’un stroma sous-épithélial de type ovarien, pathognomonique. Ils surviennent quasi exclusivement chez la femme et prédominent au niveau du pancréas distal.</w:t>
      </w:r>
    </w:p>
    <w:p w:rsidR="00000000" w:rsidDel="00000000" w:rsidP="00000000" w:rsidRDefault="00000000" w:rsidRPr="00000000" w14:paraId="00000062">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Contrairement aux TIPMP, ils ne communiquent pas avec le système canalaire pancréatique. Leur potentiel de transformation maligne est estimé entre 10 et 20 % dans les séries chirurgicales, avec un risque croissant en fonction de la taille tumorale et de la présence de nodules muraux.</w:t>
      </w:r>
    </w:p>
    <w:p w:rsidR="00000000" w:rsidDel="00000000" w:rsidP="00000000" w:rsidRDefault="00000000" w:rsidRPr="00000000" w14:paraId="00000063">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ty8p1dn14sc6" w:id="6"/>
      <w:bookmarkEnd w:id="6"/>
      <w:r w:rsidDel="00000000" w:rsidR="00000000" w:rsidRPr="00000000">
        <w:rPr>
          <w:rFonts w:ascii="Calibri" w:cs="Calibri" w:eastAsia="Calibri" w:hAnsi="Calibri"/>
          <w:b w:val="1"/>
          <w:bCs w:val="1"/>
          <w:color w:val="000000"/>
          <w:sz w:val="22"/>
          <w:szCs w:val="22"/>
          <w:highlight w:val="white"/>
          <w:rtl w:val="0"/>
        </w:rPr>
        <w:t xml:space="preserve">Lésions et étapes précoces émergentes</w:t>
      </w:r>
    </w:p>
    <w:p w:rsidR="00000000" w:rsidDel="00000000" w:rsidP="00000000" w:rsidRDefault="00000000" w:rsidRPr="00000000" w14:paraId="00000064">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Des travaux récents ont mis en évidence le rôle de certaines altérations précoces dans la carcinogenèse pancréatique, notamment la métaplasie acino-canalaire (ADM). Celle-ci correspond à une transdifférenciation des cellules acineuses en cellules de type canalaire, généralement induite par des phénomènes inflammatoires, et pourrait constituer une étape initiale précédant la formation des lésions de type PanIN. Toutefois, l’ADM est actuellement considérée comme un processus adaptatif potentiellement réversible, plutôt qu’une véritable lésion précancéreuse définie.</w:t>
      </w:r>
    </w:p>
    <w:p w:rsidR="00000000" w:rsidDel="00000000" w:rsidP="00000000" w:rsidRDefault="00000000" w:rsidRPr="00000000" w14:paraId="00000065">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D’autres entités, telles que les lésions planes atypiques (AFL), ont été décrites plus récemment, avec des altérations moléculaires suggérant un rôle possible dans les phases précoces de la carcinogenèse. Néanmoins, leur place reste débattue et elles ne font pas partie des lésions précurseurs reconnues en pratique clinique.</w:t>
      </w:r>
    </w:p>
    <w:p w:rsidR="00000000" w:rsidDel="00000000" w:rsidP="00000000" w:rsidRDefault="00000000" w:rsidRPr="00000000" w14:paraId="00000066">
      <w:pPr>
        <w:spacing w:after="240" w:before="240" w:lineRule="auto"/>
        <w:ind w:left="0" w:firstLine="0"/>
        <w:rPr>
          <w:rFonts w:ascii="Calibri" w:cs="Calibri" w:eastAsia="Calibri" w:hAnsi="Calibri"/>
          <w:shd w:fill="ffe1e1" w:val="clear"/>
        </w:rPr>
      </w:pPr>
      <w:r w:rsidDel="00000000" w:rsidR="00000000" w:rsidRPr="00000000">
        <w:rPr>
          <w:rtl w:val="0"/>
        </w:rPr>
      </w:r>
    </w:p>
    <w:p w:rsidR="00000000" w:rsidDel="00000000" w:rsidP="00000000" w:rsidRDefault="00000000" w:rsidRPr="00000000" w14:paraId="00000067">
      <w:pPr>
        <w:numPr>
          <w:ilvl w:val="0"/>
          <w:numId w:val="14"/>
        </w:numPr>
        <w:spacing w:after="240" w:before="240" w:lineRule="auto"/>
        <w:ind w:left="720" w:hanging="360"/>
        <w:rPr>
          <w:rFonts w:ascii="Calibri" w:cs="Calibri" w:eastAsia="Calibri" w:hAnsi="Calibri"/>
          <w:b w:val="1"/>
          <w:bCs w:val="1"/>
          <w:shd w:fill="ffe1e1" w:val="clear"/>
        </w:rPr>
      </w:pPr>
      <w:r w:rsidDel="00000000" w:rsidR="00000000" w:rsidRPr="00000000">
        <w:rPr>
          <w:rFonts w:ascii="Calibri" w:cs="Calibri" w:eastAsia="Calibri" w:hAnsi="Calibri"/>
          <w:b w:val="1"/>
          <w:bCs w:val="1"/>
          <w:shd w:fill="ffe1e1" w:val="clear"/>
          <w:rtl w:val="0"/>
        </w:rPr>
        <w:t xml:space="preserve">Caractérisation anatomopathologique : </w:t>
      </w:r>
    </w:p>
    <w:p w:rsidR="00000000" w:rsidDel="00000000" w:rsidP="00000000" w:rsidRDefault="00000000" w:rsidRPr="00000000" w14:paraId="00000068">
      <w:pPr>
        <w:spacing w:after="240" w:before="240" w:lineRule="auto"/>
        <w:ind w:left="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Sous-types histologiques : </w:t>
      </w:r>
    </w:p>
    <w:p w:rsidR="00000000" w:rsidDel="00000000" w:rsidP="00000000" w:rsidRDefault="00000000" w:rsidRPr="00000000" w14:paraId="00000069">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Selon la classification de l’OMS, l’adénocarcinome canalaire pancréatique (PDAC) comprend une forme conventionnelle (≈96 % des cas) et plusieurs variants histologiques plus rares, aux caractéristiques morphologiques, moléculaires et pronostiques distinctes.</w:t>
      </w:r>
    </w:p>
    <w:p w:rsidR="00000000" w:rsidDel="00000000" w:rsidP="00000000" w:rsidRDefault="00000000" w:rsidRPr="00000000" w14:paraId="0000006A">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fvr461n0lb6w" w:id="7"/>
      <w:bookmarkEnd w:id="7"/>
      <w:r w:rsidDel="00000000" w:rsidR="00000000" w:rsidRPr="00000000">
        <w:rPr>
          <w:rFonts w:ascii="Calibri" w:cs="Calibri" w:eastAsia="Calibri" w:hAnsi="Calibri"/>
          <w:b w:val="1"/>
          <w:bCs w:val="1"/>
          <w:color w:val="000000"/>
          <w:sz w:val="22"/>
          <w:szCs w:val="22"/>
          <w:highlight w:val="white"/>
          <w:rtl w:val="0"/>
        </w:rPr>
        <w:t xml:space="preserve">1. Adénocarcinome canalaire pancréatique conventionnel (cPDAC)</w:t>
      </w:r>
    </w:p>
    <w:p w:rsidR="00000000" w:rsidDel="00000000" w:rsidP="00000000" w:rsidRDefault="00000000" w:rsidRPr="00000000" w14:paraId="0000006B">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Sous-type le plus fréquent, caractérisé par une architecture désorganisée, des atypies cellulaires marquées et une réaction desmoplasique importante. </w:t>
        <w:br w:type="textWrapping"/>
        <w:t xml:space="preserve">Ce sous-type présente un index mitotique élevé, reflétant une forte activité proliférative et participant à expliquer son pronostic défavorable.</w:t>
      </w:r>
    </w:p>
    <w:p w:rsidR="00000000" w:rsidDel="00000000" w:rsidP="00000000" w:rsidRDefault="00000000" w:rsidRPr="00000000" w14:paraId="0000006C">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tumeurs peuvent être bien, moyennement ou peu différenciées et sont fréquemment associées à une infiltration périnerveuse.</w:t>
      </w:r>
    </w:p>
    <w:p w:rsidR="00000000" w:rsidDel="00000000" w:rsidP="00000000" w:rsidRDefault="00000000" w:rsidRPr="00000000" w14:paraId="0000006D">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Certains cPDAC produisent de la mucine, ce qui peut avoir des implications pronostiques.</w:t>
      </w:r>
    </w:p>
    <w:p w:rsidR="00000000" w:rsidDel="00000000" w:rsidP="00000000" w:rsidRDefault="00000000" w:rsidRPr="00000000" w14:paraId="0000006E">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nd3kz3ltkx06" w:id="8"/>
      <w:bookmarkEnd w:id="8"/>
      <w:r w:rsidDel="00000000" w:rsidR="00000000" w:rsidRPr="00000000">
        <w:rPr>
          <w:rFonts w:ascii="Calibri" w:cs="Calibri" w:eastAsia="Calibri" w:hAnsi="Calibri"/>
          <w:b w:val="1"/>
          <w:bCs w:val="1"/>
          <w:color w:val="000000"/>
          <w:sz w:val="22"/>
          <w:szCs w:val="22"/>
          <w:highlight w:val="white"/>
          <w:rtl w:val="0"/>
        </w:rPr>
        <w:t xml:space="preserve">2. Carcinome adénosquameux</w:t>
      </w:r>
    </w:p>
    <w:p w:rsidR="00000000" w:rsidDel="00000000" w:rsidP="00000000" w:rsidRDefault="00000000" w:rsidRPr="00000000" w14:paraId="0000006F">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Défini par un contingent épidermoïde &gt;30 %.</w:t>
        <w:br w:type="textWrapping"/>
        <w:t xml:space="preserve"> Variant agressif, associé à une survie médiane courte (≈6 mois). Les schémas à base de platine (type FOLFIRINOX) pourraient être plus efficaces</w:t>
      </w:r>
    </w:p>
    <w:p w:rsidR="00000000" w:rsidDel="00000000" w:rsidP="00000000" w:rsidRDefault="00000000" w:rsidRPr="00000000" w14:paraId="00000070">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ejebxhssxlr9" w:id="9"/>
      <w:bookmarkEnd w:id="9"/>
      <w:r w:rsidDel="00000000" w:rsidR="00000000" w:rsidRPr="00000000">
        <w:rPr>
          <w:rFonts w:ascii="Calibri" w:cs="Calibri" w:eastAsia="Calibri" w:hAnsi="Calibri"/>
          <w:b w:val="1"/>
          <w:bCs w:val="1"/>
          <w:color w:val="000000"/>
          <w:sz w:val="22"/>
          <w:szCs w:val="22"/>
          <w:highlight w:val="white"/>
          <w:rtl w:val="0"/>
        </w:rPr>
        <w:t xml:space="preserve">3. Carcinome mucineux non kystique (colloïde)</w:t>
      </w:r>
    </w:p>
    <w:p w:rsidR="00000000" w:rsidDel="00000000" w:rsidP="00000000" w:rsidRDefault="00000000" w:rsidRPr="00000000" w14:paraId="00000071">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Composé de larges plages de mucine extracellulaire (&gt;80 %), souvent associé aux TIPMP intestinales.</w:t>
        <w:br w:type="textWrapping"/>
        <w:t xml:space="preserve"> Pronostic plus favorable que le cPDAC (survie globale médiane après résection de 24,8 vs 17,3, avec diagnostic plus précoce et moindre envahissement ganglionnaire.</w:t>
      </w:r>
    </w:p>
    <w:p w:rsidR="00000000" w:rsidDel="00000000" w:rsidP="00000000" w:rsidRDefault="00000000" w:rsidRPr="00000000" w14:paraId="00000072">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jijhwkpiy6qc" w:id="10"/>
      <w:bookmarkEnd w:id="10"/>
      <w:r w:rsidDel="00000000" w:rsidR="00000000" w:rsidRPr="00000000">
        <w:rPr>
          <w:rFonts w:ascii="Calibri" w:cs="Calibri" w:eastAsia="Calibri" w:hAnsi="Calibri"/>
          <w:b w:val="1"/>
          <w:bCs w:val="1"/>
          <w:color w:val="000000"/>
          <w:sz w:val="22"/>
          <w:szCs w:val="22"/>
          <w:highlight w:val="white"/>
          <w:rtl w:val="0"/>
        </w:rPr>
        <w:t xml:space="preserve">4. Carcinome indifférencié</w:t>
      </w:r>
    </w:p>
    <w:p w:rsidR="00000000" w:rsidDel="00000000" w:rsidP="00000000" w:rsidRDefault="00000000" w:rsidRPr="00000000" w14:paraId="00000073">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Tumeur très agressive sans différenciation identifiable.</w:t>
        <w:br w:type="textWrapping"/>
        <w:t xml:space="preserve"> Survie très courte, avec altérations moléculaires fréquentes (KRAS, TP53, SMAD4). Des réponses à des protocoles contenant du Paclitaxel ont été rapportées.</w:t>
      </w:r>
    </w:p>
    <w:p w:rsidR="00000000" w:rsidDel="00000000" w:rsidP="00000000" w:rsidRDefault="00000000" w:rsidRPr="00000000" w14:paraId="00000074">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6y386mya50d4" w:id="11"/>
      <w:bookmarkEnd w:id="11"/>
      <w:r w:rsidDel="00000000" w:rsidR="00000000" w:rsidRPr="00000000">
        <w:rPr>
          <w:rFonts w:ascii="Calibri" w:cs="Calibri" w:eastAsia="Calibri" w:hAnsi="Calibri"/>
          <w:b w:val="1"/>
          <w:bCs w:val="1"/>
          <w:color w:val="000000"/>
          <w:sz w:val="22"/>
          <w:szCs w:val="22"/>
          <w:highlight w:val="white"/>
          <w:rtl w:val="0"/>
        </w:rPr>
        <w:t xml:space="preserve">5. Carcinome indifférencié à cellules géantes de type ostéoclastique (≈0,1 %)</w:t>
      </w:r>
    </w:p>
    <w:p w:rsidR="00000000" w:rsidDel="00000000" w:rsidP="00000000" w:rsidRDefault="00000000" w:rsidRPr="00000000" w14:paraId="00000075">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Présence de cellules géantes non tumorales CD68+.</w:t>
        <w:br w:type="textWrapping"/>
        <w:t xml:space="preserve"> Paradoxalement, malgré son caractère indifférencié, il est associé à un meilleur pronostic, avec moindre invasion périnerveuse et ganglionnaire et un survie à 5 ans estimée à 59,1% vs 15,7%. Cela s’explique en partie par une expression fréquent ede PDL-1 et donc une meilleure réponse à l’immunothérapie. </w:t>
      </w:r>
    </w:p>
    <w:p w:rsidR="00000000" w:rsidDel="00000000" w:rsidP="00000000" w:rsidRDefault="00000000" w:rsidRPr="00000000" w14:paraId="00000076">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99yq4rwqoz4m" w:id="12"/>
      <w:bookmarkEnd w:id="12"/>
      <w:r w:rsidDel="00000000" w:rsidR="00000000" w:rsidRPr="00000000">
        <w:rPr>
          <w:rFonts w:ascii="Calibri" w:cs="Calibri" w:eastAsia="Calibri" w:hAnsi="Calibri"/>
          <w:b w:val="1"/>
          <w:bCs w:val="1"/>
          <w:color w:val="000000"/>
          <w:sz w:val="22"/>
          <w:szCs w:val="22"/>
          <w:highlight w:val="white"/>
          <w:rtl w:val="0"/>
        </w:rPr>
        <w:t xml:space="preserve">6. Carcinome à cellules en bague à chaton (≈0,5 %)</w:t>
      </w:r>
    </w:p>
    <w:p w:rsidR="00000000" w:rsidDel="00000000" w:rsidP="00000000" w:rsidRDefault="00000000" w:rsidRPr="00000000" w14:paraId="00000077">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Cellules riches en mucine intracellulaire.</w:t>
        <w:br w:type="textWrapping"/>
        <w:t xml:space="preserve"> Variant agressif, avec tropisme métastatique pulmonaire et pronostic défavorable.</w:t>
      </w:r>
    </w:p>
    <w:p w:rsidR="00000000" w:rsidDel="00000000" w:rsidP="00000000" w:rsidRDefault="00000000" w:rsidRPr="00000000" w14:paraId="00000078">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my9dl6lgpy2k" w:id="13"/>
      <w:bookmarkEnd w:id="13"/>
      <w:r w:rsidDel="00000000" w:rsidR="00000000" w:rsidRPr="00000000">
        <w:rPr>
          <w:rFonts w:ascii="Calibri" w:cs="Calibri" w:eastAsia="Calibri" w:hAnsi="Calibri"/>
          <w:b w:val="1"/>
          <w:bCs w:val="1"/>
          <w:color w:val="000000"/>
          <w:sz w:val="22"/>
          <w:szCs w:val="22"/>
          <w:highlight w:val="white"/>
          <w:rtl w:val="0"/>
        </w:rPr>
        <w:t xml:space="preserve">7. Carcinome médullaire (≈0,006 %)</w:t>
      </w:r>
    </w:p>
    <w:p w:rsidR="00000000" w:rsidDel="00000000" w:rsidP="00000000" w:rsidRDefault="00000000" w:rsidRPr="00000000" w14:paraId="00000079">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Variant extrêmement rare, associé au meilleur pronostic avec une survie médiane d’environ 41 mois et une survie à 5 ans d’environ 33%.</w:t>
      </w:r>
    </w:p>
    <w:p w:rsidR="00000000" w:rsidDel="00000000" w:rsidP="00000000" w:rsidRDefault="00000000" w:rsidRPr="00000000" w14:paraId="0000007A">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Il est fréquemment associé au syndrome de Lynch.</w:t>
      </w:r>
    </w:p>
    <w:p w:rsidR="00000000" w:rsidDel="00000000" w:rsidP="00000000" w:rsidRDefault="00000000" w:rsidRPr="00000000" w14:paraId="0000007B">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44ilnirh1pgy" w:id="14"/>
      <w:bookmarkEnd w:id="14"/>
      <w:r w:rsidDel="00000000" w:rsidR="00000000" w:rsidRPr="00000000">
        <w:rPr>
          <w:rFonts w:ascii="Calibri" w:cs="Calibri" w:eastAsia="Calibri" w:hAnsi="Calibri"/>
          <w:b w:val="1"/>
          <w:bCs w:val="1"/>
          <w:color w:val="000000"/>
          <w:sz w:val="22"/>
          <w:szCs w:val="22"/>
          <w:highlight w:val="white"/>
          <w:rtl w:val="0"/>
        </w:rPr>
        <w:t xml:space="preserve">8. Carcinome hépatoïde (≈0,01 %)</w:t>
      </w:r>
    </w:p>
    <w:p w:rsidR="00000000" w:rsidDel="00000000" w:rsidP="00000000" w:rsidRDefault="00000000" w:rsidRPr="00000000" w14:paraId="0000007C">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Phénotype proche du carcinome hépatocellulaire (AFP, expression de HepPar-1).</w:t>
        <w:br w:type="textWrapping"/>
        <w:t xml:space="preserve"> Associé à des métastases hépatiques précoces et à un mauvais pronostic.</w:t>
      </w:r>
    </w:p>
    <w:p w:rsidR="00000000" w:rsidDel="00000000" w:rsidP="00000000" w:rsidRDefault="00000000" w:rsidRPr="00000000" w14:paraId="0000007D">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mck5ueyao6v" w:id="15"/>
      <w:bookmarkEnd w:id="15"/>
      <w:r w:rsidDel="00000000" w:rsidR="00000000" w:rsidRPr="00000000">
        <w:rPr>
          <w:rFonts w:ascii="Calibri" w:cs="Calibri" w:eastAsia="Calibri" w:hAnsi="Calibri"/>
          <w:b w:val="1"/>
          <w:bCs w:val="1"/>
          <w:color w:val="000000"/>
          <w:sz w:val="22"/>
          <w:szCs w:val="22"/>
          <w:highlight w:val="white"/>
          <w:rtl w:val="0"/>
        </w:rPr>
        <w:t xml:space="preserve">9. Carcinome indifférencié rhabdoïde (≈0,003 %)</w:t>
      </w:r>
    </w:p>
    <w:p w:rsidR="00000000" w:rsidDel="00000000" w:rsidP="00000000" w:rsidRDefault="00000000" w:rsidRPr="00000000" w14:paraId="0000007E">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Variant extrêmement rare et très agressif, avec une survie médiane très courte d’environ 2 mois.</w:t>
      </w:r>
    </w:p>
    <w:p w:rsidR="00000000" w:rsidDel="00000000" w:rsidP="00000000" w:rsidRDefault="00000000" w:rsidRPr="00000000" w14:paraId="0000007F">
      <w:pPr>
        <w:pStyle w:val="Heading3"/>
        <w:keepNext w:val="0"/>
        <w:keepLines w:val="0"/>
        <w:widowControl w:val="0"/>
        <w:spacing w:before="280" w:line="240" w:lineRule="auto"/>
        <w:rPr>
          <w:rFonts w:ascii="Calibri" w:cs="Calibri" w:eastAsia="Calibri" w:hAnsi="Calibri"/>
          <w:b w:val="1"/>
          <w:bCs w:val="1"/>
          <w:color w:val="000000"/>
          <w:sz w:val="22"/>
          <w:szCs w:val="22"/>
          <w:highlight w:val="white"/>
        </w:rPr>
      </w:pPr>
      <w:bookmarkStart w:colFirst="0" w:colLast="0" w:name="_efjdahq07pcr" w:id="16"/>
      <w:bookmarkEnd w:id="16"/>
      <w:r w:rsidDel="00000000" w:rsidR="00000000" w:rsidRPr="00000000">
        <w:rPr>
          <w:rFonts w:ascii="Calibri" w:cs="Calibri" w:eastAsia="Calibri" w:hAnsi="Calibri"/>
          <w:b w:val="1"/>
          <w:bCs w:val="1"/>
          <w:color w:val="000000"/>
          <w:sz w:val="22"/>
          <w:szCs w:val="22"/>
          <w:highlight w:val="white"/>
          <w:rtl w:val="0"/>
        </w:rPr>
        <w:t xml:space="preserve">10. Carcinome métatypique (entité émergente)</w:t>
      </w:r>
    </w:p>
    <w:p w:rsidR="00000000" w:rsidDel="00000000" w:rsidP="00000000" w:rsidRDefault="00000000" w:rsidRPr="00000000" w14:paraId="00000080">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Tumeur peu stromale, hétérogène, à phénotype basal (perte de GATA6).</w:t>
        <w:br w:type="textWrapping"/>
        <w:t xml:space="preserve"> Caractérisée par des altérations fréquentes de CDKN2A et ARID1A.</w:t>
      </w:r>
    </w:p>
    <w:p w:rsidR="00000000" w:rsidDel="00000000" w:rsidP="00000000" w:rsidRDefault="00000000" w:rsidRPr="00000000" w14:paraId="00000081">
      <w:pPr>
        <w:spacing w:after="240" w:before="240" w:lineRule="auto"/>
        <w:ind w:left="0" w:firstLine="0"/>
        <w:rPr>
          <w:rFonts w:ascii="Calibri" w:cs="Calibri" w:eastAsia="Calibri" w:hAnsi="Calibri"/>
          <w:shd w:fill="ffe1e1" w:val="clear"/>
        </w:rPr>
      </w:pPr>
      <w:r w:rsidDel="00000000" w:rsidR="00000000" w:rsidRPr="00000000">
        <w:rPr>
          <w:rtl w:val="0"/>
        </w:rPr>
      </w:r>
    </w:p>
    <w:p w:rsidR="00000000" w:rsidDel="00000000" w:rsidP="00000000" w:rsidRDefault="00000000" w:rsidRPr="00000000" w14:paraId="00000082">
      <w:pPr>
        <w:spacing w:after="240" w:before="240" w:lineRule="auto"/>
        <w:ind w:left="0" w:firstLine="0"/>
        <w:rPr>
          <w:rFonts w:ascii="Calibri" w:cs="Calibri" w:eastAsia="Calibri" w:hAnsi="Calibri"/>
          <w:shd w:fill="ffe1e1" w:val="clear"/>
        </w:rPr>
      </w:pPr>
      <w:r w:rsidDel="00000000" w:rsidR="00000000" w:rsidRPr="00000000">
        <w:rPr>
          <w:rtl w:val="0"/>
        </w:rPr>
      </w:r>
    </w:p>
    <w:tbl>
      <w:tblPr>
        <w:tblStyle w:val="Table1"/>
        <w:tblW w:w="10875.0" w:type="dxa"/>
        <w:jc w:val="left"/>
        <w:tblInd w:w="-8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2085"/>
        <w:gridCol w:w="2085"/>
        <w:gridCol w:w="2010"/>
        <w:gridCol w:w="1785"/>
        <w:tblGridChange w:id="0">
          <w:tblGrid>
            <w:gridCol w:w="2910"/>
            <w:gridCol w:w="2085"/>
            <w:gridCol w:w="2085"/>
            <w:gridCol w:w="2010"/>
            <w:gridCol w:w="1785"/>
          </w:tblGrid>
        </w:tblGridChange>
      </w:tblGrid>
      <w:tr>
        <w:trPr>
          <w:cantSplit w:val="0"/>
          <w:trHeight w:val="888.13476562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3">
            <w:pPr>
              <w:widowControl w:val="0"/>
              <w:jc w:val="center"/>
              <w:rPr>
                <w:sz w:val="20"/>
                <w:szCs w:val="20"/>
              </w:rPr>
            </w:pPr>
            <w:r w:rsidDel="00000000" w:rsidR="00000000" w:rsidRPr="00000000">
              <w:rPr>
                <w:rFonts w:ascii="Roboto" w:cs="Roboto" w:eastAsia="Roboto" w:hAnsi="Roboto"/>
                <w:b w:val="1"/>
                <w:bCs w:val="1"/>
                <w:sz w:val="20"/>
                <w:szCs w:val="20"/>
                <w:rtl w:val="0"/>
              </w:rPr>
              <w:t xml:space="preserve">Sous-type</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4">
            <w:pPr>
              <w:widowControl w:val="0"/>
              <w:jc w:val="center"/>
              <w:rPr>
                <w:sz w:val="20"/>
                <w:szCs w:val="20"/>
              </w:rPr>
            </w:pPr>
            <w:r w:rsidDel="00000000" w:rsidR="00000000" w:rsidRPr="00000000">
              <w:rPr>
                <w:rFonts w:ascii="Roboto" w:cs="Roboto" w:eastAsia="Roboto" w:hAnsi="Roboto"/>
                <w:b w:val="1"/>
                <w:bCs w:val="1"/>
                <w:sz w:val="20"/>
                <w:szCs w:val="20"/>
                <w:rtl w:val="0"/>
              </w:rPr>
              <w:t xml:space="preserve">Caractéristiques histologiques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5">
            <w:pPr>
              <w:widowControl w:val="0"/>
              <w:jc w:val="center"/>
              <w:rPr>
                <w:sz w:val="20"/>
                <w:szCs w:val="20"/>
              </w:rPr>
            </w:pPr>
            <w:r w:rsidDel="00000000" w:rsidR="00000000" w:rsidRPr="00000000">
              <w:rPr>
                <w:rFonts w:ascii="Roboto" w:cs="Roboto" w:eastAsia="Roboto" w:hAnsi="Roboto"/>
                <w:b w:val="1"/>
                <w:bCs w:val="1"/>
                <w:sz w:val="20"/>
                <w:szCs w:val="20"/>
                <w:rtl w:val="0"/>
              </w:rPr>
              <w:t xml:space="preserve">Caractéristiques moléculaires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6">
            <w:pPr>
              <w:widowControl w:val="0"/>
              <w:jc w:val="center"/>
              <w:rPr>
                <w:sz w:val="20"/>
                <w:szCs w:val="20"/>
              </w:rPr>
            </w:pPr>
            <w:r w:rsidDel="00000000" w:rsidR="00000000" w:rsidRPr="00000000">
              <w:rPr>
                <w:rFonts w:ascii="Roboto" w:cs="Roboto" w:eastAsia="Roboto" w:hAnsi="Roboto"/>
                <w:b w:val="1"/>
                <w:bCs w:val="1"/>
                <w:sz w:val="20"/>
                <w:szCs w:val="20"/>
                <w:rtl w:val="0"/>
              </w:rPr>
              <w:t xml:space="preserve">Pronostic</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87">
            <w:pPr>
              <w:widowControl w:val="0"/>
              <w:jc w:val="center"/>
              <w:rPr>
                <w:sz w:val="20"/>
                <w:szCs w:val="20"/>
              </w:rPr>
            </w:pPr>
            <w:r w:rsidDel="00000000" w:rsidR="00000000" w:rsidRPr="00000000">
              <w:rPr>
                <w:rFonts w:ascii="Roboto" w:cs="Roboto" w:eastAsia="Roboto" w:hAnsi="Roboto"/>
                <w:b w:val="1"/>
                <w:bCs w:val="1"/>
                <w:sz w:val="20"/>
                <w:szCs w:val="20"/>
                <w:rtl w:val="0"/>
              </w:rPr>
              <w:t xml:space="preserve">Références</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rPr>
                <w:sz w:val="20"/>
                <w:szCs w:val="20"/>
              </w:rPr>
            </w:pPr>
            <w:r w:rsidDel="00000000" w:rsidR="00000000" w:rsidRPr="00000000">
              <w:rPr>
                <w:rFonts w:ascii="Roboto" w:cs="Roboto" w:eastAsia="Roboto" w:hAnsi="Roboto"/>
                <w:sz w:val="20"/>
                <w:szCs w:val="20"/>
                <w:rtl w:val="0"/>
              </w:rPr>
              <w:t xml:space="preserve">PDAC conventionnel</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rPr>
                <w:sz w:val="20"/>
                <w:szCs w:val="20"/>
              </w:rPr>
            </w:pPr>
            <w:r w:rsidDel="00000000" w:rsidR="00000000" w:rsidRPr="00000000">
              <w:rPr>
                <w:rFonts w:ascii="Roboto" w:cs="Roboto" w:eastAsia="Roboto" w:hAnsi="Roboto"/>
                <w:sz w:val="20"/>
                <w:szCs w:val="20"/>
                <w:rtl w:val="0"/>
              </w:rPr>
              <w:t xml:space="preserve">Structures glandulaires infiltrantes avec stroma desmoplastique abondant</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rPr>
                <w:sz w:val="20"/>
                <w:szCs w:val="20"/>
              </w:rPr>
            </w:pPr>
            <w:r w:rsidDel="00000000" w:rsidR="00000000" w:rsidRPr="00000000">
              <w:rPr>
                <w:rFonts w:ascii="Roboto" w:cs="Roboto" w:eastAsia="Roboto" w:hAnsi="Roboto"/>
                <w:sz w:val="20"/>
                <w:szCs w:val="20"/>
                <w:rtl w:val="0"/>
              </w:rPr>
              <w:t xml:space="preserve">Mutations fréquentes de KRAS, TP53, CDKN2A, SMAD4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rPr>
                <w:sz w:val="20"/>
                <w:szCs w:val="20"/>
              </w:rPr>
            </w:pPr>
            <w:r w:rsidDel="00000000" w:rsidR="00000000" w:rsidRPr="00000000">
              <w:rPr>
                <w:rFonts w:ascii="Roboto" w:cs="Roboto" w:eastAsia="Roboto" w:hAnsi="Roboto"/>
                <w:sz w:val="20"/>
                <w:szCs w:val="20"/>
                <w:rtl w:val="0"/>
              </w:rPr>
              <w:t xml:space="preserve">Pronostic défavorable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widowControl w:val="0"/>
              <w:rPr>
                <w:sz w:val="20"/>
                <w:szCs w:val="20"/>
              </w:rPr>
            </w:pPr>
            <w:r w:rsidDel="00000000" w:rsidR="00000000" w:rsidRPr="00000000">
              <w:rPr>
                <w:rFonts w:ascii="Roboto" w:cs="Roboto" w:eastAsia="Roboto" w:hAnsi="Roboto"/>
                <w:sz w:val="20"/>
                <w:szCs w:val="20"/>
                <w:rtl w:val="0"/>
              </w:rPr>
              <w:t xml:space="preserve">[1–2]</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rPr>
                <w:sz w:val="20"/>
                <w:szCs w:val="20"/>
              </w:rPr>
            </w:pPr>
            <w:r w:rsidDel="00000000" w:rsidR="00000000" w:rsidRPr="00000000">
              <w:rPr>
                <w:rFonts w:ascii="Roboto" w:cs="Roboto" w:eastAsia="Roboto" w:hAnsi="Roboto"/>
                <w:sz w:val="20"/>
                <w:szCs w:val="20"/>
                <w:rtl w:val="0"/>
              </w:rPr>
              <w:t xml:space="preserve">Adénosquameux</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rPr>
                <w:sz w:val="20"/>
                <w:szCs w:val="20"/>
              </w:rPr>
            </w:pPr>
            <w:r w:rsidDel="00000000" w:rsidR="00000000" w:rsidRPr="00000000">
              <w:rPr>
                <w:rFonts w:ascii="Roboto" w:cs="Roboto" w:eastAsia="Roboto" w:hAnsi="Roboto"/>
                <w:sz w:val="20"/>
                <w:szCs w:val="20"/>
                <w:rtl w:val="0"/>
              </w:rPr>
              <w:t xml:space="preserve">Composante mixte glandulaire et malpighienne (&gt;30 %)</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rPr>
                <w:sz w:val="20"/>
                <w:szCs w:val="20"/>
              </w:rPr>
            </w:pPr>
            <w:r w:rsidDel="00000000" w:rsidR="00000000" w:rsidRPr="00000000">
              <w:rPr>
                <w:rFonts w:ascii="Roboto" w:cs="Roboto" w:eastAsia="Roboto" w:hAnsi="Roboto"/>
                <w:sz w:val="20"/>
                <w:szCs w:val="20"/>
                <w:rtl w:val="0"/>
              </w:rPr>
              <w:t xml:space="preserve">Altérations similaires au PDAC avec différenciation squameuse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rPr>
                <w:sz w:val="20"/>
                <w:szCs w:val="20"/>
              </w:rPr>
            </w:pPr>
            <w:r w:rsidDel="00000000" w:rsidR="00000000" w:rsidRPr="00000000">
              <w:rPr>
                <w:rFonts w:ascii="Roboto" w:cs="Roboto" w:eastAsia="Roboto" w:hAnsi="Roboto"/>
                <w:sz w:val="20"/>
                <w:szCs w:val="20"/>
                <w:rtl w:val="0"/>
              </w:rPr>
              <w:t xml:space="preserve">Pronostic plus péjoratif que le PDAC classique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rPr>
                <w:sz w:val="20"/>
                <w:szCs w:val="20"/>
              </w:rPr>
            </w:pPr>
            <w:r w:rsidDel="00000000" w:rsidR="00000000" w:rsidRPr="00000000">
              <w:rPr>
                <w:rFonts w:ascii="Roboto" w:cs="Roboto" w:eastAsia="Roboto" w:hAnsi="Roboto"/>
                <w:sz w:val="20"/>
                <w:szCs w:val="20"/>
                <w:rtl w:val="0"/>
              </w:rPr>
              <w:t xml:space="preserve">[3–5]</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2">
            <w:pPr>
              <w:widowControl w:val="0"/>
              <w:rPr>
                <w:sz w:val="20"/>
                <w:szCs w:val="20"/>
              </w:rPr>
            </w:pPr>
            <w:r w:rsidDel="00000000" w:rsidR="00000000" w:rsidRPr="00000000">
              <w:rPr>
                <w:rFonts w:ascii="Roboto" w:cs="Roboto" w:eastAsia="Roboto" w:hAnsi="Roboto"/>
                <w:sz w:val="20"/>
                <w:szCs w:val="20"/>
                <w:rtl w:val="0"/>
              </w:rPr>
              <w:t xml:space="preserve">Colloïde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3">
            <w:pPr>
              <w:widowControl w:val="0"/>
              <w:rPr>
                <w:sz w:val="20"/>
                <w:szCs w:val="20"/>
              </w:rPr>
            </w:pPr>
            <w:r w:rsidDel="00000000" w:rsidR="00000000" w:rsidRPr="00000000">
              <w:rPr>
                <w:rFonts w:ascii="Roboto" w:cs="Roboto" w:eastAsia="Roboto" w:hAnsi="Roboto"/>
                <w:sz w:val="20"/>
                <w:szCs w:val="20"/>
                <w:rtl w:val="0"/>
              </w:rPr>
              <w:t xml:space="preserve">Lacs de mucine extracellulaire avec cellules tumorales flottantes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4">
            <w:pPr>
              <w:widowControl w:val="0"/>
              <w:rPr>
                <w:sz w:val="20"/>
                <w:szCs w:val="20"/>
              </w:rPr>
            </w:pPr>
            <w:r w:rsidDel="00000000" w:rsidR="00000000" w:rsidRPr="00000000">
              <w:rPr>
                <w:rFonts w:ascii="Roboto" w:cs="Roboto" w:eastAsia="Roboto" w:hAnsi="Roboto"/>
                <w:sz w:val="20"/>
                <w:szCs w:val="20"/>
                <w:rtl w:val="0"/>
              </w:rPr>
              <w:t xml:space="preserve">Souvent associé aux IPMN, mutations GNAS fréquentes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rPr>
                <w:sz w:val="20"/>
                <w:szCs w:val="20"/>
              </w:rPr>
            </w:pPr>
            <w:r w:rsidDel="00000000" w:rsidR="00000000" w:rsidRPr="00000000">
              <w:rPr>
                <w:rFonts w:ascii="Roboto" w:cs="Roboto" w:eastAsia="Roboto" w:hAnsi="Roboto"/>
                <w:sz w:val="20"/>
                <w:szCs w:val="20"/>
                <w:rtl w:val="0"/>
              </w:rPr>
              <w:t xml:space="preserve">Meilleur pronostic relatif</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rPr>
                <w:sz w:val="20"/>
                <w:szCs w:val="20"/>
              </w:rPr>
            </w:pPr>
            <w:r w:rsidDel="00000000" w:rsidR="00000000" w:rsidRPr="00000000">
              <w:rPr>
                <w:rFonts w:ascii="Roboto" w:cs="Roboto" w:eastAsia="Roboto" w:hAnsi="Roboto"/>
                <w:sz w:val="20"/>
                <w:szCs w:val="20"/>
                <w:rtl w:val="0"/>
              </w:rPr>
              <w:t xml:space="preserve">[6–7]</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7">
            <w:pPr>
              <w:widowControl w:val="0"/>
              <w:rPr>
                <w:sz w:val="20"/>
                <w:szCs w:val="20"/>
              </w:rPr>
            </w:pPr>
            <w:r w:rsidDel="00000000" w:rsidR="00000000" w:rsidRPr="00000000">
              <w:rPr>
                <w:rFonts w:ascii="Roboto" w:cs="Roboto" w:eastAsia="Roboto" w:hAnsi="Roboto"/>
                <w:sz w:val="20"/>
                <w:szCs w:val="20"/>
                <w:rtl w:val="0"/>
              </w:rPr>
              <w:t xml:space="preserve">Indifférencié (UC)</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8">
            <w:pPr>
              <w:widowControl w:val="0"/>
              <w:rPr>
                <w:sz w:val="20"/>
                <w:szCs w:val="20"/>
              </w:rPr>
            </w:pPr>
            <w:r w:rsidDel="00000000" w:rsidR="00000000" w:rsidRPr="00000000">
              <w:rPr>
                <w:rFonts w:ascii="Roboto" w:cs="Roboto" w:eastAsia="Roboto" w:hAnsi="Roboto"/>
                <w:sz w:val="20"/>
                <w:szCs w:val="20"/>
                <w:rtl w:val="0"/>
              </w:rPr>
              <w:t xml:space="preserve">Cellules pléomorphes, absence de différenciation glandulaire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9">
            <w:pPr>
              <w:widowControl w:val="0"/>
              <w:rPr>
                <w:sz w:val="20"/>
                <w:szCs w:val="20"/>
              </w:rPr>
            </w:pPr>
            <w:r w:rsidDel="00000000" w:rsidR="00000000" w:rsidRPr="00000000">
              <w:rPr>
                <w:rFonts w:ascii="Roboto" w:cs="Roboto" w:eastAsia="Roboto" w:hAnsi="Roboto"/>
                <w:sz w:val="20"/>
                <w:szCs w:val="20"/>
                <w:rtl w:val="0"/>
              </w:rPr>
              <w:t xml:space="preserve">Altérations fréquentes de TP53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A">
            <w:pPr>
              <w:widowControl w:val="0"/>
              <w:rPr>
                <w:sz w:val="20"/>
                <w:szCs w:val="20"/>
              </w:rPr>
            </w:pPr>
            <w:r w:rsidDel="00000000" w:rsidR="00000000" w:rsidRPr="00000000">
              <w:rPr>
                <w:rFonts w:ascii="Roboto" w:cs="Roboto" w:eastAsia="Roboto" w:hAnsi="Roboto"/>
                <w:sz w:val="20"/>
                <w:szCs w:val="20"/>
                <w:rtl w:val="0"/>
              </w:rPr>
              <w:t xml:space="preserve">Très mauvais pronostic</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B">
            <w:pPr>
              <w:widowControl w:val="0"/>
              <w:rPr>
                <w:sz w:val="20"/>
                <w:szCs w:val="20"/>
              </w:rPr>
            </w:pPr>
            <w:r w:rsidDel="00000000" w:rsidR="00000000" w:rsidRPr="00000000">
              <w:rPr>
                <w:rFonts w:ascii="Roboto" w:cs="Roboto" w:eastAsia="Roboto" w:hAnsi="Roboto"/>
                <w:sz w:val="20"/>
                <w:szCs w:val="20"/>
                <w:rtl w:val="0"/>
              </w:rPr>
              <w:t xml:space="preserve">[8–9]</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rPr>
                <w:sz w:val="20"/>
                <w:szCs w:val="20"/>
              </w:rPr>
            </w:pPr>
            <w:r w:rsidDel="00000000" w:rsidR="00000000" w:rsidRPr="00000000">
              <w:rPr>
                <w:rFonts w:ascii="Roboto" w:cs="Roboto" w:eastAsia="Roboto" w:hAnsi="Roboto"/>
                <w:sz w:val="20"/>
                <w:szCs w:val="20"/>
                <w:rtl w:val="0"/>
              </w:rPr>
              <w:t xml:space="preserve">Indifférencié avec cellules géantes ostéoclastiques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rPr>
                <w:sz w:val="20"/>
                <w:szCs w:val="20"/>
              </w:rPr>
            </w:pPr>
            <w:r w:rsidDel="00000000" w:rsidR="00000000" w:rsidRPr="00000000">
              <w:rPr>
                <w:rFonts w:ascii="Roboto" w:cs="Roboto" w:eastAsia="Roboto" w:hAnsi="Roboto"/>
                <w:sz w:val="20"/>
                <w:szCs w:val="20"/>
                <w:rtl w:val="0"/>
              </w:rPr>
              <w:t xml:space="preserve">Présence de cellules géantes multinucléées de type ostéoclastique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widowControl w:val="0"/>
              <w:rPr>
                <w:sz w:val="20"/>
                <w:szCs w:val="20"/>
              </w:rPr>
            </w:pPr>
            <w:r w:rsidDel="00000000" w:rsidR="00000000" w:rsidRPr="00000000">
              <w:rPr>
                <w:rFonts w:ascii="Roboto" w:cs="Roboto" w:eastAsia="Roboto" w:hAnsi="Roboto"/>
                <w:sz w:val="20"/>
                <w:szCs w:val="20"/>
                <w:rtl w:val="0"/>
              </w:rPr>
              <w:t xml:space="preserve">Profil distinct, parfois associé à KRAS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widowControl w:val="0"/>
              <w:rPr>
                <w:sz w:val="20"/>
                <w:szCs w:val="20"/>
              </w:rPr>
            </w:pPr>
            <w:r w:rsidDel="00000000" w:rsidR="00000000" w:rsidRPr="00000000">
              <w:rPr>
                <w:rFonts w:ascii="Roboto" w:cs="Roboto" w:eastAsia="Roboto" w:hAnsi="Roboto"/>
                <w:sz w:val="20"/>
                <w:szCs w:val="20"/>
                <w:rtl w:val="0"/>
              </w:rPr>
              <w:t xml:space="preserve">Pronostic intermédiaire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widowControl w:val="0"/>
              <w:rPr>
                <w:sz w:val="20"/>
                <w:szCs w:val="20"/>
              </w:rPr>
            </w:pPr>
            <w:r w:rsidDel="00000000" w:rsidR="00000000" w:rsidRPr="00000000">
              <w:rPr>
                <w:rFonts w:ascii="Roboto" w:cs="Roboto" w:eastAsia="Roboto" w:hAnsi="Roboto"/>
                <w:sz w:val="20"/>
                <w:szCs w:val="20"/>
                <w:rtl w:val="0"/>
              </w:rPr>
              <w:t xml:space="preserve">[10–11]</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rPr>
                <w:sz w:val="20"/>
                <w:szCs w:val="20"/>
              </w:rPr>
            </w:pPr>
            <w:r w:rsidDel="00000000" w:rsidR="00000000" w:rsidRPr="00000000">
              <w:rPr>
                <w:rFonts w:ascii="Roboto" w:cs="Roboto" w:eastAsia="Roboto" w:hAnsi="Roboto"/>
                <w:sz w:val="20"/>
                <w:szCs w:val="20"/>
                <w:rtl w:val="0"/>
              </w:rPr>
              <w:t xml:space="preserve">À cellules en bague à chaton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rPr>
                <w:sz w:val="20"/>
                <w:szCs w:val="20"/>
              </w:rPr>
            </w:pPr>
            <w:r w:rsidDel="00000000" w:rsidR="00000000" w:rsidRPr="00000000">
              <w:rPr>
                <w:rFonts w:ascii="Roboto" w:cs="Roboto" w:eastAsia="Roboto" w:hAnsi="Roboto"/>
                <w:sz w:val="20"/>
                <w:szCs w:val="20"/>
                <w:rtl w:val="0"/>
              </w:rPr>
              <w:t xml:space="preserve">Cellules isolées avec vacuole mucineuse refoulant le noyau</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rPr>
                <w:sz w:val="20"/>
                <w:szCs w:val="20"/>
              </w:rPr>
            </w:pPr>
            <w:r w:rsidDel="00000000" w:rsidR="00000000" w:rsidRPr="00000000">
              <w:rPr>
                <w:rFonts w:ascii="Roboto" w:cs="Roboto" w:eastAsia="Roboto" w:hAnsi="Roboto"/>
                <w:sz w:val="20"/>
                <w:szCs w:val="20"/>
                <w:rtl w:val="0"/>
              </w:rPr>
              <w:t xml:space="preserve">Rare, souvent agressif</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rPr>
                <w:sz w:val="20"/>
                <w:szCs w:val="20"/>
              </w:rPr>
            </w:pPr>
            <w:r w:rsidDel="00000000" w:rsidR="00000000" w:rsidRPr="00000000">
              <w:rPr>
                <w:rFonts w:ascii="Roboto" w:cs="Roboto" w:eastAsia="Roboto" w:hAnsi="Roboto"/>
                <w:sz w:val="20"/>
                <w:szCs w:val="20"/>
                <w:rtl w:val="0"/>
              </w:rPr>
              <w:t xml:space="preserve">Pronostic défavorable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rPr>
                <w:sz w:val="20"/>
                <w:szCs w:val="20"/>
              </w:rPr>
            </w:pPr>
            <w:r w:rsidDel="00000000" w:rsidR="00000000" w:rsidRPr="00000000">
              <w:rPr>
                <w:rFonts w:ascii="Roboto" w:cs="Roboto" w:eastAsia="Roboto" w:hAnsi="Roboto"/>
                <w:sz w:val="20"/>
                <w:szCs w:val="20"/>
                <w:rtl w:val="0"/>
              </w:rPr>
              <w:t xml:space="preserve">[2,12]</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6">
            <w:pPr>
              <w:widowControl w:val="0"/>
              <w:rPr>
                <w:sz w:val="20"/>
                <w:szCs w:val="20"/>
              </w:rPr>
            </w:pPr>
            <w:r w:rsidDel="00000000" w:rsidR="00000000" w:rsidRPr="00000000">
              <w:rPr>
                <w:rFonts w:ascii="Roboto" w:cs="Roboto" w:eastAsia="Roboto" w:hAnsi="Roboto"/>
                <w:sz w:val="20"/>
                <w:szCs w:val="20"/>
                <w:rtl w:val="0"/>
              </w:rPr>
              <w:t xml:space="preserve">Médullaire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rPr>
                <w:sz w:val="20"/>
                <w:szCs w:val="20"/>
              </w:rPr>
            </w:pPr>
            <w:r w:rsidDel="00000000" w:rsidR="00000000" w:rsidRPr="00000000">
              <w:rPr>
                <w:rFonts w:ascii="Roboto" w:cs="Roboto" w:eastAsia="Roboto" w:hAnsi="Roboto"/>
                <w:sz w:val="20"/>
                <w:szCs w:val="20"/>
                <w:rtl w:val="0"/>
              </w:rPr>
              <w:t xml:space="preserve">Croissance syncytiale, infiltration lymphocytaire importante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rPr>
                <w:sz w:val="20"/>
                <w:szCs w:val="20"/>
              </w:rPr>
            </w:pPr>
            <w:r w:rsidDel="00000000" w:rsidR="00000000" w:rsidRPr="00000000">
              <w:rPr>
                <w:rFonts w:ascii="Roboto" w:cs="Roboto" w:eastAsia="Roboto" w:hAnsi="Roboto"/>
                <w:sz w:val="20"/>
                <w:szCs w:val="20"/>
                <w:rtl w:val="0"/>
              </w:rPr>
              <w:t xml:space="preserve">Souvent associé à une instabilité microsatellitaire (MSI)</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rPr>
                <w:sz w:val="20"/>
                <w:szCs w:val="20"/>
              </w:rPr>
            </w:pPr>
            <w:r w:rsidDel="00000000" w:rsidR="00000000" w:rsidRPr="00000000">
              <w:rPr>
                <w:rFonts w:ascii="Roboto" w:cs="Roboto" w:eastAsia="Roboto" w:hAnsi="Roboto"/>
                <w:sz w:val="20"/>
                <w:szCs w:val="20"/>
                <w:rtl w:val="0"/>
              </w:rPr>
              <w:t xml:space="preserve">Pronostic plus favorable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rPr>
                <w:sz w:val="20"/>
                <w:szCs w:val="20"/>
              </w:rPr>
            </w:pPr>
            <w:r w:rsidDel="00000000" w:rsidR="00000000" w:rsidRPr="00000000">
              <w:rPr>
                <w:rFonts w:ascii="Roboto" w:cs="Roboto" w:eastAsia="Roboto" w:hAnsi="Roboto"/>
                <w:sz w:val="20"/>
                <w:szCs w:val="20"/>
                <w:rtl w:val="0"/>
              </w:rPr>
              <w:t xml:space="preserve">[2,13]</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B">
            <w:pPr>
              <w:widowControl w:val="0"/>
              <w:rPr>
                <w:sz w:val="20"/>
                <w:szCs w:val="20"/>
              </w:rPr>
            </w:pPr>
            <w:r w:rsidDel="00000000" w:rsidR="00000000" w:rsidRPr="00000000">
              <w:rPr>
                <w:rFonts w:ascii="Roboto" w:cs="Roboto" w:eastAsia="Roboto" w:hAnsi="Roboto"/>
                <w:sz w:val="20"/>
                <w:szCs w:val="20"/>
                <w:rtl w:val="0"/>
              </w:rPr>
              <w:t xml:space="preserve">Hépatoïde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C">
            <w:pPr>
              <w:widowControl w:val="0"/>
              <w:rPr>
                <w:sz w:val="20"/>
                <w:szCs w:val="20"/>
              </w:rPr>
            </w:pPr>
            <w:r w:rsidDel="00000000" w:rsidR="00000000" w:rsidRPr="00000000">
              <w:rPr>
                <w:rFonts w:ascii="Roboto" w:cs="Roboto" w:eastAsia="Roboto" w:hAnsi="Roboto"/>
                <w:sz w:val="20"/>
                <w:szCs w:val="20"/>
                <w:rtl w:val="0"/>
              </w:rPr>
              <w:t xml:space="preserve">Différenciation rappelant le carcinome hépatocellulaire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widowControl w:val="0"/>
              <w:rPr>
                <w:sz w:val="20"/>
                <w:szCs w:val="20"/>
              </w:rPr>
            </w:pPr>
            <w:r w:rsidDel="00000000" w:rsidR="00000000" w:rsidRPr="00000000">
              <w:rPr>
                <w:rFonts w:ascii="Roboto" w:cs="Roboto" w:eastAsia="Roboto" w:hAnsi="Roboto"/>
                <w:sz w:val="20"/>
                <w:szCs w:val="20"/>
                <w:rtl w:val="0"/>
              </w:rPr>
              <w:t xml:space="preserve">Expression possible d’AFP</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widowControl w:val="0"/>
              <w:rPr>
                <w:sz w:val="20"/>
                <w:szCs w:val="20"/>
              </w:rPr>
            </w:pPr>
            <w:r w:rsidDel="00000000" w:rsidR="00000000" w:rsidRPr="00000000">
              <w:rPr>
                <w:rFonts w:ascii="Roboto" w:cs="Roboto" w:eastAsia="Roboto" w:hAnsi="Roboto"/>
                <w:sz w:val="20"/>
                <w:szCs w:val="20"/>
                <w:rtl w:val="0"/>
              </w:rPr>
              <w:t xml:space="preserve">Pronostic variable</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widowControl w:val="0"/>
              <w:rPr>
                <w:sz w:val="20"/>
                <w:szCs w:val="20"/>
              </w:rPr>
            </w:pPr>
            <w:r w:rsidDel="00000000" w:rsidR="00000000" w:rsidRPr="00000000">
              <w:rPr>
                <w:rFonts w:ascii="Roboto" w:cs="Roboto" w:eastAsia="Roboto" w:hAnsi="Roboto"/>
                <w:sz w:val="20"/>
                <w:szCs w:val="20"/>
                <w:rtl w:val="0"/>
              </w:rPr>
              <w:t xml:space="preserve">[14–15]</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0">
            <w:pPr>
              <w:widowControl w:val="0"/>
              <w:rPr>
                <w:sz w:val="20"/>
                <w:szCs w:val="20"/>
              </w:rPr>
            </w:pPr>
            <w:r w:rsidDel="00000000" w:rsidR="00000000" w:rsidRPr="00000000">
              <w:rPr>
                <w:rFonts w:ascii="Roboto" w:cs="Roboto" w:eastAsia="Roboto" w:hAnsi="Roboto"/>
                <w:sz w:val="20"/>
                <w:szCs w:val="20"/>
                <w:rtl w:val="0"/>
              </w:rPr>
              <w:t xml:space="preserve">Phénotype rhabdoïde</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1">
            <w:pPr>
              <w:widowControl w:val="0"/>
              <w:rPr>
                <w:sz w:val="20"/>
                <w:szCs w:val="20"/>
              </w:rPr>
            </w:pPr>
            <w:r w:rsidDel="00000000" w:rsidR="00000000" w:rsidRPr="00000000">
              <w:rPr>
                <w:rFonts w:ascii="Roboto" w:cs="Roboto" w:eastAsia="Roboto" w:hAnsi="Roboto"/>
                <w:sz w:val="20"/>
                <w:szCs w:val="20"/>
                <w:rtl w:val="0"/>
              </w:rPr>
              <w:t xml:space="preserve">Cellules discohésives avec inclusions cytoplasmiques éosinophiles</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widowControl w:val="0"/>
              <w:rPr>
                <w:sz w:val="20"/>
                <w:szCs w:val="20"/>
              </w:rPr>
            </w:pPr>
            <w:r w:rsidDel="00000000" w:rsidR="00000000" w:rsidRPr="00000000">
              <w:rPr>
                <w:rFonts w:ascii="Roboto" w:cs="Roboto" w:eastAsia="Roboto" w:hAnsi="Roboto"/>
                <w:sz w:val="20"/>
                <w:szCs w:val="20"/>
                <w:rtl w:val="0"/>
              </w:rPr>
              <w:t xml:space="preserve">Altérations fréquentes de SMARCB1/INI1</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widowControl w:val="0"/>
              <w:rPr>
                <w:sz w:val="20"/>
                <w:szCs w:val="20"/>
              </w:rPr>
            </w:pPr>
            <w:r w:rsidDel="00000000" w:rsidR="00000000" w:rsidRPr="00000000">
              <w:rPr>
                <w:rFonts w:ascii="Roboto" w:cs="Roboto" w:eastAsia="Roboto" w:hAnsi="Roboto"/>
                <w:sz w:val="20"/>
                <w:szCs w:val="20"/>
                <w:rtl w:val="0"/>
              </w:rPr>
              <w:t xml:space="preserve">Pronostic très défavorable</w:t>
            </w: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widowControl w:val="0"/>
              <w:rPr>
                <w:sz w:val="20"/>
                <w:szCs w:val="20"/>
              </w:rPr>
            </w:pPr>
            <w:r w:rsidDel="00000000" w:rsidR="00000000" w:rsidRPr="00000000">
              <w:rPr>
                <w:rFonts w:ascii="Roboto" w:cs="Roboto" w:eastAsia="Roboto" w:hAnsi="Roboto"/>
                <w:sz w:val="20"/>
                <w:szCs w:val="20"/>
                <w:rtl w:val="0"/>
              </w:rPr>
              <w:t xml:space="preserve">[2]</w:t>
            </w:r>
            <w:r w:rsidDel="00000000" w:rsidR="00000000" w:rsidRPr="00000000">
              <w:rPr>
                <w:rtl w:val="0"/>
              </w:rPr>
            </w:r>
          </w:p>
        </w:tc>
      </w:tr>
    </w:tbl>
    <w:p w:rsidR="00000000" w:rsidDel="00000000" w:rsidP="00000000" w:rsidRDefault="00000000" w:rsidRPr="00000000" w14:paraId="000000B5">
      <w:pPr>
        <w:spacing w:after="240" w:before="240" w:lineRule="auto"/>
        <w:rPr>
          <w:rFonts w:ascii="Calibri" w:cs="Calibri" w:eastAsia="Calibri" w:hAnsi="Calibri"/>
          <w:shd w:fill="ffe1e1" w:val="clear"/>
        </w:rPr>
      </w:pPr>
      <w:r w:rsidDel="00000000" w:rsidR="00000000" w:rsidRPr="00000000">
        <w:rPr>
          <w:rtl w:val="0"/>
        </w:rPr>
      </w:r>
    </w:p>
    <w:tbl>
      <w:tblPr>
        <w:tblStyle w:val="Table2"/>
        <w:tblW w:w="10335.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3075"/>
        <w:gridCol w:w="3075"/>
        <w:gridCol w:w="1755"/>
        <w:tblGridChange w:id="0">
          <w:tblGrid>
            <w:gridCol w:w="2430"/>
            <w:gridCol w:w="3075"/>
            <w:gridCol w:w="3075"/>
            <w:gridCol w:w="1755"/>
          </w:tblGrid>
        </w:tblGridChange>
      </w:tblGrid>
      <w:tr>
        <w:trPr>
          <w:cantSplit w:val="0"/>
          <w:trHeight w:val="315"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6">
            <w:pPr>
              <w:widowControl w:val="0"/>
              <w:jc w:val="center"/>
              <w:rPr>
                <w:sz w:val="20"/>
                <w:szCs w:val="20"/>
              </w:rPr>
            </w:pPr>
            <w:r w:rsidDel="00000000" w:rsidR="00000000" w:rsidRPr="00000000">
              <w:rPr>
                <w:rFonts w:ascii="Roboto" w:cs="Roboto" w:eastAsia="Roboto" w:hAnsi="Roboto"/>
                <w:b w:val="1"/>
                <w:bCs w:val="1"/>
                <w:sz w:val="20"/>
                <w:szCs w:val="20"/>
                <w:rtl w:val="0"/>
              </w:rPr>
              <w:t xml:space="preserve">Statut de résécabilité</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7">
            <w:pPr>
              <w:widowControl w:val="0"/>
              <w:jc w:val="center"/>
              <w:rPr>
                <w:sz w:val="20"/>
                <w:szCs w:val="20"/>
              </w:rPr>
            </w:pPr>
            <w:r w:rsidDel="00000000" w:rsidR="00000000" w:rsidRPr="00000000">
              <w:rPr>
                <w:rFonts w:ascii="Roboto" w:cs="Roboto" w:eastAsia="Roboto" w:hAnsi="Roboto"/>
                <w:b w:val="1"/>
                <w:bCs w:val="1"/>
                <w:sz w:val="20"/>
                <w:szCs w:val="20"/>
                <w:rtl w:val="0"/>
              </w:rPr>
              <w:t xml:space="preserve">Critères artériels</w:t>
            </w:r>
            <w:r w:rsidDel="00000000" w:rsidR="00000000" w:rsidRPr="00000000">
              <w:rPr>
                <w:rtl w:val="0"/>
              </w:rPr>
            </w:r>
          </w:p>
        </w:tc>
        <w:tc>
          <w:tcPr>
            <w:tcBorders>
              <w:top w:color="284e3f" w:space="0" w:sz="6" w:val="single"/>
              <w:left w:color="cccccc" w:space="0" w:sz="6" w:val="single"/>
              <w:bottom w:color="284e3f" w:space="0" w:sz="6" w:val="single"/>
              <w:right w:color="356854"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8">
            <w:pPr>
              <w:widowControl w:val="0"/>
              <w:jc w:val="center"/>
              <w:rPr>
                <w:sz w:val="20"/>
                <w:szCs w:val="20"/>
              </w:rPr>
            </w:pPr>
            <w:r w:rsidDel="00000000" w:rsidR="00000000" w:rsidRPr="00000000">
              <w:rPr>
                <w:rFonts w:ascii="Roboto" w:cs="Roboto" w:eastAsia="Roboto" w:hAnsi="Roboto"/>
                <w:b w:val="1"/>
                <w:bCs w:val="1"/>
                <w:sz w:val="20"/>
                <w:szCs w:val="20"/>
                <w:rtl w:val="0"/>
              </w:rPr>
              <w:t xml:space="preserve">Critères veineux</w:t>
            </w:r>
            <w:r w:rsidDel="00000000" w:rsidR="00000000" w:rsidRPr="00000000">
              <w:rPr>
                <w:rtl w:val="0"/>
              </w:rPr>
            </w:r>
          </w:p>
        </w:tc>
        <w:tc>
          <w:tcPr>
            <w:tcBorders>
              <w:top w:color="284e3f" w:space="0" w:sz="6" w:val="single"/>
              <w:left w:color="cccccc" w:space="0" w:sz="6" w:val="single"/>
              <w:bottom w:color="284e3f" w:space="0" w:sz="6" w:val="single"/>
              <w:right w:color="284e3f" w:space="0" w:sz="6"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B9">
            <w:pPr>
              <w:widowControl w:val="0"/>
              <w:jc w:val="center"/>
              <w:rPr>
                <w:sz w:val="20"/>
                <w:szCs w:val="20"/>
              </w:rPr>
            </w:pPr>
            <w:r w:rsidDel="00000000" w:rsidR="00000000" w:rsidRPr="00000000">
              <w:rPr>
                <w:rFonts w:ascii="Roboto" w:cs="Roboto" w:eastAsia="Roboto" w:hAnsi="Roboto"/>
                <w:b w:val="1"/>
                <w:bCs w:val="1"/>
                <w:sz w:val="20"/>
                <w:szCs w:val="20"/>
                <w:rtl w:val="0"/>
              </w:rPr>
              <w:t xml:space="preserve">Références</w:t>
            </w:r>
            <w:r w:rsidDel="00000000" w:rsidR="00000000" w:rsidRPr="00000000">
              <w:rPr>
                <w:rtl w:val="0"/>
              </w:rPr>
            </w:r>
          </w:p>
        </w:tc>
      </w:tr>
      <w:tr>
        <w:trPr>
          <w:cantSplit w:val="0"/>
          <w:trHeight w:val="780"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rPr>
                <w:sz w:val="20"/>
                <w:szCs w:val="20"/>
              </w:rPr>
            </w:pPr>
            <w:r w:rsidDel="00000000" w:rsidR="00000000" w:rsidRPr="00000000">
              <w:rPr>
                <w:rFonts w:ascii="Roboto" w:cs="Roboto" w:eastAsia="Roboto" w:hAnsi="Roboto"/>
                <w:sz w:val="20"/>
                <w:szCs w:val="20"/>
                <w:rtl w:val="0"/>
              </w:rPr>
              <w:t xml:space="preserve">Résécable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rPr>
                <w:sz w:val="20"/>
                <w:szCs w:val="20"/>
              </w:rPr>
            </w:pPr>
            <w:r w:rsidDel="00000000" w:rsidR="00000000" w:rsidRPr="00000000">
              <w:rPr>
                <w:rFonts w:ascii="Roboto" w:cs="Roboto" w:eastAsia="Roboto" w:hAnsi="Roboto"/>
                <w:sz w:val="20"/>
                <w:szCs w:val="20"/>
                <w:rtl w:val="0"/>
              </w:rPr>
              <w:t xml:space="preserve">Aucun contact tumoral avec le tronc cœliaque (CA), l’artère mésentérique supérieure (AMS) ou l’artère hépatique commune (AHC)</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rPr>
                <w:sz w:val="20"/>
                <w:szCs w:val="20"/>
              </w:rPr>
            </w:pPr>
            <w:r w:rsidDel="00000000" w:rsidR="00000000" w:rsidRPr="00000000">
              <w:rPr>
                <w:rFonts w:ascii="Nova Mono" w:cs="Nova Mono" w:eastAsia="Nova Mono" w:hAnsi="Nova Mono"/>
                <w:sz w:val="20"/>
                <w:szCs w:val="20"/>
                <w:rtl w:val="0"/>
              </w:rPr>
              <w:t xml:space="preserve">Aucun contact tumoral avec la veine mésentérique supérieure/veine porte (VMS/VP), OU contact ≤180° sans irrégularité du contour veineux</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rPr>
                <w:sz w:val="20"/>
                <w:szCs w:val="20"/>
              </w:rPr>
            </w:pPr>
            <w:r w:rsidDel="00000000" w:rsidR="00000000" w:rsidRPr="00000000">
              <w:rPr>
                <w:rFonts w:ascii="Roboto" w:cs="Roboto" w:eastAsia="Roboto" w:hAnsi="Roboto"/>
                <w:sz w:val="20"/>
                <w:szCs w:val="20"/>
                <w:rtl w:val="0"/>
              </w:rPr>
              <w:t xml:space="preserve">[1]</w:t>
            </w:r>
            <w:r w:rsidDel="00000000" w:rsidR="00000000" w:rsidRPr="00000000">
              <w:rPr>
                <w:rtl w:val="0"/>
              </w:rPr>
            </w:r>
          </w:p>
        </w:tc>
      </w:tr>
      <w:tr>
        <w:trPr>
          <w:cantSplit w:val="0"/>
          <w:trHeight w:val="2313.3593749999995"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E">
            <w:pPr>
              <w:widowControl w:val="0"/>
              <w:rPr>
                <w:sz w:val="20"/>
                <w:szCs w:val="20"/>
              </w:rPr>
            </w:pPr>
            <w:r w:rsidDel="00000000" w:rsidR="00000000" w:rsidRPr="00000000">
              <w:rPr>
                <w:rFonts w:ascii="Roboto" w:cs="Roboto" w:eastAsia="Roboto" w:hAnsi="Roboto"/>
                <w:sz w:val="20"/>
                <w:szCs w:val="20"/>
                <w:rtl w:val="0"/>
              </w:rPr>
              <w:t xml:space="preserve">Borderline résécable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F">
            <w:pPr>
              <w:widowControl w:val="0"/>
              <w:rPr>
                <w:sz w:val="20"/>
                <w:szCs w:val="20"/>
              </w:rPr>
            </w:pPr>
            <w:r w:rsidDel="00000000" w:rsidR="00000000" w:rsidRPr="00000000">
              <w:rPr>
                <w:rFonts w:ascii="Nova Mono" w:cs="Nova Mono" w:eastAsia="Nova Mono" w:hAnsi="Nova Mono"/>
                <w:sz w:val="20"/>
                <w:szCs w:val="20"/>
                <w:rtl w:val="0"/>
              </w:rPr>
              <w:t xml:space="preserve">Tête/uncus : contact avec l’AHC sans extension au CA ni à la bifurcation de l’artère hépatique ; contact avec l’AMS ≤180° ; contact avec une anatomie artérielle variante (artères hépatiques accessoires ou remplacées)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0">
            <w:pPr>
              <w:widowControl w:val="0"/>
              <w:rPr>
                <w:sz w:val="20"/>
                <w:szCs w:val="20"/>
              </w:rPr>
            </w:pPr>
            <w:r w:rsidDel="00000000" w:rsidR="00000000" w:rsidRPr="00000000">
              <w:rPr>
                <w:rFonts w:ascii="Nova Mono" w:cs="Nova Mono" w:eastAsia="Nova Mono" w:hAnsi="Nova Mono"/>
                <w:sz w:val="20"/>
                <w:szCs w:val="20"/>
                <w:rtl w:val="0"/>
              </w:rPr>
              <w:t xml:space="preserve">Contact VMS/VP &gt;180° ; OU contact ≤180° avec irrégularité du contour ou thrombose (avec segments vasculaires proximaux/distaux adaptés à une reconstruction) ; contact avec la veine cave inférieure (VCI)</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1">
            <w:pPr>
              <w:widowControl w:val="0"/>
              <w:rPr>
                <w:sz w:val="20"/>
                <w:szCs w:val="20"/>
              </w:rPr>
            </w:pPr>
            <w:r w:rsidDel="00000000" w:rsidR="00000000" w:rsidRPr="00000000">
              <w:rPr>
                <w:rFonts w:ascii="Roboto" w:cs="Roboto" w:eastAsia="Roboto" w:hAnsi="Roboto"/>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2">
            <w:pPr>
              <w:widowControl w:val="0"/>
              <w:rPr>
                <w:sz w:val="20"/>
                <w:szCs w:val="20"/>
              </w:rPr>
            </w:pP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3">
            <w:pPr>
              <w:widowControl w:val="0"/>
              <w:rPr>
                <w:sz w:val="20"/>
                <w:szCs w:val="20"/>
              </w:rPr>
            </w:pPr>
            <w:r w:rsidDel="00000000" w:rsidR="00000000" w:rsidRPr="00000000">
              <w:rPr>
                <w:rFonts w:ascii="Nova Mono" w:cs="Nova Mono" w:eastAsia="Nova Mono" w:hAnsi="Nova Mono"/>
                <w:sz w:val="20"/>
                <w:szCs w:val="20"/>
                <w:rtl w:val="0"/>
              </w:rPr>
              <w:t xml:space="preserve">Corps/queue : contact avec le CA ≤180°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4">
            <w:pPr>
              <w:widowControl w:val="0"/>
              <w:rPr>
                <w:sz w:val="20"/>
                <w:szCs w:val="20"/>
              </w:rPr>
            </w:pP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5">
            <w:pPr>
              <w:widowControl w:val="0"/>
              <w:rPr>
                <w:sz w:val="20"/>
                <w:szCs w:val="20"/>
              </w:rPr>
            </w:pP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rPr>
                <w:sz w:val="20"/>
                <w:szCs w:val="20"/>
              </w:rPr>
            </w:pPr>
            <w:r w:rsidDel="00000000" w:rsidR="00000000" w:rsidRPr="00000000">
              <w:rPr>
                <w:rFonts w:ascii="Roboto" w:cs="Roboto" w:eastAsia="Roboto" w:hAnsi="Roboto"/>
                <w:sz w:val="20"/>
                <w:szCs w:val="20"/>
                <w:rtl w:val="0"/>
              </w:rPr>
              <w:t xml:space="preserve">Localement avancé</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rPr>
                <w:sz w:val="20"/>
                <w:szCs w:val="20"/>
              </w:rPr>
            </w:pPr>
            <w:r w:rsidDel="00000000" w:rsidR="00000000" w:rsidRPr="00000000">
              <w:rPr>
                <w:rFonts w:ascii="Roboto" w:cs="Roboto" w:eastAsia="Roboto" w:hAnsi="Roboto"/>
                <w:sz w:val="20"/>
                <w:szCs w:val="20"/>
                <w:rtl w:val="0"/>
              </w:rPr>
              <w:t xml:space="preserve">Tête/uncus : contact avec l’AMS ou le CA &gt;180°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rPr>
                <w:sz w:val="20"/>
                <w:szCs w:val="20"/>
              </w:rPr>
            </w:pPr>
            <w:r w:rsidDel="00000000" w:rsidR="00000000" w:rsidRPr="00000000">
              <w:rPr>
                <w:rFonts w:ascii="Roboto" w:cs="Roboto" w:eastAsia="Roboto" w:hAnsi="Roboto"/>
                <w:sz w:val="20"/>
                <w:szCs w:val="20"/>
                <w:rtl w:val="0"/>
              </w:rPr>
              <w:t xml:space="preserve">VMS/VP non reconstructible (occlusion complète sans segment vasculaire adapté à la reconstruction)</w:t>
            </w:r>
            <w:r w:rsidDel="00000000" w:rsidR="00000000" w:rsidRPr="00000000">
              <w:rPr>
                <w:rtl w:val="0"/>
              </w:rPr>
            </w:r>
          </w:p>
        </w:tc>
        <w:tc>
          <w:tcPr>
            <w:tcBorders>
              <w:top w:color="cccccc" w:space="0" w:sz="6" w:val="single"/>
              <w:left w:color="cccccc" w:space="0" w:sz="6" w:val="single"/>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rPr>
                <w:sz w:val="20"/>
                <w:szCs w:val="20"/>
              </w:rPr>
            </w:pPr>
            <w:r w:rsidDel="00000000" w:rsidR="00000000" w:rsidRPr="00000000">
              <w:rPr>
                <w:rFonts w:ascii="Roboto" w:cs="Roboto" w:eastAsia="Roboto" w:hAnsi="Roboto"/>
                <w:sz w:val="20"/>
                <w:szCs w:val="20"/>
                <w:rtl w:val="0"/>
              </w:rPr>
              <w:t xml:space="preserve">[1]</w:t>
            </w:r>
            <w:r w:rsidDel="00000000" w:rsidR="00000000" w:rsidRPr="00000000">
              <w:rPr>
                <w:rtl w:val="0"/>
              </w:rPr>
            </w:r>
          </w:p>
        </w:tc>
      </w:tr>
      <w:tr>
        <w:trPr>
          <w:cantSplit w:val="0"/>
          <w:trHeight w:val="540" w:hRule="atLeast"/>
          <w:tblHeader w:val="0"/>
        </w:trPr>
        <w:tc>
          <w:tcPr>
            <w:tcBorders>
              <w:top w:color="cccccc" w:space="0" w:sz="6" w:val="single"/>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widowControl w:val="0"/>
              <w:rPr>
                <w:sz w:val="20"/>
                <w:szCs w:val="20"/>
              </w:rPr>
            </w:pP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rPr>
                <w:sz w:val="20"/>
                <w:szCs w:val="20"/>
              </w:rPr>
            </w:pPr>
            <w:r w:rsidDel="00000000" w:rsidR="00000000" w:rsidRPr="00000000">
              <w:rPr>
                <w:rFonts w:ascii="Roboto" w:cs="Roboto" w:eastAsia="Roboto" w:hAnsi="Roboto"/>
                <w:sz w:val="20"/>
                <w:szCs w:val="20"/>
                <w:rtl w:val="0"/>
              </w:rPr>
              <w:t xml:space="preserve">Corps/queue : contact avec l’AMS ou le CA &gt;180° ; contact du CA avec atteinte de l’aorte</w:t>
            </w:r>
            <w:r w:rsidDel="00000000" w:rsidR="00000000" w:rsidRPr="00000000">
              <w:rPr>
                <w:rtl w:val="0"/>
              </w:rPr>
            </w:r>
          </w:p>
        </w:tc>
        <w:tc>
          <w:tcPr>
            <w:tcBorders>
              <w:top w:color="cccccc" w:space="0" w:sz="6" w:val="single"/>
              <w:left w:color="cccccc"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rPr>
                <w:sz w:val="20"/>
                <w:szCs w:val="20"/>
              </w:rPr>
            </w:pPr>
            <w:r w:rsidDel="00000000" w:rsidR="00000000" w:rsidRPr="00000000">
              <w:rPr>
                <w:rtl w:val="0"/>
              </w:rPr>
            </w:r>
          </w:p>
        </w:tc>
        <w:tc>
          <w:tcPr>
            <w:tcBorders>
              <w:top w:color="cccccc" w:space="0" w:sz="6" w:val="single"/>
              <w:left w:color="cccccc" w:space="0" w:sz="6" w:val="single"/>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rPr>
                <w:sz w:val="20"/>
                <w:szCs w:val="20"/>
              </w:rPr>
            </w:pPr>
            <w:r w:rsidDel="00000000" w:rsidR="00000000" w:rsidRPr="00000000">
              <w:rPr>
                <w:rtl w:val="0"/>
              </w:rPr>
            </w:r>
          </w:p>
        </w:tc>
      </w:tr>
    </w:tbl>
    <w:p w:rsidR="00000000" w:rsidDel="00000000" w:rsidP="00000000" w:rsidRDefault="00000000" w:rsidRPr="00000000" w14:paraId="000000CE">
      <w:pPr>
        <w:numPr>
          <w:ilvl w:val="0"/>
          <w:numId w:val="16"/>
        </w:numPr>
        <w:spacing w:after="240" w:before="24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CF">
      <w:pPr>
        <w:spacing w:after="240" w:before="240" w:lineRule="auto"/>
        <w:ind w:left="7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___________________________________________________________________________</w:t>
      </w:r>
    </w:p>
    <w:p w:rsidR="00000000" w:rsidDel="00000000" w:rsidP="00000000" w:rsidRDefault="00000000" w:rsidRPr="00000000" w14:paraId="000000D0">
      <w:pPr>
        <w:numPr>
          <w:ilvl w:val="0"/>
          <w:numId w:val="16"/>
        </w:numPr>
        <w:spacing w:after="0" w:afterAutospacing="0" w:before="24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1">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2">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3">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4">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5">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6">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7">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8">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9">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A">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B">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C">
      <w:pPr>
        <w:numPr>
          <w:ilvl w:val="0"/>
          <w:numId w:val="16"/>
        </w:numPr>
        <w:spacing w:after="0" w:afterAutospacing="0" w:before="0" w:beforeAutospacing="0" w:lineRule="auto"/>
        <w:ind w:left="720" w:hanging="36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DD">
      <w:pPr>
        <w:numPr>
          <w:ilvl w:val="0"/>
          <w:numId w:val="16"/>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Marqueurs immunohistologiques </w:t>
      </w:r>
    </w:p>
    <w:p w:rsidR="00000000" w:rsidDel="00000000" w:rsidP="00000000" w:rsidRDefault="00000000" w:rsidRPr="00000000" w14:paraId="000000DE">
      <w:pPr>
        <w:spacing w:after="240" w:before="240" w:lineRule="auto"/>
        <w:rPr>
          <w:rFonts w:ascii="Calibri" w:cs="Calibri" w:eastAsia="Calibri" w:hAnsi="Calibri"/>
          <w:highlight w:val="white"/>
        </w:rPr>
      </w:pPr>
      <w:r w:rsidDel="00000000" w:rsidR="00000000" w:rsidRPr="00000000">
        <w:rPr>
          <w:rtl w:val="0"/>
        </w:rPr>
      </w:r>
    </w:p>
    <w:tbl>
      <w:tblPr>
        <w:tblStyle w:val="Table3"/>
        <w:tblW w:w="11160.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105"/>
        <w:gridCol w:w="5325"/>
        <w:tblGridChange w:id="0">
          <w:tblGrid>
            <w:gridCol w:w="2730"/>
            <w:gridCol w:w="3105"/>
            <w:gridCol w:w="53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Chatgpt pur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OE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Il n’existe pas de marqueur immunohistochimique strictement spécifique de l’adénocarcinome canalaire pancréatique (PDAC). Le diagnostic repose avant tout sur l’analyse morphologique, l’immunohistochimie constituant principalement un outil d’appoint, particulièrement utile dans le diagnostic différentiel avec d’autres adénocarcinomes, les lésions bénignes réactionnelles ou certaines tumeurs pancréatiques non canalaires. Le PDAC exprime habituellement les cytokératines de type canalaire, notamment CK7, CK8, CK18 et CK19, tandis que l’expression de CK20 est plus inconstante. Il est en revanche habituellement négatif pour les marqueurs neuroendocrines. Sur le plan mucinique, le profil immunophénotypique est dominé par l’expression de MUC1, fréquente dans les tumeurs de phénotype pancréatobiliaire, ainsi que de MUC4 et MUC5AC. L’expression de MUC4 présente un intérêt particulier, car elle est absente ou quasi absente dans le pancréas normal et apparaît au cours de la carcinogenèse pancréatique. Dans les cas difficiles, certains panels associant S100P, IMP3, maspin et pVHL peuvent contribuer à distinguer le PDAC des proliférations canalaires bénignes ou réactionnelles. Enfin, le CA 19-9 et l’antigène carcino-embryonnaire (ACE) peuvent être exprimés par les cellules tumorales ou élevés dans le sérum, mais leur apport diagnostique reste limité par leur manque de spécificité. Ainsi, aucun de ces marqueurs ne permet à lui seul d’affirmer le diagnostic ; leur interprétation doit toujours être intégrée aux données histologiques et au contexte clinico-radiologique.</w:t>
            </w:r>
          </w:p>
          <w:p w:rsidR="00000000" w:rsidDel="00000000" w:rsidP="00000000" w:rsidRDefault="00000000" w:rsidRPr="00000000" w14:paraId="000000E3">
            <w:pPr>
              <w:spacing w:after="240" w:before="240" w:lineRule="auto"/>
              <w:ind w:left="720"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E4">
            <w:pPr>
              <w:widowControl w:val="0"/>
              <w:spacing w:line="240" w:lineRule="auto"/>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marqueurs immunohistochimiques (IHC) du PDAC peuvent être classés en plusieurs catégories fonctionnelles : les marqueurs diagnostiques (permettant de confirmer le diagnostic et de le distinguer des lésions bénignes ou réactionnelles), le profil des cytokératines et des mucines (permettant d’établir une différenciation pancréatobiliaire), les marqueurs de suppresseurs de tumeur (à visée diagnostique et pronostique) et les marqueurs de sous-typage moléculaire (sous-types classique versus basal-like).</w:t>
            </w:r>
          </w:p>
          <w:p w:rsidR="00000000" w:rsidDel="00000000" w:rsidP="00000000" w:rsidRDefault="00000000" w:rsidRPr="00000000" w14:paraId="000000E7">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l01elr9pjtle" w:id="17"/>
            <w:bookmarkEnd w:id="17"/>
            <w:r w:rsidDel="00000000" w:rsidR="00000000" w:rsidRPr="00000000">
              <w:rPr>
                <w:rFonts w:ascii="Calibri" w:cs="Calibri" w:eastAsia="Calibri" w:hAnsi="Calibri"/>
                <w:b w:val="1"/>
                <w:bCs w:val="1"/>
                <w:color w:val="000000"/>
                <w:sz w:val="26"/>
                <w:szCs w:val="26"/>
                <w:highlight w:val="white"/>
                <w:rtl w:val="0"/>
              </w:rPr>
              <w:t xml:space="preserve">Marqueurs diagnostiques : distinction entre PDAC et tissu pancréatique bénin</w:t>
            </w:r>
          </w:p>
          <w:p w:rsidR="00000000" w:rsidDel="00000000" w:rsidP="00000000" w:rsidRDefault="00000000" w:rsidRPr="00000000" w14:paraId="000000E8">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situation diagnostique la plus délicate est la distinction entre PDAC et pancréatite chronique ou épithélium canalaire réactionnel, en particulier sur les prélèvements de cytoponction sous échoendoscopie (EUS-FNA). Une analyse incluant 26 marqueurs immunohistochimiques a identifié la perte d’expression de pVHL, ainsi que l’expression de maspin, S100P et IMP-3, comme constituant le panel diagnostique le plus performant.</w:t>
              <w:br w:type="textWrapping"/>
              <w:t xml:space="preserve"> Plus de 90 % des PDAC expriment maspin, S100P et IMP-3, tandis que la quasi-totalité n’exprime pas pVHL (dont l’expression est conservée dans les canaux et acini normaux).</w:t>
              <w:br w:type="textWrapping"/>
              <w:t xml:space="preserve"> Le maspin seul a atteint une sensibilité et une exactitude diagnostique de 100 % dans une étude prospective sur cytoponctions.</w:t>
              <w:br w:type="textWrapping"/>
              <w:t xml:space="preserve"> Un arbre de classification utilisant p53, S100P et claudine 4 a permis d’obtenir une sensibilité de 100 % et une spécificité de 95,5 % sur des prélèvements EUS-FNA.</w:t>
              <w:br w:type="textWrapping"/>
              <w:t xml:space="preserve"> D’autres marqueurs préférentiellement exprimés dans les tissus néoplasiques incluent MUC4, la mésothéline (MSLN), l’annexine A10 (ANXA10) et le glypican-1 (GPC-1).</w:t>
            </w:r>
          </w:p>
          <w:p w:rsidR="00000000" w:rsidDel="00000000" w:rsidP="00000000" w:rsidRDefault="00000000" w:rsidRPr="00000000" w14:paraId="000000E9">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db6hw0sfq62i" w:id="18"/>
            <w:bookmarkEnd w:id="18"/>
            <w:r w:rsidDel="00000000" w:rsidR="00000000" w:rsidRPr="00000000">
              <w:rPr>
                <w:rFonts w:ascii="Calibri" w:cs="Calibri" w:eastAsia="Calibri" w:hAnsi="Calibri"/>
                <w:b w:val="1"/>
                <w:bCs w:val="1"/>
                <w:color w:val="000000"/>
                <w:sz w:val="26"/>
                <w:szCs w:val="26"/>
                <w:highlight w:val="white"/>
                <w:rtl w:val="0"/>
              </w:rPr>
              <w:t xml:space="preserve">Profil des cytokératines</w:t>
            </w:r>
          </w:p>
          <w:p w:rsidR="00000000" w:rsidDel="00000000" w:rsidP="00000000" w:rsidRDefault="00000000" w:rsidRPr="00000000" w14:paraId="000000EA">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PDAC présente un profil caractéristique CK7+/CK20±.</w:t>
              <w:br w:type="textWrapping"/>
              <w:t xml:space="preserve"> La cytokératine 19 (CK19) est fortement exprimée, mais également présente dans les canaux normaux, ce qui limite sa valeur discriminante.</w:t>
              <w:br w:type="textWrapping"/>
              <w:t xml:space="preserve"> La cytokératine 17 (CK17) est particulièrement utile pour confirmer l’origine pancréatobiliaire : 83 % des PDAC expriment CK17 de manière diffuse, contre moins de 5 % des adénocarcinomes non pancréatobiliaires.</w:t>
              <w:br w:type="textWrapping"/>
              <w:t xml:space="preserve"> Les recommandations du NCCN concernant les cancers primitifs occultes décrivent un profil immunohistochimique pancréatobiliaire typique associant CK7+/CK20±, CDX2±, CK19+, avec une perte de SMAD4 comme marqueur complémentaire utile.</w:t>
            </w:r>
          </w:p>
          <w:p w:rsidR="00000000" w:rsidDel="00000000" w:rsidP="00000000" w:rsidRDefault="00000000" w:rsidRPr="00000000" w14:paraId="000000EB">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jmx9fj9nourz" w:id="19"/>
            <w:bookmarkEnd w:id="19"/>
            <w:r w:rsidDel="00000000" w:rsidR="00000000" w:rsidRPr="00000000">
              <w:rPr>
                <w:rFonts w:ascii="Calibri" w:cs="Calibri" w:eastAsia="Calibri" w:hAnsi="Calibri"/>
                <w:b w:val="1"/>
                <w:bCs w:val="1"/>
                <w:color w:val="000000"/>
                <w:sz w:val="26"/>
                <w:szCs w:val="26"/>
                <w:highlight w:val="white"/>
                <w:rtl w:val="0"/>
              </w:rPr>
              <w:t xml:space="preserve">Profil des mucines</w:t>
            </w:r>
          </w:p>
          <w:p w:rsidR="00000000" w:rsidDel="00000000" w:rsidP="00000000" w:rsidRDefault="00000000" w:rsidRPr="00000000" w14:paraId="000000EC">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profil mucinique typique du PDAC est MUC1+/MUC2−/MUC5AC+.</w:t>
              <w:br w:type="textWrapping"/>
              <w:t xml:space="preserve"> Ce profil est retrouvé dans 88 % des carcinomes canalaires sur pièces opératoires et dans 70 % des échantillons cytologiques.</w:t>
              <w:br w:type="textWrapping"/>
              <w:t xml:space="preserve"> MUC1 est exprimée dans environ 89 % des PDAC et est associée à une différenciation pancréatobiliaire.</w:t>
            </w:r>
          </w:p>
          <w:p w:rsidR="00000000" w:rsidDel="00000000" w:rsidP="00000000" w:rsidRDefault="00000000" w:rsidRPr="00000000" w14:paraId="000000ED">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MUC5AC est exprimée de manière aberrante dans le PDAC (alors qu’elle est absente dans les canaux pancréatiques normaux) et permet de distinguer les lésions malignes des lésions bénignes.</w:t>
              <w:br w:type="textWrapping"/>
              <w:t xml:space="preserve"> MUC2 est généralement négative dans le PDAC (2 %), mais positive dans les tumeurs ampullaires de type intestinal (82 %), ce qui en fait un marqueur utile pour le diagnostic différentiel.</w:t>
              <w:br w:type="textWrapping"/>
              <w:t xml:space="preserve"> Un modèle diagnostique reposant sur trois mucines (MUC3, MUC5AC, MUC6) a montré une excellente performance pour différencier le PDAC des tissus non malins (AUC = 0,96).</w:t>
            </w:r>
          </w:p>
          <w:p w:rsidR="00000000" w:rsidDel="00000000" w:rsidP="00000000" w:rsidRDefault="00000000" w:rsidRPr="00000000" w14:paraId="000000EE">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wsk9p4k7i6it" w:id="20"/>
            <w:bookmarkEnd w:id="20"/>
            <w:r w:rsidDel="00000000" w:rsidR="00000000" w:rsidRPr="00000000">
              <w:rPr>
                <w:rFonts w:ascii="Calibri" w:cs="Calibri" w:eastAsia="Calibri" w:hAnsi="Calibri"/>
                <w:b w:val="1"/>
                <w:bCs w:val="1"/>
                <w:color w:val="000000"/>
                <w:sz w:val="26"/>
                <w:szCs w:val="26"/>
                <w:highlight w:val="white"/>
                <w:rtl w:val="0"/>
              </w:rPr>
              <w:t xml:space="preserve">Marqueurs de suppresseurs de tumeur : p53 et SMAD4/DPC4</w:t>
            </w:r>
          </w:p>
          <w:p w:rsidR="00000000" w:rsidDel="00000000" w:rsidP="00000000" w:rsidRDefault="00000000" w:rsidRPr="00000000" w14:paraId="000000EF">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0">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1">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2">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Une expression aberrante de p53 (surexpression ou perte complète, traduisant une mutation de TP53) est observée dans environ 74 à 81 % des PDAC et est absente dans les lésions bénignes, ce qui en fait un marqueur très spécifique.</w:t>
            </w:r>
          </w:p>
          <w:p w:rsidR="00000000" w:rsidDel="00000000" w:rsidP="00000000" w:rsidRDefault="00000000" w:rsidRPr="00000000" w14:paraId="000000F3">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perte d’expression de SMAD4/DPC4 survient dans environ 50 à 60 % des PDAC et n’est pratiquement jamais observée dans le tissu pancréatique bénin ni dans les lésions précancéreuses de bas grade (en deçà du stade PanIN-3).</w:t>
            </w:r>
          </w:p>
          <w:p w:rsidR="00000000" w:rsidDel="00000000" w:rsidP="00000000" w:rsidRDefault="00000000" w:rsidRPr="00000000" w14:paraId="000000F4">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L’association des marqueurs p53 et SMAD4 permet d’obtenir une excellente performance diagnostique sur cytoponction (AUC = 0,96).</w:t>
            </w:r>
          </w:p>
          <w:p w:rsidR="00000000" w:rsidDel="00000000" w:rsidP="00000000" w:rsidRDefault="00000000" w:rsidRPr="00000000" w14:paraId="000000F5">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Au-delà du diagnostic, la perte de SMAD4 constitue un facteur pronostique péjoratif indépendant, associé à une diminution de la survie globale.</w:t>
            </w:r>
          </w:p>
          <w:p w:rsidR="00000000" w:rsidDel="00000000" w:rsidP="00000000" w:rsidRDefault="00000000" w:rsidRPr="00000000" w14:paraId="000000F6">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Elle est également corrélée à un risque accru de métastases à distance et pourrait prédire une moindre sensibilité aux schémas néoadjuvants à base de FOLFIRINOX, certaines données suggérant une meilleure efficacité du gemcitabine/nab-paclitaxel dans les tumeurs altérées pour SMAD4.</w:t>
            </w:r>
          </w:p>
          <w:p w:rsidR="00000000" w:rsidDel="00000000" w:rsidP="00000000" w:rsidRDefault="00000000" w:rsidRPr="00000000" w14:paraId="000000F7">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n1qqj4ck05zy" w:id="21"/>
            <w:bookmarkEnd w:id="21"/>
            <w:r w:rsidDel="00000000" w:rsidR="00000000" w:rsidRPr="00000000">
              <w:rPr>
                <w:rFonts w:ascii="Calibri" w:cs="Calibri" w:eastAsia="Calibri" w:hAnsi="Calibri"/>
                <w:b w:val="1"/>
                <w:bCs w:val="1"/>
                <w:color w:val="000000"/>
                <w:sz w:val="26"/>
                <w:szCs w:val="26"/>
                <w:highlight w:val="white"/>
                <w:rtl w:val="0"/>
              </w:rPr>
              <w:t xml:space="preserve">Marqueurs de sous-typage moléculaire : sous-types classique et basal-like</w:t>
            </w:r>
          </w:p>
          <w:p w:rsidR="00000000" w:rsidDel="00000000" w:rsidP="00000000" w:rsidRDefault="00000000" w:rsidRPr="00000000" w14:paraId="000000F8">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Des substituts immunohistochimiques des sous-types transcriptomiques sont de plus en plus validés.</w:t>
            </w:r>
          </w:p>
          <w:p w:rsidR="00000000" w:rsidDel="00000000" w:rsidP="00000000" w:rsidRDefault="00000000" w:rsidRPr="00000000" w14:paraId="000000F9">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marqueurs du sous-type classique incluent GATA6 (fortement exprimé), HNF1A, HNF4A, TFF1 et CLDN18. L’expression de GATA6 en immunohistochimie permet à elle seule de prédire le sous-type classique avec une sensibilité de 89 % et une spécificité de 83 % par rapport au RNA-seq.</w:t>
            </w:r>
          </w:p>
          <w:p w:rsidR="00000000" w:rsidDel="00000000" w:rsidP="00000000" w:rsidRDefault="00000000" w:rsidRPr="00000000" w14:paraId="000000FA">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marqueurs du sous-type basal-like comprennent KRT81 (CK81), KRT17 (CK17), KRT5/CK5, CK5/6, p63/ΔNp63 et S100A2. Le profil KRT81+/HNF1A− est associé au sous-type basal-like (ou quasi-mésenchymateux), caractérisé par le plus mauvais pronostic.</w:t>
            </w:r>
          </w:p>
          <w:p w:rsidR="00000000" w:rsidDel="00000000" w:rsidP="00000000" w:rsidRDefault="00000000" w:rsidRPr="00000000" w14:paraId="000000FB">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FC">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sous-type basal-like est associé à une survie globale significativement plus courte (médiane de 5,9 versus 9,3 mois dans les formes avancées), à une chimiorésistance accrue et à une fréquence plus élevée de mutations de KRAS et TP53.</w:t>
            </w:r>
          </w:p>
          <w:p w:rsidR="00000000" w:rsidDel="00000000" w:rsidP="00000000" w:rsidRDefault="00000000" w:rsidRPr="00000000" w14:paraId="000000FD">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 panel immunohistochimique combinant CK5/6, p63, GATA6 et HNF4A, appliqué à des prélèvements EUS-FNAB, permet de prédire indépendamment le pronostic dans les PDAC avancés non traités.</w:t>
            </w:r>
          </w:p>
          <w:p w:rsidR="00000000" w:rsidDel="00000000" w:rsidP="00000000" w:rsidRDefault="00000000" w:rsidRPr="00000000" w14:paraId="000000FE">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Il est important de noter que des transitions phénotypiques entre sous-types surviennent dans jusqu’à 61 % des cas après chimiothérapie néoadjuvante, et qu’un changement de sous-type entre la tumeur primitive et les métastases est observé dans environ 32 % des cas, illustrant la plasticité tumorale induite par les traitements.</w:t>
            </w:r>
          </w:p>
          <w:p w:rsidR="00000000" w:rsidDel="00000000" w:rsidP="00000000" w:rsidRDefault="00000000" w:rsidRPr="00000000" w14:paraId="000000FF">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0">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1">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2">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3">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4">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5">
            <w:pPr>
              <w:widowControl w:val="0"/>
              <w:spacing w:line="240" w:lineRule="auto"/>
              <w:rPr>
                <w:rFonts w:ascii="Calibri" w:cs="Calibri" w:eastAsia="Calibri" w:hAnsi="Calibri"/>
                <w:highlight w:val="white"/>
              </w:rPr>
            </w:pPr>
            <w:r w:rsidDel="00000000" w:rsidR="00000000" w:rsidRPr="00000000">
              <w:rPr>
                <w:rtl w:val="0"/>
              </w:rPr>
            </w:r>
          </w:p>
        </w:tc>
      </w:tr>
    </w:tbl>
    <w:p w:rsidR="00000000" w:rsidDel="00000000" w:rsidP="00000000" w:rsidRDefault="00000000" w:rsidRPr="00000000" w14:paraId="00000106">
      <w:pPr>
        <w:spacing w:after="240" w:before="240" w:lineRule="auto"/>
        <w:rPr>
          <w:rFonts w:ascii="Calibri" w:cs="Calibri" w:eastAsia="Calibri" w:hAnsi="Calibri"/>
          <w:highlight w:val="white"/>
        </w:rPr>
      </w:pPr>
      <w:r w:rsidDel="00000000" w:rsidR="00000000" w:rsidRPr="00000000">
        <w:rPr>
          <w:rtl w:val="0"/>
        </w:rPr>
      </w:r>
    </w:p>
    <w:tbl>
      <w:tblPr>
        <w:tblStyle w:val="Table4"/>
        <w:tblW w:w="11400.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30"/>
        <w:gridCol w:w="3000"/>
        <w:gridCol w:w="4170"/>
        <w:tblGridChange w:id="0">
          <w:tblGrid>
            <w:gridCol w:w="4230"/>
            <w:gridCol w:w="3000"/>
            <w:gridCol w:w="4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Thèse Boileve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Rédaction finale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Compléments par Open Evidence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ind w:left="0" w:firstLine="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Présentation clinique et diagnostic : </w:t>
            </w:r>
          </w:p>
          <w:p w:rsidR="00000000" w:rsidDel="00000000" w:rsidP="00000000" w:rsidRDefault="00000000" w:rsidRPr="00000000" w14:paraId="0000010B">
            <w:pPr>
              <w:numPr>
                <w:ilvl w:val="0"/>
                <w:numId w:val="1"/>
              </w:numPr>
              <w:spacing w:after="0" w:afterAutospacing="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Caractéristiques cliniques : </w:t>
            </w:r>
          </w:p>
          <w:p w:rsidR="00000000" w:rsidDel="00000000" w:rsidP="00000000" w:rsidRDefault="00000000" w:rsidRPr="00000000" w14:paraId="0000010C">
            <w:pPr>
              <w:numPr>
                <w:ilvl w:val="0"/>
                <w:numId w:val="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Imagerie et bilan initial : </w:t>
            </w:r>
          </w:p>
          <w:p w:rsidR="00000000" w:rsidDel="00000000" w:rsidP="00000000" w:rsidRDefault="00000000" w:rsidRPr="00000000" w14:paraId="0000010D">
            <w:pPr>
              <w:spacing w:after="240" w:befor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0E">
            <w:pPr>
              <w:numPr>
                <w:ilvl w:val="0"/>
                <w:numId w:val="14"/>
              </w:numPr>
              <w:spacing w:after="0" w:afterAutospacing="0" w:before="24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Stadification : </w:t>
            </w:r>
          </w:p>
          <w:p w:rsidR="00000000" w:rsidDel="00000000" w:rsidP="00000000" w:rsidRDefault="00000000" w:rsidRPr="00000000" w14:paraId="0000010F">
            <w:pPr>
              <w:numPr>
                <w:ilvl w:val="0"/>
                <w:numId w:val="23"/>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Classification TNM</w:t>
            </w:r>
          </w:p>
          <w:p w:rsidR="00000000" w:rsidDel="00000000" w:rsidP="00000000" w:rsidRDefault="00000000" w:rsidRPr="00000000" w14:paraId="0000011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classification TNM du cancer du pancréas est utilisée pour caractériser les tumeurs</w:t>
            </w:r>
          </w:p>
          <w:p w:rsidR="00000000" w:rsidDel="00000000" w:rsidP="00000000" w:rsidRDefault="00000000" w:rsidRPr="00000000" w14:paraId="0000011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fonction de leur taille (T), de l'extension ganglionnaire locale et régionale (N) et de la</w:t>
            </w:r>
          </w:p>
          <w:p w:rsidR="00000000" w:rsidDel="00000000" w:rsidP="00000000" w:rsidRDefault="00000000" w:rsidRPr="00000000" w14:paraId="000001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présence de métastases (M). </w:t>
            </w:r>
          </w:p>
          <w:p w:rsidR="00000000" w:rsidDel="00000000" w:rsidP="00000000" w:rsidRDefault="00000000" w:rsidRPr="00000000" w14:paraId="0000011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8e édition de cette classification a été publiée par l'American Joint Committee on Cancer (AJCC) et par l’Union for International Cancer Control (UICC) en 2017.</w:t>
            </w:r>
          </w:p>
          <w:p w:rsidR="00000000" w:rsidDel="00000000" w:rsidP="00000000" w:rsidRDefault="00000000" w:rsidRPr="00000000" w14:paraId="0000011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détermination du stade peut être clinique (cTNM) en se basant sur les</w:t>
            </w:r>
          </w:p>
          <w:p w:rsidR="00000000" w:rsidDel="00000000" w:rsidP="00000000" w:rsidRDefault="00000000" w:rsidRPr="00000000" w14:paraId="0000011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données pré-thérapeutiques (examen clinique, endoscopie, imagerie...) ou histopathologiques après l'analyse histologique de la pièce opératoire (pTNM). Elle permet</w:t>
            </w:r>
          </w:p>
          <w:p w:rsidR="00000000" w:rsidDel="00000000" w:rsidP="00000000" w:rsidRDefault="00000000" w:rsidRPr="00000000" w14:paraId="0000011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également de classer les tumeurs en différents stades, ce qui guide la prise en charge</w:t>
            </w:r>
          </w:p>
          <w:p w:rsidR="00000000" w:rsidDel="00000000" w:rsidP="00000000" w:rsidRDefault="00000000" w:rsidRPr="00000000" w14:paraId="0000011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thérapeutique. Toutefois, son utilisation en pratique clinique reste limitée car sans impact réel sur les décisions thérapeutiques.</w:t>
            </w:r>
          </w:p>
          <w:p w:rsidR="00000000" w:rsidDel="00000000" w:rsidP="00000000" w:rsidRDefault="00000000" w:rsidRPr="00000000" w14:paraId="00000118">
            <w:pPr>
              <w:numPr>
                <w:ilvl w:val="0"/>
                <w:numId w:val="23"/>
              </w:numPr>
              <w:spacing w:after="240" w:befor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Résécabilité (résécable, borderline, LAPC)</w:t>
            </w:r>
          </w:p>
          <w:p w:rsidR="00000000" w:rsidDel="00000000" w:rsidP="00000000" w:rsidRDefault="00000000" w:rsidRPr="00000000" w14:paraId="0000011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 Critères NCCN</w:t>
            </w:r>
          </w:p>
          <w:p w:rsidR="00000000" w:rsidDel="00000000" w:rsidP="00000000" w:rsidRDefault="00000000" w:rsidRPr="00000000" w14:paraId="0000011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L'évaluation de la résécabilité du cancer du pancréas repose sur une expertise radiologique à partir d'une tomodensitométrie de qualité.</w:t>
            </w:r>
          </w:p>
          <w:p w:rsidR="00000000" w:rsidDel="00000000" w:rsidP="00000000" w:rsidRDefault="00000000" w:rsidRPr="00000000" w14:paraId="0000011B">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Insérer les critères d’un scanner de qualité pour évaluer le PDAC </w:t>
            </w:r>
          </w:p>
          <w:p w:rsidR="00000000" w:rsidDel="00000000" w:rsidP="00000000" w:rsidRDefault="00000000" w:rsidRPr="00000000" w14:paraId="0000011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Cette évaluation permet de déterminer l'approche thérapeutique, qu'elle soit médicale ou chirurgicale. </w:t>
            </w:r>
          </w:p>
          <w:p w:rsidR="00000000" w:rsidDel="00000000" w:rsidP="00000000" w:rsidRDefault="00000000" w:rsidRPr="00000000" w14:paraId="0000011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Différentes classifications ont été proposées pour définir la résécabilité du cancer du pancréas en se basant sur l'analyse du contact de la tumeur avec les structures vasculaires adjacentes. La classification du National Comprehensive Cancer Network (NCCN) est la plus couramment utilisée. Elle divise les tumeurs en trois catégories : résécables d'emblée, borderline ou localement avancées.</w:t>
            </w:r>
          </w:p>
          <w:p w:rsidR="00000000" w:rsidDel="00000000" w:rsidP="00000000" w:rsidRDefault="00000000" w:rsidRPr="00000000" w14:paraId="0000011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Cette évaluation est basée sur la présence ou l'absence d'un contact tumoral avec les vaisseaux mésentérico-porte et les artères mésentériquessupérieures(AMS) ou tronc coe-</w:t>
            </w:r>
          </w:p>
          <w:p w:rsidR="00000000" w:rsidDel="00000000" w:rsidP="00000000" w:rsidRDefault="00000000" w:rsidRPr="00000000" w14:paraId="0000011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liaque (TC), ainsi que sur la quantification de ce contact.</w:t>
            </w:r>
          </w:p>
          <w:p w:rsidR="00000000" w:rsidDel="00000000" w:rsidP="00000000" w:rsidRDefault="00000000" w:rsidRPr="00000000" w14:paraId="0000012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Je dois détailler cette partie +++ </w:t>
            </w:r>
          </w:p>
          <w:p w:rsidR="00000000" w:rsidDel="00000000" w:rsidP="00000000" w:rsidRDefault="00000000" w:rsidRPr="00000000" w14:paraId="0000012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2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3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4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5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6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7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8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2">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3">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4">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5">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6">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7">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8">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9">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C">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D">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E">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9F">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A0">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A1">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A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A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ASPECT CLINIQUE DU CANCER DU PANCREAS</w:t>
            </w:r>
          </w:p>
          <w:p w:rsidR="00000000" w:rsidDel="00000000" w:rsidP="00000000" w:rsidRDefault="00000000" w:rsidRPr="00000000" w14:paraId="000001A4">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A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Mode de découverte</w:t>
            </w:r>
          </w:p>
          <w:p w:rsidR="00000000" w:rsidDel="00000000" w:rsidP="00000000" w:rsidRDefault="00000000" w:rsidRPr="00000000" w14:paraId="000001A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cancer du pancréas est souvent diagnostiqué à des stades avancés, avec environ  80% des patients présentant une tumeur non résécable ou métastatique au moment du dia-</w:t>
            </w:r>
          </w:p>
          <w:p w:rsidR="00000000" w:rsidDel="00000000" w:rsidP="00000000" w:rsidRDefault="00000000" w:rsidRPr="00000000" w14:paraId="000001A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gnostic.</w:t>
            </w:r>
          </w:p>
          <w:p w:rsidR="00000000" w:rsidDel="00000000" w:rsidP="00000000" w:rsidRDefault="00000000" w:rsidRPr="00000000" w14:paraId="000001A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symptômes cliniques sont généralement non spécifiques et sont principalement</w:t>
            </w:r>
          </w:p>
          <w:p w:rsidR="00000000" w:rsidDel="00000000" w:rsidP="00000000" w:rsidRDefault="00000000" w:rsidRPr="00000000" w14:paraId="000001A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caractérisés par une altération de l'état général. Ils varient en fonction de la localisation de la</w:t>
            </w:r>
          </w:p>
          <w:p w:rsidR="00000000" w:rsidDel="00000000" w:rsidP="00000000" w:rsidRDefault="00000000" w:rsidRPr="00000000" w14:paraId="000001A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tumeur dans le pancréas et de son stade.</w:t>
            </w:r>
          </w:p>
          <w:p w:rsidR="00000000" w:rsidDel="00000000" w:rsidP="00000000" w:rsidRDefault="00000000" w:rsidRPr="00000000" w14:paraId="000001A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L'ictère, causé par une obstruction des voies biliaires, est un symptôme précoce courant dans les cancers de la tête du pancréas, tandis que les cancers du corps et de la queue sont souvent diagnostiqués à un stade avancé. </w:t>
            </w:r>
          </w:p>
          <w:p w:rsidR="00000000" w:rsidDel="00000000" w:rsidP="00000000" w:rsidRDefault="00000000" w:rsidRPr="00000000" w14:paraId="000001A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Dans le cas des cancers de la tête du pancréas, il peut également y avoir une présence de stéatorrhée en raison de l'insuffisance pancréatique exocrine causée par l'obstruction du canal de Wirsung.</w:t>
            </w:r>
          </w:p>
          <w:p w:rsidR="00000000" w:rsidDel="00000000" w:rsidP="00000000" w:rsidRDefault="00000000" w:rsidRPr="00000000" w14:paraId="000001A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D'autres symptômes tels que la découverte ou l'aggravation d'un diabète, des douleurs abdominales ou une pancréatite aiguë peuvent également être des signes révélateurs d'un cancer du pancréas.</w:t>
            </w:r>
          </w:p>
          <w:p w:rsidR="00000000" w:rsidDel="00000000" w:rsidP="00000000" w:rsidRDefault="00000000" w:rsidRPr="00000000" w14:paraId="000001A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A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Facteurs pronostics</w:t>
            </w:r>
          </w:p>
          <w:p w:rsidR="00000000" w:rsidDel="00000000" w:rsidP="00000000" w:rsidRDefault="00000000" w:rsidRPr="00000000" w14:paraId="000001B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Plusieurs facteurs pronostiques ont été identifiés comme prédictifs de la survie des</w:t>
            </w:r>
          </w:p>
          <w:p w:rsidR="00000000" w:rsidDel="00000000" w:rsidP="00000000" w:rsidRDefault="00000000" w:rsidRPr="00000000" w14:paraId="000001B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patients atteints de cancer du pancréas.</w:t>
            </w:r>
          </w:p>
          <w:p w:rsidR="00000000" w:rsidDel="00000000" w:rsidP="00000000" w:rsidRDefault="00000000" w:rsidRPr="00000000" w14:paraId="000001B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Stade de la maladie et résécabilité : Le stade du cancer du pancréas est l'un des</w:t>
            </w:r>
          </w:p>
          <w:p w:rsidR="00000000" w:rsidDel="00000000" w:rsidP="00000000" w:rsidRDefault="00000000" w:rsidRPr="00000000" w14:paraId="000001B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facteurs les plus importants pour évaluer le pronostic. Les stades plus précoces ont généralement de meilleures perspectives de survie. </w:t>
            </w:r>
          </w:p>
          <w:p w:rsidR="00000000" w:rsidDel="00000000" w:rsidP="00000000" w:rsidRDefault="00000000" w:rsidRPr="00000000" w14:paraId="000001B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possibilité de retirer chirurgicalement la tumeur est aussi un facteur crucial. </w:t>
            </w:r>
          </w:p>
          <w:p w:rsidR="00000000" w:rsidDel="00000000" w:rsidP="00000000" w:rsidRDefault="00000000" w:rsidRPr="00000000" w14:paraId="000001B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tumeurs résécables, c'est-à-dire</w:t>
            </w:r>
          </w:p>
          <w:p w:rsidR="00000000" w:rsidDel="00000000" w:rsidP="00000000" w:rsidRDefault="00000000" w:rsidRPr="00000000" w14:paraId="000001B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celles qui peuvent être complètement enlevées, ont généralement de meilleures perspectives de survie.</w:t>
            </w:r>
          </w:p>
          <w:p w:rsidR="00000000" w:rsidDel="00000000" w:rsidP="00000000" w:rsidRDefault="00000000" w:rsidRPr="00000000" w14:paraId="000001B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B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Facteurs histologiques : Le grade histologique du cancer du pancréas fait référence à</w:t>
            </w:r>
          </w:p>
          <w:p w:rsidR="00000000" w:rsidDel="00000000" w:rsidP="00000000" w:rsidRDefault="00000000" w:rsidRPr="00000000" w14:paraId="000001B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l'apparence des cellules cancéreuses au microscope et à leur degré de différenciation.</w:t>
            </w:r>
          </w:p>
          <w:p w:rsidR="00000000" w:rsidDel="00000000" w:rsidP="00000000" w:rsidRDefault="00000000" w:rsidRPr="00000000" w14:paraId="000001B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 grade élevé indique des cellules plus anormales et souvent une agressivité accrue</w:t>
            </w:r>
          </w:p>
          <w:p w:rsidR="00000000" w:rsidDel="00000000" w:rsidP="00000000" w:rsidRDefault="00000000" w:rsidRPr="00000000" w14:paraId="000001B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 la tumeur. De plus, l’atteinte ganglionnaire (N+) est un autre facteur pronostique</w:t>
            </w:r>
          </w:p>
          <w:p w:rsidR="00000000" w:rsidDel="00000000" w:rsidP="00000000" w:rsidRDefault="00000000" w:rsidRPr="00000000" w14:paraId="000001B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important notamment le ratio ganglions envahis/ganglions prélevés. Enfin, la</w:t>
            </w:r>
          </w:p>
          <w:p w:rsidR="00000000" w:rsidDel="00000000" w:rsidP="00000000" w:rsidRDefault="00000000" w:rsidRPr="00000000" w14:paraId="000001B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résection en marge positive (R1) et l’envahissement périnerveux (Pn+) et les emboles vasculaires ou lymphatiques (V+) sont associées à une réduction significative de la sur-</w:t>
            </w:r>
          </w:p>
          <w:p w:rsidR="00000000" w:rsidDel="00000000" w:rsidP="00000000" w:rsidRDefault="00000000" w:rsidRPr="00000000" w14:paraId="000001B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vie.</w:t>
            </w:r>
          </w:p>
          <w:p w:rsidR="00000000" w:rsidDel="00000000" w:rsidP="00000000" w:rsidRDefault="00000000" w:rsidRPr="00000000" w14:paraId="000001BF">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État général de santé (Performans status): L'état général de santé du patient, y compris</w:t>
            </w:r>
          </w:p>
          <w:p w:rsidR="00000000" w:rsidDel="00000000" w:rsidP="00000000" w:rsidRDefault="00000000" w:rsidRPr="00000000" w14:paraId="000001C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son état nutritionnel et sa capacité à tolérer les traitements, peut également avoir un</w:t>
            </w:r>
          </w:p>
          <w:p w:rsidR="00000000" w:rsidDel="00000000" w:rsidP="00000000" w:rsidRDefault="00000000" w:rsidRPr="00000000" w14:paraId="000001C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impact sur le pronostic.</w:t>
            </w:r>
          </w:p>
          <w:p w:rsidR="00000000" w:rsidDel="00000000" w:rsidP="00000000" w:rsidRDefault="00000000" w:rsidRPr="00000000" w14:paraId="000001C3">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Âge : Bien que l'âge lui-même ne détermine pas directement le pronostic, il peut in-</w:t>
            </w:r>
          </w:p>
          <w:p w:rsidR="00000000" w:rsidDel="00000000" w:rsidP="00000000" w:rsidRDefault="00000000" w:rsidRPr="00000000" w14:paraId="000001C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fluencer la capacité à tolérer certains traitements et les complications associées à la chirurgie.</w:t>
            </w:r>
          </w:p>
          <w:p w:rsidR="00000000" w:rsidDel="00000000" w:rsidP="00000000" w:rsidRDefault="00000000" w:rsidRPr="00000000" w14:paraId="000001C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C7">
            <w:pPr>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5. CA19-9 :</w:t>
            </w:r>
            <w:r w:rsidDel="00000000" w:rsidR="00000000" w:rsidRPr="00000000">
              <w:rPr>
                <w:rFonts w:ascii="Calibri" w:cs="Calibri" w:eastAsia="Calibri" w:hAnsi="Calibri"/>
                <w:b w:val="1"/>
                <w:bCs w:val="1"/>
                <w:highlight w:val="white"/>
                <w:rtl w:val="0"/>
              </w:rPr>
              <w:t xml:space="preserve"> Le taux préopératoire de CA19-9 est associé à la survie des patients</w:t>
            </w:r>
          </w:p>
          <w:p w:rsidR="00000000" w:rsidDel="00000000" w:rsidP="00000000" w:rsidRDefault="00000000" w:rsidRPr="00000000" w14:paraId="000001C8">
            <w:pP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ayant subi une résection chirurgicale du cancer du pancréas, et un taux de plus de 100-200 UI/mL est considéré comme révélateur d’une maladie micrométastatique.</w:t>
            </w:r>
            <w:r w:rsidDel="00000000" w:rsidR="00000000" w:rsidRPr="00000000">
              <w:rPr>
                <w:rFonts w:ascii="Calibri" w:cs="Calibri" w:eastAsia="Calibri" w:hAnsi="Calibri"/>
                <w:highlight w:val="white"/>
                <w:rtl w:val="0"/>
              </w:rPr>
              <w:t xml:space="preserve"> Chez les patients dont la tumeur est non résécable, le taux de CA19-9 est également un</w:t>
            </w:r>
          </w:p>
          <w:p w:rsidR="00000000" w:rsidDel="00000000" w:rsidP="00000000" w:rsidRDefault="00000000" w:rsidRPr="00000000" w14:paraId="000001C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facteur prédictif de survie.</w:t>
            </w:r>
          </w:p>
          <w:p w:rsidR="00000000" w:rsidDel="00000000" w:rsidP="00000000" w:rsidRDefault="00000000" w:rsidRPr="00000000" w14:paraId="000001CA">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B">
            <w:pPr>
              <w:rPr>
                <w:rFonts w:ascii="Calibri" w:cs="Calibri" w:eastAsia="Calibri" w:hAnsi="Calibri"/>
                <w:b w:val="1"/>
                <w:bCs w:val="1"/>
                <w:highlight w:val="white"/>
              </w:rPr>
            </w:pPr>
            <w:r w:rsidDel="00000000" w:rsidR="00000000" w:rsidRPr="00000000">
              <w:rPr>
                <w:rtl w:val="0"/>
              </w:rPr>
            </w:r>
          </w:p>
          <w:p w:rsidR="00000000" w:rsidDel="00000000" w:rsidP="00000000" w:rsidRDefault="00000000" w:rsidRPr="00000000" w14:paraId="000001CC">
            <w:pPr>
              <w:spacing w:after="240" w:before="24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STRATEGIES THERAPEUTIQUES DU PDAC </w:t>
            </w:r>
          </w:p>
          <w:p w:rsidR="00000000" w:rsidDel="00000000" w:rsidP="00000000" w:rsidRDefault="00000000" w:rsidRPr="00000000" w14:paraId="000001CD">
            <w:pPr>
              <w:numPr>
                <w:ilvl w:val="0"/>
                <w:numId w:val="18"/>
              </w:numPr>
              <w:spacing w:after="0" w:afterAutospacing="0" w:before="24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Principes généraux : </w:t>
            </w:r>
          </w:p>
          <w:p w:rsidR="00000000" w:rsidDel="00000000" w:rsidP="00000000" w:rsidRDefault="00000000" w:rsidRPr="00000000" w14:paraId="000001CE">
            <w:pPr>
              <w:numPr>
                <w:ilvl w:val="0"/>
                <w:numId w:val="2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Chirurgie</w:t>
            </w:r>
          </w:p>
          <w:p w:rsidR="00000000" w:rsidDel="00000000" w:rsidP="00000000" w:rsidRDefault="00000000" w:rsidRPr="00000000" w14:paraId="000001CF">
            <w:pPr>
              <w:numPr>
                <w:ilvl w:val="0"/>
                <w:numId w:val="25"/>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Traitements systémiques </w:t>
            </w:r>
          </w:p>
          <w:p w:rsidR="00000000" w:rsidDel="00000000" w:rsidP="00000000" w:rsidRDefault="00000000" w:rsidRPr="00000000" w14:paraId="000001D0">
            <w:pPr>
              <w:numPr>
                <w:ilvl w:val="0"/>
                <w:numId w:val="18"/>
              </w:numPr>
              <w:spacing w:after="0" w:afterAutospacing="0" w:before="0" w:beforeAutospacing="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Prise en charge selon le stade : </w:t>
            </w:r>
          </w:p>
          <w:p w:rsidR="00000000" w:rsidDel="00000000" w:rsidP="00000000" w:rsidRDefault="00000000" w:rsidRPr="00000000" w14:paraId="000001D1">
            <w:pPr>
              <w:numPr>
                <w:ilvl w:val="0"/>
                <w:numId w:val="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PDAC résécable</w:t>
            </w:r>
          </w:p>
          <w:p w:rsidR="00000000" w:rsidDel="00000000" w:rsidP="00000000" w:rsidRDefault="00000000" w:rsidRPr="00000000" w14:paraId="000001D2">
            <w:pPr>
              <w:numPr>
                <w:ilvl w:val="0"/>
                <w:numId w:val="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PDAC borderline</w:t>
            </w:r>
          </w:p>
          <w:p w:rsidR="00000000" w:rsidDel="00000000" w:rsidP="00000000" w:rsidRDefault="00000000" w:rsidRPr="00000000" w14:paraId="000001D3">
            <w:pPr>
              <w:numPr>
                <w:ilvl w:val="0"/>
                <w:numId w:val="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PDAC localement avancé</w:t>
            </w:r>
          </w:p>
          <w:p w:rsidR="00000000" w:rsidDel="00000000" w:rsidP="00000000" w:rsidRDefault="00000000" w:rsidRPr="00000000" w14:paraId="000001D4">
            <w:pPr>
              <w:numPr>
                <w:ilvl w:val="0"/>
                <w:numId w:val="2"/>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 PDAC métastatique</w:t>
            </w:r>
          </w:p>
          <w:p w:rsidR="00000000" w:rsidDel="00000000" w:rsidP="00000000" w:rsidRDefault="00000000" w:rsidRPr="00000000" w14:paraId="000001D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II. STRATEGIES THERAPEUTIQUES</w:t>
            </w:r>
          </w:p>
          <w:p w:rsidR="00000000" w:rsidDel="00000000" w:rsidP="00000000" w:rsidRDefault="00000000" w:rsidRPr="00000000" w14:paraId="000001D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D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 TRAITEMENTS STANDARDS DES PATIENTS AVEC UN PDAC</w:t>
            </w:r>
          </w:p>
          <w:p w:rsidR="00000000" w:rsidDel="00000000" w:rsidP="00000000" w:rsidRDefault="00000000" w:rsidRPr="00000000" w14:paraId="000001D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1. Traitements systémiques : </w:t>
            </w:r>
          </w:p>
          <w:p w:rsidR="00000000" w:rsidDel="00000000" w:rsidP="00000000" w:rsidRDefault="00000000" w:rsidRPr="00000000" w14:paraId="000001D9">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D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chimiothérapies</w:t>
            </w:r>
          </w:p>
          <w:p w:rsidR="00000000" w:rsidDel="00000000" w:rsidP="00000000" w:rsidRDefault="00000000" w:rsidRPr="00000000" w14:paraId="000001D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Plusieurs molécules de chimiothérapie sont utilisées à différents stades de la maladie.</w:t>
            </w:r>
          </w:p>
          <w:p w:rsidR="00000000" w:rsidDel="00000000" w:rsidP="00000000" w:rsidRDefault="00000000" w:rsidRPr="00000000" w14:paraId="000001D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Ces molécules peuvent être administrées en situation adjuvante (après la chirurgie pour diminuer le risque de récidive), en situation néoadjuvante/d’induction (pour réduire la taille de la tumeur notamment), ou en situation palliative pour soulager les symptômes et ralentir la progression de la maladie. L’objectif de ces traitements est de détruire ou de diminuer la multiplication des cellules tumorales.</w:t>
            </w:r>
          </w:p>
          <w:p w:rsidR="00000000" w:rsidDel="00000000" w:rsidP="00000000" w:rsidRDefault="00000000" w:rsidRPr="00000000" w14:paraId="000001D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D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 Les molécules</w:t>
            </w:r>
          </w:p>
          <w:p w:rsidR="00000000" w:rsidDel="00000000" w:rsidP="00000000" w:rsidRDefault="00000000" w:rsidRPr="00000000" w14:paraId="000001D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5-Fluorouracile (5-FU) :</w:t>
            </w:r>
          </w:p>
          <w:p w:rsidR="00000000" w:rsidDel="00000000" w:rsidP="00000000" w:rsidRDefault="00000000" w:rsidRPr="00000000" w14:paraId="000001E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5-FU est une molécule de la famille des antimétabolites. Son mécanisme d'action</w:t>
            </w:r>
          </w:p>
          <w:p w:rsidR="00000000" w:rsidDel="00000000" w:rsidP="00000000" w:rsidRDefault="00000000" w:rsidRPr="00000000" w14:paraId="000001E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consiste à bloquer la méthylation de l'uracile en thymine, inhibant ainsi l'activité de la</w:t>
            </w:r>
          </w:p>
          <w:p w:rsidR="00000000" w:rsidDel="00000000" w:rsidP="00000000" w:rsidRDefault="00000000" w:rsidRPr="00000000" w14:paraId="000001E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thymidilate synthétase et entraînant une inhibition de la synthèse de l'ADN. Il peut être</w:t>
            </w:r>
          </w:p>
          <w:p w:rsidR="00000000" w:rsidDel="00000000" w:rsidP="00000000" w:rsidRDefault="00000000" w:rsidRPr="00000000" w14:paraId="000001E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administré par voie intraveineuse ou orale, cette dernière sous forme d'un précurseur appelé</w:t>
            </w:r>
          </w:p>
          <w:p w:rsidR="00000000" w:rsidDel="00000000" w:rsidP="00000000" w:rsidRDefault="00000000" w:rsidRPr="00000000" w14:paraId="000001E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capécitabine.</w:t>
            </w:r>
          </w:p>
          <w:p w:rsidR="00000000" w:rsidDel="00000000" w:rsidP="00000000" w:rsidRDefault="00000000" w:rsidRPr="00000000" w14:paraId="000001E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E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Gemcitabine :</w:t>
            </w:r>
          </w:p>
          <w:p w:rsidR="00000000" w:rsidDel="00000000" w:rsidP="00000000" w:rsidRDefault="00000000" w:rsidRPr="00000000" w14:paraId="000001E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gemcitabine est un médicament de la classe des antimétabolites.</w:t>
            </w:r>
          </w:p>
          <w:p w:rsidR="00000000" w:rsidDel="00000000" w:rsidP="00000000" w:rsidRDefault="00000000" w:rsidRPr="00000000" w14:paraId="000001E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Après son entrée dans les cellules tumorales par le biais de transporteurs membranaires, la gemcitabine est métabolisée par des kinases nucléosidiques en nucléotides di- et triphosphate alors incorporés dans l'ADN, ce qui inhibe l'élongation de l'ADN. Ils bloquent également la synthèse des désoxyribonucléotides en inhibant la ribonucléase réductase. </w:t>
            </w:r>
          </w:p>
          <w:p w:rsidR="00000000" w:rsidDel="00000000" w:rsidP="00000000" w:rsidRDefault="00000000" w:rsidRPr="00000000" w14:paraId="000001E9">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A changer par des études que je connais</w:t>
            </w:r>
          </w:p>
          <w:p w:rsidR="00000000" w:rsidDel="00000000" w:rsidP="00000000" w:rsidRDefault="00000000" w:rsidRPr="00000000" w14:paraId="000001E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E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résultats du premier essai évaluant l'efficacité de la gemcitabine dans le traitement du cancer du pancréas ont été publiés en 1997. Burris et al. (102) ont comparé les bénéfices cliniques et la survie des patients atteints d'un cancer du pancréas localement avancé ou métastatique traités par gemcitabine ou 5-FU. Les auteurs ont démontré une amélioration significative du bénéfice clinique (23% vs 5%, p=0,0022) et de la médiane de survie (5,6 mois vs 4,4 mois, p=0,0025) en faveur de la gemcitabine.</w:t>
            </w:r>
          </w:p>
          <w:p w:rsidR="00000000" w:rsidDel="00000000" w:rsidP="00000000" w:rsidRDefault="00000000" w:rsidRPr="00000000" w14:paraId="000001EC">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E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Irinotecan : </w:t>
            </w:r>
          </w:p>
          <w:p w:rsidR="00000000" w:rsidDel="00000000" w:rsidP="00000000" w:rsidRDefault="00000000" w:rsidRPr="00000000" w14:paraId="000001E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E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L’irinotecan appartient à la classe des inhibiteurs de la topoisomérase I.</w:t>
            </w:r>
          </w:p>
          <w:p w:rsidR="00000000" w:rsidDel="00000000" w:rsidP="00000000" w:rsidRDefault="00000000" w:rsidRPr="00000000" w14:paraId="000001F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Son mécanisme d'action repose sur l'inhibition de l'enzyme topoisomérase I, impliquée dans le processus de réplication et de transcription de l'ADN. Lorsqu'il est administré, l'irinotecan est métabolisé dans le foie en une forme active appelée SN-38. </w:t>
            </w:r>
          </w:p>
          <w:p w:rsidR="00000000" w:rsidDel="00000000" w:rsidP="00000000" w:rsidRDefault="00000000" w:rsidRPr="00000000" w14:paraId="000001F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SN-38 se lie à l'ADN et empêche la topoisomérase I de dérouler correctement l'ADN lors de la réplication. </w:t>
            </w:r>
          </w:p>
          <w:p w:rsidR="00000000" w:rsidDel="00000000" w:rsidP="00000000" w:rsidRDefault="00000000" w:rsidRPr="00000000" w14:paraId="000001F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Cela entraîne des cassures dans la double hélice de l'ADN et interfère avec la division cellulaire, conduisant à la mort des cellules cancéreuses.</w:t>
            </w:r>
          </w:p>
          <w:p w:rsidR="00000000" w:rsidDel="00000000" w:rsidP="00000000" w:rsidRDefault="00000000" w:rsidRPr="00000000" w14:paraId="000001F3">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Oxaliplatine : </w:t>
            </w:r>
          </w:p>
          <w:p w:rsidR="00000000" w:rsidDel="00000000" w:rsidP="00000000" w:rsidRDefault="00000000" w:rsidRPr="00000000" w14:paraId="000001F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L’oxaliplatine appartient à la classe des agents alkylants. Lorsqu'il est administré,</w:t>
            </w:r>
          </w:p>
          <w:p w:rsidR="00000000" w:rsidDel="00000000" w:rsidP="00000000" w:rsidRDefault="00000000" w:rsidRPr="00000000" w14:paraId="000001F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l'oxaliplatine est converti en forme active dans l'organisme. Cette forme active se lie à l'ADN</w:t>
            </w:r>
          </w:p>
          <w:p w:rsidR="00000000" w:rsidDel="00000000" w:rsidP="00000000" w:rsidRDefault="00000000" w:rsidRPr="00000000" w14:paraId="000001F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et provoque des lésions de l'ADN, notamment des liaisons covalentes entre les brins d'ADN.</w:t>
            </w:r>
          </w:p>
          <w:p w:rsidR="00000000" w:rsidDel="00000000" w:rsidP="00000000" w:rsidRDefault="00000000" w:rsidRPr="00000000" w14:paraId="000001F8">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Ces liaisons covalentes de l'ADN interfèrent avec le processus de réplication de l'ADN et inhibent la synthèse de l'ARN, empêchant ainsi les cellules cancéreuses de se diviser. Les lésions de l'ADN induites par l'oxaliplatine activent également des mécanismes de réparation de l'ADN dans les cellules cancéreuses, ce qui entraîne un stress cellulaire et finalement la mort des cellules cancéreuses.</w:t>
            </w:r>
          </w:p>
          <w:p w:rsidR="00000000" w:rsidDel="00000000" w:rsidP="00000000" w:rsidRDefault="00000000" w:rsidRPr="00000000" w14:paraId="000001F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Nab-paclitaxel (101,103)</w:t>
            </w:r>
          </w:p>
          <w:p w:rsidR="00000000" w:rsidDel="00000000" w:rsidP="00000000" w:rsidRDefault="00000000" w:rsidRPr="00000000" w14:paraId="000001F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nab-paclitaxel (abraxane®), appartient à la famille des médicaments appelés</w:t>
            </w:r>
          </w:p>
          <w:p w:rsidR="00000000" w:rsidDel="00000000" w:rsidP="00000000" w:rsidRDefault="00000000" w:rsidRPr="00000000" w14:paraId="000001F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taxanes, qui sont des agents cytotoxiques utilisés dans le traitement du cancer. Les taxanes agissent en perturbant le fuseau mitotique, qui est essentiel pour la division cellulaire. Le mécanisme d'action du nab-paclitaxel repose sur sa capacité à cibler et à stabiliser les microtubules, qui sont des composants importants du fuseau mitotique. En facilitant l'assemblage des microtubules et en inhibant leur démontage, le nab-paclitaxel empêche les cellules cancéreuses de se diviser normalement et conduit à leur mort.</w:t>
            </w:r>
          </w:p>
          <w:p w:rsidR="00000000" w:rsidDel="00000000" w:rsidP="00000000" w:rsidRDefault="00000000" w:rsidRPr="00000000" w14:paraId="000001F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1F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caractéristique du nab-paclitaxel est sa formulation sous forme de nanoparticules d'albumine. Ces nanoparticules améliorent la solubilité du paclitaxel et augmentent sa biodisponibilité, éliminant ainsi le besoin d'utiliser des solvants. Les protéines d'albumine jouent un rôle clé dans cette formulation en facilitant la transcytose du paclitaxel à travers les cellules endothéliales tumorales via le récepteur gp60. Ce récepteur, présent à la surface des cellules endothéliales, permet au nab-paclitaxel d'atteindre la région tumorale en utilisant des cavéoles.</w:t>
            </w:r>
          </w:p>
          <w:p w:rsidR="00000000" w:rsidDel="00000000" w:rsidP="00000000" w:rsidRDefault="00000000" w:rsidRPr="00000000" w14:paraId="00000200">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ii) Les protocoles</w:t>
            </w:r>
          </w:p>
          <w:p w:rsidR="00000000" w:rsidDel="00000000" w:rsidP="00000000" w:rsidRDefault="00000000" w:rsidRPr="00000000" w14:paraId="0000020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FOLFIRINOX, qui comprend l’administration de 5-FU, leucovorin, oxaliplatine et irinotecan est administré toutes les deux semaines sur deux jours selon différents protocoles:</w:t>
            </w:r>
          </w:p>
          <w:p w:rsidR="00000000" w:rsidDel="00000000" w:rsidP="00000000" w:rsidRDefault="00000000" w:rsidRPr="00000000" w14:paraId="00000204">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Oxaliplatine 85 mg/m2 + </w:t>
            </w:r>
            <w:r w:rsidDel="00000000" w:rsidR="00000000" w:rsidRPr="00000000">
              <w:rPr>
                <w:rFonts w:ascii="Calibri" w:cs="Calibri" w:eastAsia="Calibri" w:hAnsi="Calibri"/>
                <w:b w:val="1"/>
                <w:bCs w:val="1"/>
                <w:highlight w:val="white"/>
                <w:rtl w:val="0"/>
              </w:rPr>
              <w:t xml:space="preserve">irinotécan 180 mg/m2</w:t>
            </w:r>
            <w:r w:rsidDel="00000000" w:rsidR="00000000" w:rsidRPr="00000000">
              <w:rPr>
                <w:rFonts w:ascii="Calibri" w:cs="Calibri" w:eastAsia="Calibri" w:hAnsi="Calibri"/>
                <w:highlight w:val="white"/>
                <w:rtl w:val="0"/>
              </w:rPr>
              <w:t xml:space="preserve"> + acide folinique 400 mg/m2 +</w:t>
            </w:r>
          </w:p>
          <w:p w:rsidR="00000000" w:rsidDel="00000000" w:rsidP="00000000" w:rsidRDefault="00000000" w:rsidRPr="00000000" w14:paraId="00000206">
            <w:pP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5-FU bolus 400 mg/m2 </w:t>
            </w:r>
            <w:r w:rsidDel="00000000" w:rsidR="00000000" w:rsidRPr="00000000">
              <w:rPr>
                <w:rFonts w:ascii="Calibri" w:cs="Calibri" w:eastAsia="Calibri" w:hAnsi="Calibri"/>
                <w:highlight w:val="white"/>
                <w:rtl w:val="0"/>
              </w:rPr>
              <w:t xml:space="preserve">+ 5-FU 2400 mg/m2 en perfusion continue </w:t>
            </w:r>
          </w:p>
          <w:p w:rsidR="00000000" w:rsidDel="00000000" w:rsidP="00000000" w:rsidRDefault="00000000" w:rsidRPr="00000000" w14:paraId="0000020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Oxaliplatine 85 mg/m2 + </w:t>
            </w:r>
            <w:r w:rsidDel="00000000" w:rsidR="00000000" w:rsidRPr="00000000">
              <w:rPr>
                <w:rFonts w:ascii="Calibri" w:cs="Calibri" w:eastAsia="Calibri" w:hAnsi="Calibri"/>
                <w:b w:val="1"/>
                <w:bCs w:val="1"/>
                <w:highlight w:val="white"/>
                <w:rtl w:val="0"/>
              </w:rPr>
              <w:t xml:space="preserve">irinotécan 150 mg/m2</w:t>
            </w:r>
            <w:r w:rsidDel="00000000" w:rsidR="00000000" w:rsidRPr="00000000">
              <w:rPr>
                <w:rFonts w:ascii="Calibri" w:cs="Calibri" w:eastAsia="Calibri" w:hAnsi="Calibri"/>
                <w:highlight w:val="white"/>
                <w:rtl w:val="0"/>
              </w:rPr>
              <w:t xml:space="preserve"> + acide folinique 400 mg/m2 + 5-FU 2400 mg/m2 en perfusion continue (FOLFIRINOX modifié ou mFOLFIRINOX) </w:t>
            </w:r>
          </w:p>
          <w:p w:rsidR="00000000" w:rsidDel="00000000" w:rsidP="00000000" w:rsidRDefault="00000000" w:rsidRPr="00000000" w14:paraId="00000209">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schéma Gemcitabine/Nab-palcitaxel est administré une fois par semaine pendant 3</w:t>
            </w:r>
          </w:p>
          <w:p w:rsidR="00000000" w:rsidDel="00000000" w:rsidP="00000000" w:rsidRDefault="00000000" w:rsidRPr="00000000" w14:paraId="0000020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semaines suivies d’une semaine de pause :</w:t>
            </w:r>
          </w:p>
          <w:p w:rsidR="00000000" w:rsidDel="00000000" w:rsidP="00000000" w:rsidRDefault="00000000" w:rsidRPr="00000000" w14:paraId="0000020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Gemcitabine 1000 mg/m2</w:t>
            </w:r>
          </w:p>
          <w:p w:rsidR="00000000" w:rsidDel="00000000" w:rsidP="00000000" w:rsidRDefault="00000000" w:rsidRPr="00000000" w14:paraId="0000020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Nab-paclitaxel : 125 mg/m2</w:t>
            </w:r>
          </w:p>
          <w:p w:rsidR="00000000" w:rsidDel="00000000" w:rsidP="00000000" w:rsidRDefault="00000000" w:rsidRPr="00000000" w14:paraId="0000020E">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0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5-FU administré seul (schéma LV5FU2) comporte acide folinique 400 mg/m2 + 5-FU bolus 400 mg/m2 + 5-FU 2400 mg/m2 en perfusion continue.</w:t>
            </w:r>
          </w:p>
          <w:p w:rsidR="00000000" w:rsidDel="00000000" w:rsidP="00000000" w:rsidRDefault="00000000" w:rsidRPr="00000000" w14:paraId="00000210">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2. Prise en charge aux stades localisés : </w:t>
            </w:r>
          </w:p>
          <w:p w:rsidR="00000000" w:rsidDel="00000000" w:rsidP="00000000" w:rsidRDefault="00000000" w:rsidRPr="00000000" w14:paraId="0000021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prise en charge chirurgicale du cancer du pancréas est souvent limitée en raison du</w:t>
            </w:r>
          </w:p>
          <w:p w:rsidR="00000000" w:rsidDel="00000000" w:rsidP="00000000" w:rsidRDefault="00000000" w:rsidRPr="00000000" w14:paraId="0000021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diagnostic tardif de la maladie, avec environ 80% des patients étant diagnostiqués à un stade avancé ou métastatique. </w:t>
            </w:r>
          </w:p>
          <w:p w:rsidR="00000000" w:rsidDel="00000000" w:rsidP="00000000" w:rsidRDefault="00000000" w:rsidRPr="00000000" w14:paraId="00000214">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1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chirurgie pancréatique est une procédure complexe qui requiert une expertise technique et oncologique. </w:t>
            </w:r>
          </w:p>
          <w:p w:rsidR="00000000" w:rsidDel="00000000" w:rsidP="00000000" w:rsidRDefault="00000000" w:rsidRPr="00000000" w14:paraId="0000021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taux de mortalité associé à cette intervention varie considérablement en fonction du volume du centre où elle est pratiquée.</w:t>
            </w:r>
          </w:p>
          <w:p w:rsidR="00000000" w:rsidDel="00000000" w:rsidP="00000000" w:rsidRDefault="00000000" w:rsidRPr="00000000" w14:paraId="0000021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Cependant, la résection chirurgicale associée à une chimiothérapie adjuvante offre les meilleures chances de survie, surtout lorsque la résection est complète.</w:t>
            </w:r>
          </w:p>
          <w:p w:rsidR="00000000" w:rsidDel="00000000" w:rsidP="00000000" w:rsidRDefault="00000000" w:rsidRPr="00000000" w14:paraId="0000021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Différents types de résections chirurgicales sont réalisées en fonction de la localisation</w:t>
            </w:r>
          </w:p>
          <w:p w:rsidR="00000000" w:rsidDel="00000000" w:rsidP="00000000" w:rsidRDefault="00000000" w:rsidRPr="00000000" w14:paraId="0000021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 la tumeur. </w:t>
            </w:r>
          </w:p>
          <w:p w:rsidR="00000000" w:rsidDel="00000000" w:rsidP="00000000" w:rsidRDefault="00000000" w:rsidRPr="00000000" w14:paraId="0000021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duodénopancréatectomie céphalique (DPC) est la résection la plus</w:t>
            </w:r>
          </w:p>
          <w:p w:rsidR="00000000" w:rsidDel="00000000" w:rsidP="00000000" w:rsidRDefault="00000000" w:rsidRPr="00000000" w14:paraId="0000021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couramment réalisée pour les tumeurs de la tête et de l'isthme du pancréas. Elle consiste en</w:t>
            </w:r>
          </w:p>
          <w:p w:rsidR="00000000" w:rsidDel="00000000" w:rsidP="00000000" w:rsidRDefault="00000000" w:rsidRPr="00000000" w14:paraId="0000021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l'ablation de la tête du pancréas, du duodénum, de l'estomac, de la première anse jéjunale,</w:t>
            </w:r>
          </w:p>
          <w:p w:rsidR="00000000" w:rsidDel="00000000" w:rsidP="00000000" w:rsidRDefault="00000000" w:rsidRPr="00000000" w14:paraId="0000021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 la vésicule biliaire et du canal cholédoque. Cette intervention est suivie d'un curage</w:t>
            </w:r>
          </w:p>
          <w:p w:rsidR="00000000" w:rsidDel="00000000" w:rsidP="00000000" w:rsidRDefault="00000000" w:rsidRPr="00000000" w14:paraId="0000021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ganglionnaire, et la résection complète des marges artérielle et veineuse est cruciale pour le</w:t>
            </w:r>
          </w:p>
          <w:p w:rsidR="00000000" w:rsidDel="00000000" w:rsidP="00000000" w:rsidRDefault="00000000" w:rsidRPr="00000000" w14:paraId="0000021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pronostic.</w:t>
            </w:r>
          </w:p>
          <w:p w:rsidR="00000000" w:rsidDel="00000000" w:rsidP="00000000" w:rsidRDefault="00000000" w:rsidRPr="00000000" w14:paraId="0000022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 La splénopancréatectomie gauche (SPG) est réalisée pour les tumeurs du</w:t>
            </w:r>
          </w:p>
          <w:p w:rsidR="00000000" w:rsidDel="00000000" w:rsidP="00000000" w:rsidRDefault="00000000" w:rsidRPr="00000000" w14:paraId="0000022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corps et de la queue du pancréas, emportant également la rate. Ce type de chirurgie est moins fréquent que la DPC (du fait du caractère tardif de découverte de ces tumeurs).</w:t>
            </w:r>
          </w:p>
          <w:p w:rsidR="00000000" w:rsidDel="00000000" w:rsidP="00000000" w:rsidRDefault="00000000" w:rsidRPr="00000000" w14:paraId="00000222">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Il est important de souligner que la chirurgie du cancer du pancréas n'est bénéfique</w:t>
            </w:r>
          </w:p>
          <w:p w:rsidR="00000000" w:rsidDel="00000000" w:rsidP="00000000" w:rsidRDefault="00000000" w:rsidRPr="00000000" w14:paraId="00000224">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que si la résection est complète (R0) sur le plan microscopique.</w:t>
            </w:r>
          </w:p>
          <w:p w:rsidR="00000000" w:rsidDel="00000000" w:rsidP="00000000" w:rsidRDefault="00000000" w:rsidRPr="00000000" w14:paraId="0000022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cas de résection microscopiquement (R1) ou macroscopiquement (R2) incomplète, la survie est généralement faible.</w:t>
            </w:r>
          </w:p>
          <w:p w:rsidR="00000000" w:rsidDel="00000000" w:rsidP="00000000" w:rsidRDefault="00000000" w:rsidRPr="00000000" w14:paraId="0000022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décision d'effectuer une chirurgie dépend de l'extension locale de la maladie, évaluée</w:t>
            </w:r>
          </w:p>
          <w:p w:rsidR="00000000" w:rsidDel="00000000" w:rsidP="00000000" w:rsidRDefault="00000000" w:rsidRPr="00000000" w14:paraId="0000022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selon la classification NCCN.</w:t>
            </w:r>
          </w:p>
          <w:p w:rsidR="00000000" w:rsidDel="00000000" w:rsidP="00000000" w:rsidRDefault="00000000" w:rsidRPr="00000000" w14:paraId="0000022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 vu de la morbi-mortalité de la chirurgie pancréatique, le</w:t>
            </w:r>
          </w:p>
          <w:p w:rsidR="00000000" w:rsidDel="00000000" w:rsidP="00000000" w:rsidRDefault="00000000" w:rsidRPr="00000000" w14:paraId="0000022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geste chirurgical n’est envisagé que si une résection complète (R0) peut être obtenue.</w:t>
            </w:r>
          </w:p>
          <w:p w:rsidR="00000000" w:rsidDel="00000000" w:rsidP="00000000" w:rsidRDefault="00000000" w:rsidRPr="00000000" w14:paraId="0000022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2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Une chimiothérapie adjuvante pendant une durée de 6 mois est recommandée pour</w:t>
            </w:r>
          </w:p>
          <w:p w:rsidR="00000000" w:rsidDel="00000000" w:rsidP="00000000" w:rsidRDefault="00000000" w:rsidRPr="00000000" w14:paraId="0000022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tous les patients après une résection d'un adénocarcinome pancréatique, indépendamment</w:t>
            </w:r>
          </w:p>
          <w:p w:rsidR="00000000" w:rsidDel="00000000" w:rsidP="00000000" w:rsidRDefault="00000000" w:rsidRPr="00000000" w14:paraId="0000023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 leur statut T (extension tumorale), N (envahissement ganglionnaire) et R (qualité de la</w:t>
            </w:r>
          </w:p>
          <w:p w:rsidR="00000000" w:rsidDel="00000000" w:rsidP="00000000" w:rsidRDefault="00000000" w:rsidRPr="00000000" w14:paraId="0000023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résection). Le schéma de chimiothérapie utilisé est le FOLFIRINOX modifié avec irinotecan à une dose de 150 mg/m2 (105). Toutefois, si un patient n'est pas éligible à ce traitement,</w:t>
            </w:r>
          </w:p>
          <w:p w:rsidR="00000000" w:rsidDel="00000000" w:rsidP="00000000" w:rsidRDefault="00000000" w:rsidRPr="00000000" w14:paraId="0000023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d'autres options peuvent être envisagées, telles que la gemcitabine, le 5-FU ou une</w:t>
            </w:r>
          </w:p>
          <w:p w:rsidR="00000000" w:rsidDel="00000000" w:rsidP="00000000" w:rsidRDefault="00000000" w:rsidRPr="00000000" w14:paraId="0000023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combinaison de gemcitabine et capécitabine. Le choix du traitement est évalué au cas par cas, en prenant en compte les caractéristiques individuelles du patient. Il est recommandé de débuter la chimiothérapie adjuvante dans les 3 mois suivant la chirurgie, si possible. La</w:t>
            </w:r>
          </w:p>
          <w:p w:rsidR="00000000" w:rsidDel="00000000" w:rsidP="00000000" w:rsidRDefault="00000000" w:rsidRPr="00000000" w14:paraId="0000023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stratégie thérapeutique est détaillée dans la Figure 16.</w:t>
            </w:r>
          </w:p>
          <w:p w:rsidR="00000000" w:rsidDel="00000000" w:rsidP="00000000" w:rsidRDefault="00000000" w:rsidRPr="00000000" w14:paraId="00000235">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3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 Stades borderline et localement avancés : </w:t>
            </w:r>
          </w:p>
          <w:p w:rsidR="00000000" w:rsidDel="00000000" w:rsidP="00000000" w:rsidRDefault="00000000" w:rsidRPr="00000000" w14:paraId="0000023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Pour les tumeurs borderlines et localement avancées, la chirurgie initiale n'est pas</w:t>
            </w:r>
          </w:p>
          <w:p w:rsidR="00000000" w:rsidDel="00000000" w:rsidP="00000000" w:rsidRDefault="00000000" w:rsidRPr="00000000" w14:paraId="0000023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recommandée en raison du risque élevé de résection incomplète. </w:t>
            </w:r>
          </w:p>
          <w:p w:rsidR="00000000" w:rsidDel="00000000" w:rsidP="00000000" w:rsidRDefault="00000000" w:rsidRPr="00000000" w14:paraId="0000023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Un traitement d'induction comprenant une chimiothérapie (par FOLFIRINOX modifié), éventuellement associée à une radiochimiothérapie complémentaire, peut augmenter les chances de réaliser une résection complète ultérieure, et des résultats prometteurs ont été obtenus avec cette approche</w:t>
            </w:r>
          </w:p>
          <w:p w:rsidR="00000000" w:rsidDel="00000000" w:rsidP="00000000" w:rsidRDefault="00000000" w:rsidRPr="00000000" w14:paraId="0000023A">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(74,75 : Neuzillet C, Gaujoux S, Williet N, Bachet JB, Bauguion L, Colson Durand L, et al. Pancreatic cancer: French clinical practice guidelines for diagnosis, treatment and follow-up (SNFGE, FFCD, GERCOR, UNICANCER, SFCD, SFED, SFRO, ACHBT, AFC). Dig Liver Dis. déc 2018;50(12):1257-71.</w:t>
            </w:r>
          </w:p>
          <w:p w:rsidR="00000000" w:rsidDel="00000000" w:rsidP="00000000" w:rsidRDefault="00000000" w:rsidRPr="00000000" w14:paraId="0000023B">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75. Tempero MA, Malafa MP, Al-Hawary M, Behrman SW, Benson AB, Cardin DB, et al. Pancreatic Adenocarcinoma, Version 2.2021, NCCN Clinical Practice Guidelines in Oncology. J Natl Compr Canc Netw. 1 avr 2021;19(4):439-57)</w:t>
            </w:r>
          </w:p>
          <w:p w:rsidR="00000000" w:rsidDel="00000000" w:rsidP="00000000" w:rsidRDefault="00000000" w:rsidRPr="00000000" w14:paraId="0000023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L’essai PANDAS est actuellement en cours, essai randomisé multicentrique de phase II,</w:t>
            </w:r>
          </w:p>
          <w:p w:rsidR="00000000" w:rsidDel="00000000" w:rsidP="00000000" w:rsidRDefault="00000000" w:rsidRPr="00000000" w14:paraId="0000023D">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qui vise à évaluer l’efficacité d’une chimiothérapie néoadjuvante par FOLFIRINOX modifié,</w:t>
            </w:r>
          </w:p>
          <w:p w:rsidR="00000000" w:rsidDel="00000000" w:rsidP="00000000" w:rsidRDefault="00000000" w:rsidRPr="00000000" w14:paraId="0000023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suivie ou non d’une radiochimiothérapie concomitante avant chirurgie d’un adénocarcinome</w:t>
            </w:r>
          </w:p>
          <w:p w:rsidR="00000000" w:rsidDel="00000000" w:rsidP="00000000" w:rsidRDefault="00000000" w:rsidRPr="00000000" w14:paraId="0000023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du pancréas borderline.</w:t>
            </w:r>
          </w:p>
          <w:p w:rsidR="00000000" w:rsidDel="00000000" w:rsidP="00000000" w:rsidRDefault="00000000" w:rsidRPr="00000000" w14:paraId="00000240">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Dans le cadre d’un adénocarcinome localement avancé, le standard est une</w:t>
            </w:r>
          </w:p>
          <w:p w:rsidR="00000000" w:rsidDel="00000000" w:rsidP="00000000" w:rsidRDefault="00000000" w:rsidRPr="00000000" w14:paraId="0000024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chimiothérapie première. Une chirurgie secondaire est possible seulement en cas de très</w:t>
            </w:r>
          </w:p>
          <w:p w:rsidR="00000000" w:rsidDel="00000000" w:rsidP="00000000" w:rsidRDefault="00000000" w:rsidRPr="00000000" w14:paraId="0000024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bonne réponse (clinique, imagerie, CA19-9), en l’absence d’apparition de métastases. </w:t>
            </w:r>
          </w:p>
          <w:p w:rsidR="00000000" w:rsidDel="00000000" w:rsidP="00000000" w:rsidRDefault="00000000" w:rsidRPr="00000000" w14:paraId="00000244">
            <w:pPr>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Une autre option est la réalisation d’une chimioradiothérapie avec capécitabine après au moins 4 mois de contrôle tumoral par chimiothérapie systémique. Le FOLFIRINOX est principalement utilisé en 1ère ligne des PDAC en pratique clinique, et l’essai de phase III NEOPAN a apporté de nouveaux arguments pour son utilisation, de par l'efficacité sur la survie sans progression, mais également </w:t>
            </w:r>
            <w:r w:rsidDel="00000000" w:rsidR="00000000" w:rsidRPr="00000000">
              <w:rPr>
                <w:rFonts w:ascii="Calibri" w:cs="Calibri" w:eastAsia="Calibri" w:hAnsi="Calibri"/>
                <w:b w:val="1"/>
                <w:bCs w:val="1"/>
                <w:highlight w:val="white"/>
                <w:rtl w:val="0"/>
              </w:rPr>
              <w:t xml:space="preserve">un profil de tolérance qui reste favorable (111).</w:t>
            </w:r>
            <w:r w:rsidDel="00000000" w:rsidR="00000000" w:rsidRPr="00000000">
              <w:rPr>
                <w:rFonts w:ascii="Calibri" w:cs="Calibri" w:eastAsia="Calibri" w:hAnsi="Calibri"/>
                <w:highlight w:val="white"/>
                <w:rtl w:val="0"/>
              </w:rPr>
              <w:t xml:space="preserve"> Bien qu'étant un critère secondaire, l'étude n'a malheureusement pas montré de différence significative sur la survie globale.</w:t>
            </w:r>
            <w:r w:rsidDel="00000000" w:rsidR="00000000" w:rsidRPr="00000000">
              <w:rPr>
                <w:rFonts w:ascii="Calibri" w:cs="Calibri" w:eastAsia="Calibri" w:hAnsi="Calibri"/>
                <w:b w:val="1"/>
                <w:bCs w:val="1"/>
                <w:highlight w:val="white"/>
                <w:rtl w:val="0"/>
              </w:rPr>
              <w:t xml:space="preserve"> En France, le FOLFIRINOX est à présent le standard pour les PDAC localement avancés.</w:t>
            </w:r>
          </w:p>
          <w:p w:rsidR="00000000" w:rsidDel="00000000" w:rsidP="00000000" w:rsidRDefault="00000000" w:rsidRPr="00000000" w14:paraId="0000024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stratégie thérapeutique est détaillée dans la Figure 16.</w:t>
            </w:r>
          </w:p>
          <w:p w:rsidR="00000000" w:rsidDel="00000000" w:rsidP="00000000" w:rsidRDefault="00000000" w:rsidRPr="00000000" w14:paraId="00000246">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7">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4. Stades métastatiques</w:t>
            </w:r>
          </w:p>
          <w:p w:rsidR="00000000" w:rsidDel="00000000" w:rsidP="00000000" w:rsidRDefault="00000000" w:rsidRPr="00000000" w14:paraId="0000024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 Première ligne : </w:t>
            </w:r>
          </w:p>
          <w:p w:rsidR="00000000" w:rsidDel="00000000" w:rsidP="00000000" w:rsidRDefault="00000000" w:rsidRPr="00000000" w14:paraId="0000024A">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première ligne au stade métastatique, deux standards sont validés, les protocoles</w:t>
            </w:r>
          </w:p>
          <w:p w:rsidR="00000000" w:rsidDel="00000000" w:rsidP="00000000" w:rsidRDefault="00000000" w:rsidRPr="00000000" w14:paraId="0000024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FOLFIRINOX et gemcitabine-Nab-paclitaxel.</w:t>
            </w:r>
          </w:p>
          <w:p w:rsidR="00000000" w:rsidDel="00000000" w:rsidP="00000000" w:rsidRDefault="00000000" w:rsidRPr="00000000" w14:paraId="0000024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4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FOLFIRINOX a été montré supérieur à la gemcitabine seule en 2011 dans l’essai</w:t>
            </w:r>
          </w:p>
          <w:p w:rsidR="00000000" w:rsidDel="00000000" w:rsidP="00000000" w:rsidRDefault="00000000" w:rsidRPr="00000000" w14:paraId="0000024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PRODIGE 4 : Le traitement à base de FOLFIRINOX a démontré une amélioration</w:t>
            </w:r>
          </w:p>
          <w:p w:rsidR="00000000" w:rsidDel="00000000" w:rsidP="00000000" w:rsidRDefault="00000000" w:rsidRPr="00000000" w14:paraId="00000250">
            <w:pPr>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significative de la survie globale (11,1 mois contre 6,8 mois), de la survie sans progression (6,4 mois contre 3,3 mois) et du taux de réponse (31,6 % contre 9,4 %) par rapport au traitement standard (gemcitabine). Dans le groupe traité avec le FOLFIRINOX, plus de patients ont eu une toxicité de grade 3-4 par rapport au groupe traité à la gemcitabine, avec plus de neutropénie (45,7 % vs 21 %), de neutropénie fébrile (5,4 % de vs 1,2% %), de thrombopénie (9,1 % vs 3,6 %), de neuropathie (9 % vs 0 %) et de diarrhées (12,7 % vs 1,8 %). Néanmoins, il n'y avait pas de différence en termes de qualité de vie entre les deux groupes. </w:t>
            </w:r>
            <w:r w:rsidDel="00000000" w:rsidR="00000000" w:rsidRPr="00000000">
              <w:rPr>
                <w:rFonts w:ascii="Calibri" w:cs="Calibri" w:eastAsia="Calibri" w:hAnsi="Calibri"/>
                <w:b w:val="1"/>
                <w:bCs w:val="1"/>
                <w:highlight w:val="white"/>
                <w:rtl w:val="0"/>
              </w:rPr>
              <w:t xml:space="preserve">Ainsi, cette étude a établi un nouveau standard de traitement pour les patients atteints de PDAC métastatique et en bon état général (OMS 0-1) avec une fonction hépatique adéquate (taux de bilirubine inférieur à 1,5 la normale).</w:t>
            </w:r>
          </w:p>
          <w:p w:rsidR="00000000" w:rsidDel="00000000" w:rsidP="00000000" w:rsidRDefault="00000000" w:rsidRPr="00000000" w14:paraId="00000251">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 ailleurs, l’efficacité du Nab-Paclitaxel associé à la gemcitabine chez les patients at-</w:t>
            </w:r>
          </w:p>
          <w:p w:rsidR="00000000" w:rsidDel="00000000" w:rsidP="00000000" w:rsidRDefault="00000000" w:rsidRPr="00000000" w14:paraId="0000025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teints de PDAC métastatique en première ligne, avec un stade OMS 0-1 a été comparé à la gemcitabine seule. La combinaison Nab-Paclitaxel a permis une amélioration significa-</w:t>
            </w:r>
          </w:p>
          <w:p w:rsidR="00000000" w:rsidDel="00000000" w:rsidP="00000000" w:rsidRDefault="00000000" w:rsidRPr="00000000" w14:paraId="0000025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tive de la survie globale (8,5 mois contre 6,7 mois), de la survie sans progression (5,5 mois contre 3,7 mois) et du taux de réponse (29 % contre 8 %) par rapport à la gemcitabine en</w:t>
            </w:r>
          </w:p>
          <w:p w:rsidR="00000000" w:rsidDel="00000000" w:rsidP="00000000" w:rsidRDefault="00000000" w:rsidRPr="00000000" w14:paraId="0000025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monothérapie. A l’heure actuelle, aucune autre étude de phase 3 n’a pu se positionner face à la gemcitabine, hormis la combinaison gemcitabine erlotinib (113), qui montrait un allongement significatif de la médiane de survie globale par rapport à la gemcitabine seule (6,7 mois vs 5,91 mois, p = 0,025). Néanmoins, compte tenu du très faible bénéfice de survie (15 jours) et de la supériorité du FOLFIRINOX, cette combinaison thérapeutique n’a jamais obtenu le remboursement en France.</w:t>
            </w:r>
          </w:p>
          <w:p w:rsidR="00000000" w:rsidDel="00000000" w:rsidP="00000000" w:rsidRDefault="00000000" w:rsidRPr="00000000" w14:paraId="00000256">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Récemment, le schéma à base de 5-FU, oxaliplatine et NALIRI (irinotecan liposomal),</w:t>
            </w:r>
          </w:p>
          <w:p w:rsidR="00000000" w:rsidDel="00000000" w:rsidP="00000000" w:rsidRDefault="00000000" w:rsidRPr="00000000" w14:paraId="0000025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nommé NALIRIFOX, a montré sa supériorité à la gemcitabine nabpaclitaxel (114). La survie</w:t>
            </w:r>
          </w:p>
          <w:p w:rsidR="00000000" w:rsidDel="00000000" w:rsidP="00000000" w:rsidRDefault="00000000" w:rsidRPr="00000000" w14:paraId="00000258">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globale médiane était de 11,1 mois dans le groupe NALIFIROX contre 9,2 mois dans le groupe</w:t>
            </w:r>
          </w:p>
          <w:p w:rsidR="00000000" w:rsidDel="00000000" w:rsidP="00000000" w:rsidRDefault="00000000" w:rsidRPr="00000000" w14:paraId="00000259">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Gem+Nabpaclitaxel; la survie sans progression était également significativement améliorée</w:t>
            </w:r>
          </w:p>
          <w:p w:rsidR="00000000" w:rsidDel="00000000" w:rsidP="00000000" w:rsidRDefault="00000000" w:rsidRPr="00000000" w14:paraId="0000025A">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(7,4 mois contre 5,6 mois). En l’absence de remboursement du NALIRI et en l’absence de</w:t>
            </w:r>
          </w:p>
          <w:p w:rsidR="00000000" w:rsidDel="00000000" w:rsidP="00000000" w:rsidRDefault="00000000" w:rsidRPr="00000000" w14:paraId="0000025B">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comparaison avec le FOLFIRINOX, le standard français reste le FOLFIRINOX en 1ère ligne.</w:t>
            </w:r>
          </w:p>
          <w:p w:rsidR="00000000" w:rsidDel="00000000" w:rsidP="00000000" w:rsidRDefault="00000000" w:rsidRPr="00000000" w14:paraId="0000025C">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ii) Maintenance : </w:t>
            </w:r>
          </w:p>
          <w:p w:rsidR="00000000" w:rsidDel="00000000" w:rsidP="00000000" w:rsidRDefault="00000000" w:rsidRPr="00000000" w14:paraId="0000025D">
            <w:pPr>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5E">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Les stratégies de maintenance (allègement du FOLFIRINOX pour améliorer la tolérance</w:t>
            </w:r>
          </w:p>
          <w:p w:rsidR="00000000" w:rsidDel="00000000" w:rsidP="00000000" w:rsidRDefault="00000000" w:rsidRPr="00000000" w14:paraId="0000025F">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du traitement et diminuer/contrôler les toxicités notamment la neuropathie cumulative de</w:t>
            </w:r>
          </w:p>
          <w:p w:rsidR="00000000" w:rsidDel="00000000" w:rsidP="00000000" w:rsidRDefault="00000000" w:rsidRPr="00000000" w14:paraId="00000260">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l’oxaliplatine) après une période de contrôle tumoral, restent à préciser. L’arrêt de</w:t>
            </w:r>
          </w:p>
          <w:p w:rsidR="00000000" w:rsidDel="00000000" w:rsidP="00000000" w:rsidRDefault="00000000" w:rsidRPr="00000000" w14:paraId="00000261">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l’oxaliplatine est dans tous les cas indispensable en cas de neuropathie et cet arrêt se fait en</w:t>
            </w:r>
          </w:p>
          <w:p w:rsidR="00000000" w:rsidDel="00000000" w:rsidP="00000000" w:rsidRDefault="00000000" w:rsidRPr="00000000" w14:paraId="00000262">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général après 8 à 12 cures d’oxaliplatine.</w:t>
            </w:r>
          </w:p>
          <w:p w:rsidR="00000000" w:rsidDel="00000000" w:rsidP="00000000" w:rsidRDefault="00000000" w:rsidRPr="00000000" w14:paraId="00000263">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maintenance post-FOLFIRINOX dépend également de la présence ou non d’une</w:t>
            </w:r>
          </w:p>
          <w:p w:rsidR="00000000" w:rsidDel="00000000" w:rsidP="00000000" w:rsidRDefault="00000000" w:rsidRPr="00000000" w14:paraId="00000264">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altération de BRCA1/2. En cas de mutation germinale de BRCA1/2, il est à présent</w:t>
            </w:r>
          </w:p>
          <w:p w:rsidR="00000000" w:rsidDel="00000000" w:rsidP="00000000" w:rsidRDefault="00000000" w:rsidRPr="00000000" w14:paraId="00000265">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recommandé de donner de l’Olaparib (inhibiteur de PARP). </w:t>
            </w:r>
          </w:p>
          <w:p w:rsidR="00000000" w:rsidDel="00000000" w:rsidP="00000000" w:rsidRDefault="00000000" w:rsidRPr="00000000" w14:paraId="00000266">
            <w:pPr>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En effet, l’essai POLO (115), étude randomisée en double aveugle contre placebo de phase III, a comparé l’efficacité de l’olaparib en traitement d’entretien, chez des patients mutés BRCA1 ou 2, dans le cancer du pancréas métastatique, sans progression durant la première ligne de chimiothérapie à base de sels de platine (au moins 16 semaines). Cet essai a montré la supériorité de l’olaparib sur la survie sans progression (7,4 vs. 3,8 mois) et permis l’obtention d’une autorisation de mise sur le marché (AMM).</w:t>
            </w:r>
          </w:p>
          <w:p w:rsidR="00000000" w:rsidDel="00000000" w:rsidP="00000000" w:rsidRDefault="00000000" w:rsidRPr="00000000" w14:paraId="00000267">
            <w:pPr>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 l’absence de mutation de BRCA1/2, les résultats de l’étude de phase II randomisée</w:t>
            </w:r>
          </w:p>
          <w:p w:rsidR="00000000" w:rsidDel="00000000" w:rsidP="00000000" w:rsidRDefault="00000000" w:rsidRPr="00000000" w14:paraId="00000268">
            <w:pPr>
              <w:rPr>
                <w:rFonts w:ascii="Calibri" w:cs="Calibri" w:eastAsia="Calibri" w:hAnsi="Calibri"/>
                <w:b w:val="1"/>
                <w:bCs w:val="1"/>
                <w:highlight w:val="white"/>
              </w:rPr>
            </w:pPr>
            <w:r w:rsidDel="00000000" w:rsidR="00000000" w:rsidRPr="00000000">
              <w:rPr>
                <w:rFonts w:ascii="Calibri" w:cs="Calibri" w:eastAsia="Calibri" w:hAnsi="Calibri"/>
                <w:highlight w:val="white"/>
                <w:rtl w:val="0"/>
              </w:rPr>
              <w:t xml:space="preserve">Panoptimox suggèrent </w:t>
            </w:r>
            <w:r w:rsidDel="00000000" w:rsidR="00000000" w:rsidRPr="00000000">
              <w:rPr>
                <w:rFonts w:ascii="Calibri" w:cs="Calibri" w:eastAsia="Calibri" w:hAnsi="Calibri"/>
                <w:b w:val="1"/>
                <w:bCs w:val="1"/>
                <w:highlight w:val="white"/>
                <w:rtl w:val="0"/>
              </w:rPr>
              <w:t xml:space="preserve">qu’une maintenance par LV5FU2 après 4 mois de chimiothérapie</w:t>
            </w:r>
          </w:p>
          <w:p w:rsidR="00000000" w:rsidDel="00000000" w:rsidP="00000000" w:rsidRDefault="00000000" w:rsidRPr="00000000" w14:paraId="00000269">
            <w:pP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d’induction par FOLFIRINOX pourrait être une option (116).</w:t>
            </w:r>
            <w:r w:rsidDel="00000000" w:rsidR="00000000" w:rsidRPr="00000000">
              <w:rPr>
                <w:rtl w:val="0"/>
              </w:rPr>
            </w:r>
          </w:p>
          <w:p w:rsidR="00000000" w:rsidDel="00000000" w:rsidP="00000000" w:rsidRDefault="00000000" w:rsidRPr="00000000" w14:paraId="0000026A">
            <w:pPr>
              <w:spacing w:after="240" w:before="240" w:lineRule="auto"/>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CHIMIOTHÉRAPIE PERI-OPERATOIRE VS ADJUVANTE : </w:t>
            </w:r>
          </w:p>
          <w:p w:rsidR="00000000" w:rsidDel="00000000" w:rsidP="00000000" w:rsidRDefault="00000000" w:rsidRPr="00000000" w14:paraId="0000026B">
            <w:pPr>
              <w:numPr>
                <w:ilvl w:val="0"/>
                <w:numId w:val="24"/>
              </w:numPr>
              <w:spacing w:after="0" w:afterAutospacing="0" w:before="24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Chimiothérapie adjuvante </w:t>
            </w:r>
          </w:p>
          <w:p w:rsidR="00000000" w:rsidDel="00000000" w:rsidP="00000000" w:rsidRDefault="00000000" w:rsidRPr="00000000" w14:paraId="0000026C">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Principaux essais </w:t>
            </w:r>
          </w:p>
          <w:p w:rsidR="00000000" w:rsidDel="00000000" w:rsidP="00000000" w:rsidRDefault="00000000" w:rsidRPr="00000000" w14:paraId="0000026D">
            <w:pPr>
              <w:numPr>
                <w:ilvl w:val="0"/>
                <w:numId w:val="19"/>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Bénéfices et limites</w:t>
            </w:r>
          </w:p>
          <w:p w:rsidR="00000000" w:rsidDel="00000000" w:rsidP="00000000" w:rsidRDefault="00000000" w:rsidRPr="00000000" w14:paraId="0000026E">
            <w:pPr>
              <w:numPr>
                <w:ilvl w:val="0"/>
                <w:numId w:val="24"/>
              </w:numPr>
              <w:spacing w:after="0" w:afterAutospacing="0" w:before="0" w:beforeAutospacing="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Chimiothérapie péri-opératoire </w:t>
            </w:r>
          </w:p>
          <w:p w:rsidR="00000000" w:rsidDel="00000000" w:rsidP="00000000" w:rsidRDefault="00000000" w:rsidRPr="00000000" w14:paraId="0000026F">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Rationnel théorique </w:t>
            </w:r>
          </w:p>
          <w:p w:rsidR="00000000" w:rsidDel="00000000" w:rsidP="00000000" w:rsidRDefault="00000000" w:rsidRPr="00000000" w14:paraId="00000270">
            <w:pPr>
              <w:numPr>
                <w:ilvl w:val="0"/>
                <w:numId w:val="12"/>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Essais récents</w:t>
            </w:r>
          </w:p>
          <w:p w:rsidR="00000000" w:rsidDel="00000000" w:rsidP="00000000" w:rsidRDefault="00000000" w:rsidRPr="00000000" w14:paraId="00000271">
            <w:pPr>
              <w:numPr>
                <w:ilvl w:val="0"/>
                <w:numId w:val="24"/>
              </w:numPr>
              <w:spacing w:after="0" w:afterAutospacing="0" w:before="0" w:beforeAutospacing="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Comparaison des stratégies : </w:t>
            </w:r>
          </w:p>
          <w:p w:rsidR="00000000" w:rsidDel="00000000" w:rsidP="00000000" w:rsidRDefault="00000000" w:rsidRPr="00000000" w14:paraId="00000272">
            <w:pPr>
              <w:numPr>
                <w:ilvl w:val="0"/>
                <w:numId w:val="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Données de la littérature</w:t>
            </w:r>
          </w:p>
          <w:p w:rsidR="00000000" w:rsidDel="00000000" w:rsidP="00000000" w:rsidRDefault="00000000" w:rsidRPr="00000000" w14:paraId="00000273">
            <w:pPr>
              <w:numPr>
                <w:ilvl w:val="0"/>
                <w:numId w:val="8"/>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Controverses </w:t>
            </w:r>
          </w:p>
          <w:p w:rsidR="00000000" w:rsidDel="00000000" w:rsidP="00000000" w:rsidRDefault="00000000" w:rsidRPr="00000000" w14:paraId="00000274">
            <w:pPr>
              <w:numPr>
                <w:ilvl w:val="0"/>
                <w:numId w:val="24"/>
              </w:numPr>
              <w:spacing w:after="0" w:afterAutospacing="0" w:before="0" w:beforeAutospacing="0" w:lineRule="auto"/>
              <w:ind w:left="720" w:hanging="360"/>
              <w:rPr>
                <w:rFonts w:ascii="Calibri" w:cs="Calibri" w:eastAsia="Calibri" w:hAnsi="Calibri"/>
                <w:b w:val="1"/>
                <w:bCs w:val="1"/>
                <w:highlight w:val="white"/>
              </w:rPr>
            </w:pPr>
            <w:r w:rsidDel="00000000" w:rsidR="00000000" w:rsidRPr="00000000">
              <w:rPr>
                <w:rFonts w:ascii="Calibri" w:cs="Calibri" w:eastAsia="Calibri" w:hAnsi="Calibri"/>
                <w:b w:val="1"/>
                <w:bCs w:val="1"/>
                <w:highlight w:val="white"/>
                <w:rtl w:val="0"/>
              </w:rPr>
              <w:t xml:space="preserve">Limites des connaissances actuelles </w:t>
            </w:r>
          </w:p>
          <w:p w:rsidR="00000000" w:rsidDel="00000000" w:rsidP="00000000" w:rsidRDefault="00000000" w:rsidRPr="00000000" w14:paraId="00000275">
            <w:pPr>
              <w:numPr>
                <w:ilvl w:val="0"/>
                <w:numId w:val="11"/>
              </w:numPr>
              <w:spacing w:after="0" w:afterAutospacing="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Besoin d'études en vie réelle</w:t>
            </w:r>
          </w:p>
          <w:p w:rsidR="00000000" w:rsidDel="00000000" w:rsidP="00000000" w:rsidRDefault="00000000" w:rsidRPr="00000000" w14:paraId="00000276">
            <w:pPr>
              <w:numPr>
                <w:ilvl w:val="0"/>
                <w:numId w:val="11"/>
              </w:numPr>
              <w:spacing w:after="240" w:before="0" w:beforeAutospacing="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Pas de consensus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cancer du pancréas est stadifié selon le système TNM de la 8e édition de l’AJCC (2017), qui a remplacé l’ancienne classification T basée sur l’extension extrapancréatique par un système fondé sur la taille tumorale, et a introduit une classification ganglionnaire en trois niveaux (N0/N1/N2).</w:t>
              <w:br w:type="textWrapping"/>
              <w:t xml:space="preserve"> [1-2] En parallèle, une classification clinique basée sur la résécabilité (résécable, borderline résécable, localement avancé), fondée sur l’atteinte vasculaire, est utilisée pour guider les décisions thérapeutiques.</w:t>
              <w:br w:type="textWrapping"/>
              <w:t xml:space="preserve"> [3]</w:t>
            </w:r>
          </w:p>
          <w:p w:rsidR="00000000" w:rsidDel="00000000" w:rsidP="00000000" w:rsidRDefault="00000000" w:rsidRPr="00000000" w14:paraId="0000027A">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mu278s7l0ozm" w:id="22"/>
            <w:bookmarkEnd w:id="22"/>
            <w:r w:rsidDel="00000000" w:rsidR="00000000" w:rsidRPr="00000000">
              <w:rPr>
                <w:rFonts w:ascii="Calibri" w:cs="Calibri" w:eastAsia="Calibri" w:hAnsi="Calibri"/>
                <w:b w:val="1"/>
                <w:bCs w:val="1"/>
                <w:color w:val="000000"/>
                <w:sz w:val="26"/>
                <w:szCs w:val="26"/>
                <w:highlight w:val="white"/>
                <w:rtl w:val="0"/>
              </w:rPr>
              <w:t xml:space="preserve">Définitions TNM (AJCC 8e édition)</w:t>
            </w:r>
          </w:p>
          <w:p w:rsidR="00000000" w:rsidDel="00000000" w:rsidP="00000000" w:rsidRDefault="00000000" w:rsidRPr="00000000" w14:paraId="0000027B">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Selon les recommandations du NCCN, le stade T est désormais défini uniquement par la taille de la tumeur (à l’exception du T4, défini par l’atteinte des artères majeures) :</w:t>
              <w:br w:type="textWrapping"/>
              <w:t xml:space="preserve"> [1]</w:t>
            </w:r>
          </w:p>
          <w:p w:rsidR="00000000" w:rsidDel="00000000" w:rsidP="00000000" w:rsidRDefault="00000000" w:rsidRPr="00000000" w14:paraId="0000027C">
            <w:pPr>
              <w:widowControl w:val="0"/>
              <w:numPr>
                <w:ilvl w:val="0"/>
                <w:numId w:val="13"/>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T1</w:t>
            </w:r>
            <w:r w:rsidDel="00000000" w:rsidR="00000000" w:rsidRPr="00000000">
              <w:rPr>
                <w:rFonts w:ascii="Calibri" w:cs="Calibri" w:eastAsia="Calibri" w:hAnsi="Calibri"/>
                <w:highlight w:val="white"/>
                <w:rtl w:val="0"/>
              </w:rPr>
              <w:t xml:space="preserve"> : Tumeur ≤2 cm (sous-catégories : T1a ≤0,5 cm, T1b &gt;0,5–&lt;1 cm, T1c 1–2 cm)</w:t>
            </w:r>
          </w:p>
          <w:p w:rsidR="00000000" w:rsidDel="00000000" w:rsidP="00000000" w:rsidRDefault="00000000" w:rsidRPr="00000000" w14:paraId="0000027D">
            <w:pPr>
              <w:widowControl w:val="0"/>
              <w:numPr>
                <w:ilvl w:val="0"/>
                <w:numId w:val="13"/>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T2</w:t>
            </w:r>
            <w:r w:rsidDel="00000000" w:rsidR="00000000" w:rsidRPr="00000000">
              <w:rPr>
                <w:rFonts w:ascii="Calibri" w:cs="Calibri" w:eastAsia="Calibri" w:hAnsi="Calibri"/>
                <w:highlight w:val="white"/>
                <w:rtl w:val="0"/>
              </w:rPr>
              <w:t xml:space="preserve"> : Tumeur &gt;2 cm et ≤4 cm</w:t>
            </w:r>
          </w:p>
          <w:p w:rsidR="00000000" w:rsidDel="00000000" w:rsidP="00000000" w:rsidRDefault="00000000" w:rsidRPr="00000000" w14:paraId="0000027E">
            <w:pPr>
              <w:widowControl w:val="0"/>
              <w:numPr>
                <w:ilvl w:val="0"/>
                <w:numId w:val="13"/>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T3</w:t>
            </w:r>
            <w:r w:rsidDel="00000000" w:rsidR="00000000" w:rsidRPr="00000000">
              <w:rPr>
                <w:rFonts w:ascii="Calibri" w:cs="Calibri" w:eastAsia="Calibri" w:hAnsi="Calibri"/>
                <w:highlight w:val="white"/>
                <w:rtl w:val="0"/>
              </w:rPr>
              <w:t xml:space="preserve"> : Tumeur &gt;4 cm</w:t>
            </w:r>
          </w:p>
          <w:p w:rsidR="00000000" w:rsidDel="00000000" w:rsidP="00000000" w:rsidRDefault="00000000" w:rsidRPr="00000000" w14:paraId="0000027F">
            <w:pPr>
              <w:widowControl w:val="0"/>
              <w:numPr>
                <w:ilvl w:val="0"/>
                <w:numId w:val="13"/>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T4</w:t>
            </w:r>
            <w:r w:rsidDel="00000000" w:rsidR="00000000" w:rsidRPr="00000000">
              <w:rPr>
                <w:rFonts w:ascii="Calibri" w:cs="Calibri" w:eastAsia="Calibri" w:hAnsi="Calibri"/>
                <w:highlight w:val="white"/>
                <w:rtl w:val="0"/>
              </w:rPr>
              <w:t xml:space="preserve"> : Tumeur envahissant le tronc cœliaque, l’artère mésentérique supérieure et/ou l’artère hépatique commune, quelle que soit sa taille</w:t>
            </w:r>
          </w:p>
          <w:p w:rsidR="00000000" w:rsidDel="00000000" w:rsidP="00000000" w:rsidRDefault="00000000" w:rsidRPr="00000000" w14:paraId="00000280">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 stade N a été élargi d’un système binaire (N0/N1) à un système en trois niveaux :</w:t>
              <w:br w:type="textWrapping"/>
              <w:t xml:space="preserve"> [1]</w:t>
            </w:r>
          </w:p>
          <w:p w:rsidR="00000000" w:rsidDel="00000000" w:rsidP="00000000" w:rsidRDefault="00000000" w:rsidRPr="00000000" w14:paraId="00000281">
            <w:pPr>
              <w:widowControl w:val="0"/>
              <w:numPr>
                <w:ilvl w:val="0"/>
                <w:numId w:val="6"/>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N0</w:t>
            </w:r>
            <w:r w:rsidDel="00000000" w:rsidR="00000000" w:rsidRPr="00000000">
              <w:rPr>
                <w:rFonts w:ascii="Calibri" w:cs="Calibri" w:eastAsia="Calibri" w:hAnsi="Calibri"/>
                <w:highlight w:val="white"/>
                <w:rtl w:val="0"/>
              </w:rPr>
              <w:t xml:space="preserve"> : Pas de métastases ganglionnaires régionales</w:t>
            </w:r>
          </w:p>
          <w:p w:rsidR="00000000" w:rsidDel="00000000" w:rsidP="00000000" w:rsidRDefault="00000000" w:rsidRPr="00000000" w14:paraId="00000282">
            <w:pPr>
              <w:widowControl w:val="0"/>
              <w:numPr>
                <w:ilvl w:val="0"/>
                <w:numId w:val="6"/>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N1</w:t>
            </w:r>
            <w:r w:rsidDel="00000000" w:rsidR="00000000" w:rsidRPr="00000000">
              <w:rPr>
                <w:rFonts w:ascii="Calibri" w:cs="Calibri" w:eastAsia="Calibri" w:hAnsi="Calibri"/>
                <w:highlight w:val="white"/>
                <w:rtl w:val="0"/>
              </w:rPr>
              <w:t xml:space="preserve"> : Métastases dans 1 à 3 ganglions lymphatiques régionaux</w:t>
            </w:r>
          </w:p>
          <w:p w:rsidR="00000000" w:rsidDel="00000000" w:rsidP="00000000" w:rsidRDefault="00000000" w:rsidRPr="00000000" w14:paraId="00000283">
            <w:pPr>
              <w:widowControl w:val="0"/>
              <w:numPr>
                <w:ilvl w:val="0"/>
                <w:numId w:val="6"/>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N2</w:t>
            </w:r>
            <w:r w:rsidDel="00000000" w:rsidR="00000000" w:rsidRPr="00000000">
              <w:rPr>
                <w:rFonts w:ascii="Calibri" w:cs="Calibri" w:eastAsia="Calibri" w:hAnsi="Calibri"/>
                <w:highlight w:val="white"/>
                <w:rtl w:val="0"/>
              </w:rPr>
              <w:t xml:space="preserve"> : Métastases dans ≥4 ganglions lymphatiques régionaux</w:t>
            </w:r>
          </w:p>
          <w:p w:rsidR="00000000" w:rsidDel="00000000" w:rsidP="00000000" w:rsidRDefault="00000000" w:rsidRPr="00000000" w14:paraId="00000284">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6u0r9j92oz7" w:id="23"/>
            <w:bookmarkEnd w:id="23"/>
            <w:r w:rsidDel="00000000" w:rsidR="00000000" w:rsidRPr="00000000">
              <w:rPr>
                <w:rFonts w:ascii="Calibri" w:cs="Calibri" w:eastAsia="Calibri" w:hAnsi="Calibri"/>
                <w:b w:val="1"/>
                <w:bCs w:val="1"/>
                <w:color w:val="000000"/>
                <w:sz w:val="26"/>
                <w:szCs w:val="26"/>
                <w:highlight w:val="white"/>
                <w:rtl w:val="0"/>
              </w:rPr>
              <w:t xml:space="preserve">Principales modifications entre la 7e et la 8e édition</w:t>
            </w:r>
          </w:p>
          <w:p w:rsidR="00000000" w:rsidDel="00000000" w:rsidP="00000000" w:rsidRDefault="00000000" w:rsidRPr="00000000" w14:paraId="00000285">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principale raison de la révision de la 8e édition était que la stadification T de la 7e édition discriminait mal — en effet, comme le pancréas ne possède pas de véritable capsule, presque toutes les tumeurs étaient classées T3 (extension extrapancréatique), avec 88 % des cas regroupés en pT3 dans les cohortes de validation.</w:t>
              <w:br w:type="textWrapping"/>
              <w:t xml:space="preserve"> [2][4] Le système basé sur la taille de la 8e édition a permis une répartition plus équilibrée des stades T (avec une prédominance de pT2 autour de 55–65 %) et a amélioré l’indice de concordance de 0,55 à 0,57.</w:t>
              <w:br w:type="textWrapping"/>
              <w:t xml:space="preserve"> [2][4] La validation multicentrique menée par Allen et al. (2017) au sein de Memorial Sloan Kettering, du Massachusetts General Hospital et de Johns Hopkins (n = 2 318 patients opérés) a confirmé que la partition récursive identifiait des seuils statistiquement pertinents à 2,2 cm et 4,8 cm, soutenant ainsi les seuils de taille proposés dans la 8e édition.</w:t>
              <w:br w:type="textWrapping"/>
              <w:t xml:space="preserve"> [4]</w:t>
            </w:r>
          </w:p>
          <w:p w:rsidR="00000000" w:rsidDel="00000000" w:rsidP="00000000" w:rsidRDefault="00000000" w:rsidRPr="00000000" w14:paraId="00000286">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7">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8">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9">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A">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B">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C">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D">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E">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8F">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bfn3gn606yoo" w:id="24"/>
            <w:bookmarkEnd w:id="24"/>
            <w:r w:rsidDel="00000000" w:rsidR="00000000" w:rsidRPr="00000000">
              <w:rPr>
                <w:rFonts w:ascii="Calibri" w:cs="Calibri" w:eastAsia="Calibri" w:hAnsi="Calibri"/>
                <w:b w:val="1"/>
                <w:bCs w:val="1"/>
                <w:color w:val="000000"/>
                <w:sz w:val="26"/>
                <w:szCs w:val="26"/>
                <w:highlight w:val="white"/>
                <w:rtl w:val="0"/>
              </w:rPr>
              <w:t xml:space="preserve">Performance pronostique et limites</w:t>
            </w:r>
          </w:p>
          <w:p w:rsidR="00000000" w:rsidDel="00000000" w:rsidP="00000000" w:rsidRDefault="00000000" w:rsidRPr="00000000" w14:paraId="00000290">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validation internationale par van Roessel et al. (2018, n = 1 525 patients opérés dans 3 pays) a montré que le stade N révisé est fortement pronostique (survie à 5 ans : N0 35,6 %, N1 20,8 %, N2 10,9 % ; P &lt; 0,001), alors que le stade T seul n’était pas significativement associé à la survie chez les patients sans atteinte ganglionnaire.</w:t>
              <w:br w:type="textWrapping"/>
              <w:t xml:space="preserve"> [2] Ce constat a été confirmé par plusieurs études de validation, bien que certaines aient noté que la distinction entre N1 et N2 n’atteint pas toujours la significativité statistique, et que le ratio ganglionnaire pourrait apporter une valeur pronostique supplémentaire.</w:t>
              <w:br w:type="textWrapping"/>
              <w:t xml:space="preserve"> [5-6] Une limite reconnue est que le stade III regroupe deux entités biologiquement distinctes — T4 (localement avancé/non résécable) et N2 (atteinte ganglionnaire mais potentiellement résécable) — qui présentent des pronostics et des approches thérapeutiques différents, ce qui a conduit à proposer une subdivision du stade III en IIIA (T1–3N2M0) et IIIB (T4N tout N M0).</w:t>
              <w:br w:type="textWrapping"/>
              <w:t xml:space="preserve"> [5][7]</w:t>
            </w:r>
          </w:p>
          <w:p w:rsidR="00000000" w:rsidDel="00000000" w:rsidP="00000000" w:rsidRDefault="00000000" w:rsidRPr="00000000" w14:paraId="00000291">
            <w:pPr>
              <w:pStyle w:val="Heading3"/>
              <w:keepNext w:val="0"/>
              <w:keepLines w:val="0"/>
              <w:widowControl w:val="0"/>
              <w:spacing w:before="280" w:line="240" w:lineRule="auto"/>
              <w:rPr>
                <w:rFonts w:ascii="Calibri" w:cs="Calibri" w:eastAsia="Calibri" w:hAnsi="Calibri"/>
                <w:b w:val="1"/>
                <w:bCs w:val="1"/>
                <w:color w:val="000000"/>
                <w:sz w:val="26"/>
                <w:szCs w:val="26"/>
                <w:highlight w:val="white"/>
              </w:rPr>
            </w:pPr>
            <w:bookmarkStart w:colFirst="0" w:colLast="0" w:name="_fghmh9muwuhr" w:id="25"/>
            <w:bookmarkEnd w:id="25"/>
            <w:r w:rsidDel="00000000" w:rsidR="00000000" w:rsidRPr="00000000">
              <w:rPr>
                <w:rFonts w:ascii="Calibri" w:cs="Calibri" w:eastAsia="Calibri" w:hAnsi="Calibri"/>
                <w:b w:val="1"/>
                <w:bCs w:val="1"/>
                <w:color w:val="000000"/>
                <w:sz w:val="26"/>
                <w:szCs w:val="26"/>
                <w:highlight w:val="white"/>
                <w:rtl w:val="0"/>
              </w:rPr>
              <w:t xml:space="preserve">Classification clinique de la résécabilité</w:t>
            </w:r>
          </w:p>
          <w:p w:rsidR="00000000" w:rsidDel="00000000" w:rsidP="00000000" w:rsidRDefault="00000000" w:rsidRPr="00000000" w14:paraId="00000292">
            <w:pPr>
              <w:widowControl w:val="0"/>
              <w:spacing w:after="240" w:before="240" w:line="240" w:lineRule="auto"/>
              <w:rPr>
                <w:rFonts w:ascii="Calibri" w:cs="Calibri" w:eastAsia="Calibri" w:hAnsi="Calibri"/>
                <w:b w:val="1"/>
                <w:bCs w:val="1"/>
                <w:sz w:val="34"/>
                <w:szCs w:val="34"/>
                <w:highlight w:val="white"/>
              </w:rPr>
            </w:pPr>
            <w:r w:rsidDel="00000000" w:rsidR="00000000" w:rsidRPr="00000000">
              <w:rPr>
                <w:rFonts w:ascii="Calibri" w:cs="Calibri" w:eastAsia="Calibri" w:hAnsi="Calibri"/>
                <w:highlight w:val="white"/>
                <w:rtl w:val="0"/>
              </w:rPr>
              <w:t xml:space="preserve">Au-delà de la stadification TNM, les recommandations du NCCN classent le cancer du pancréas non métastatique selon son statut de résécabilité, basé sur le degré d’atteinte vasculaire — résécable (RPC), borderline résécable (BRPC) ou localement avancé (LAPC) — ce qui détermine directement la stratégie thérapeutique.</w:t>
              <w:br w:type="textWrapping"/>
              <w:t xml:space="preserve"> [1][3] Environ 57 % des patients se présentent avec une maladie métastatique (stade IV), le foie étant le site le plus fréquent (75–80 %).</w:t>
              <w:br w:type="textWrapping"/>
              <w:t xml:space="preserve"> [3] La stadification clinique peut être affinée en intégrant des paramètres biologiques (par exemple, un taux de CA 19-9 ≥500 U/mL comme marqueur d’une maladie borderline résécable basée sur la biologie tumorale).</w:t>
              <w:br w:type="textWrapping"/>
              <w:t xml:space="preserve"> [3]Les recommandations du NCCN définissent la résécabilité du cancer du pancréas en fonction du degré de contact tumoral avec les principales structures artérielles et veineuses, mesuré en degrés d’atteinte circonférentielle (≤180° = contact/abutment ; &gt;180° = engainement/encasement).</w:t>
              <w:br w:type="textWrapping"/>
              <w:t xml:space="preserve"> [1-2] Cette classification détermine directement la stratégie thérapeutique : une maladie résécable peut être opérée d’emblée, une maladie borderline résécable nécessite un traitement néoadjuvant, et une maladie localement avancée est initialement non résécable.</w:t>
              <w:br w:type="textWrapping"/>
              <w:t xml:space="preserve"> [1-2]</w:t>
            </w:r>
            <w:r w:rsidDel="00000000" w:rsidR="00000000" w:rsidRPr="00000000">
              <w:rPr>
                <w:rFonts w:ascii="Calibri" w:cs="Calibri" w:eastAsia="Calibri" w:hAnsi="Calibri"/>
                <w:b w:val="1"/>
                <w:bCs w:val="1"/>
                <w:sz w:val="34"/>
                <w:szCs w:val="34"/>
                <w:highlight w:val="white"/>
                <w:rtl w:val="0"/>
              </w:rPr>
              <w:t xml:space="preserve">Définitions clés et considérations en imagerie</w:t>
            </w:r>
          </w:p>
          <w:p w:rsidR="00000000" w:rsidDel="00000000" w:rsidP="00000000" w:rsidRDefault="00000000" w:rsidRPr="00000000" w14:paraId="00000293">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La distinction essentielle entre </w:t>
            </w:r>
            <w:r w:rsidDel="00000000" w:rsidR="00000000" w:rsidRPr="00000000">
              <w:rPr>
                <w:rFonts w:ascii="Calibri" w:cs="Calibri" w:eastAsia="Calibri" w:hAnsi="Calibri"/>
                <w:b w:val="1"/>
                <w:bCs w:val="1"/>
                <w:highlight w:val="white"/>
                <w:rtl w:val="0"/>
              </w:rPr>
              <w:t xml:space="preserve">contact (≤180°)</w:t>
            </w:r>
            <w:r w:rsidDel="00000000" w:rsidR="00000000" w:rsidRPr="00000000">
              <w:rPr>
                <w:rFonts w:ascii="Calibri" w:cs="Calibri" w:eastAsia="Calibri" w:hAnsi="Calibri"/>
                <w:highlight w:val="white"/>
                <w:rtl w:val="0"/>
              </w:rPr>
              <w:t xml:space="preserve"> et </w:t>
            </w:r>
            <w:r w:rsidDel="00000000" w:rsidR="00000000" w:rsidRPr="00000000">
              <w:rPr>
                <w:rFonts w:ascii="Calibri" w:cs="Calibri" w:eastAsia="Calibri" w:hAnsi="Calibri"/>
                <w:b w:val="1"/>
                <w:bCs w:val="1"/>
                <w:highlight w:val="white"/>
                <w:rtl w:val="0"/>
              </w:rPr>
              <w:t xml:space="preserve">engainement (&gt;180°)</w:t>
            </w:r>
            <w:r w:rsidDel="00000000" w:rsidR="00000000" w:rsidRPr="00000000">
              <w:rPr>
                <w:rFonts w:ascii="Calibri" w:cs="Calibri" w:eastAsia="Calibri" w:hAnsi="Calibri"/>
                <w:highlight w:val="white"/>
                <w:rtl w:val="0"/>
              </w:rPr>
              <w:t xml:space="preserve"> du vaisseau détermine la résécabilité.</w:t>
              <w:br w:type="textWrapping"/>
              <w:t xml:space="preserve"> [2] L’atteinte vasculaire est évaluée au scanner pancréatique (double phase : pancréatique et portale) avec reconstructions multiplanaires permettant de visualiser précisément les rapports tumeur–vaisseaux.</w:t>
              <w:br w:type="textWrapping"/>
              <w:t xml:space="preserve"> [1] Le NCCN recommande l’utilisation d’un compte rendu radiologique standardisé (développé par la Society of Abdominal Radiology et l’American Pancreatic Association) afin d’assurer une évaluation complète des structures vasculaires.</w:t>
              <w:br w:type="textWrapping"/>
              <w:t xml:space="preserve"> [1]</w:t>
            </w:r>
          </w:p>
          <w:p w:rsidR="00000000" w:rsidDel="00000000" w:rsidP="00000000" w:rsidRDefault="00000000" w:rsidRPr="00000000" w14:paraId="00000294">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Autres éléments à rapporter :</w:t>
              <w:br w:type="textWrapping"/>
              <w:t xml:space="preserve"> [1]</w:t>
            </w:r>
          </w:p>
          <w:p w:rsidR="00000000" w:rsidDel="00000000" w:rsidP="00000000" w:rsidRDefault="00000000" w:rsidRPr="00000000" w14:paraId="00000295">
            <w:pPr>
              <w:widowControl w:val="0"/>
              <w:numPr>
                <w:ilvl w:val="0"/>
                <w:numId w:val="20"/>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Rétrécissement focal du vaisseau ou irrégularité du contour (« tethering » ou signe en « goutte d’eau »)</w:t>
            </w:r>
          </w:p>
          <w:p w:rsidR="00000000" w:rsidDel="00000000" w:rsidP="00000000" w:rsidRDefault="00000000" w:rsidRPr="00000000" w14:paraId="00000296">
            <w:pPr>
              <w:widowControl w:val="0"/>
              <w:numPr>
                <w:ilvl w:val="0"/>
                <w:numId w:val="20"/>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Thrombose veineuse (tumorale vs. cruorique)</w:t>
            </w:r>
          </w:p>
          <w:p w:rsidR="00000000" w:rsidDel="00000000" w:rsidP="00000000" w:rsidRDefault="00000000" w:rsidRPr="00000000" w14:paraId="00000297">
            <w:pPr>
              <w:widowControl w:val="0"/>
              <w:numPr>
                <w:ilvl w:val="0"/>
                <w:numId w:val="20"/>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Présence de collatérales veineuses (suggérant une occlusion chronique)</w:t>
            </w:r>
          </w:p>
          <w:p w:rsidR="00000000" w:rsidDel="00000000" w:rsidP="00000000" w:rsidRDefault="00000000" w:rsidRPr="00000000" w14:paraId="00000298">
            <w:pPr>
              <w:widowControl w:val="0"/>
              <w:numPr>
                <w:ilvl w:val="0"/>
                <w:numId w:val="20"/>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Anatomie artérielle variante (artères hépatiques accessoires/remplacées)</w:t>
            </w:r>
          </w:p>
          <w:p w:rsidR="00000000" w:rsidDel="00000000" w:rsidP="00000000" w:rsidRDefault="00000000" w:rsidRPr="00000000" w14:paraId="00000299">
            <w:pPr>
              <w:pStyle w:val="Heading2"/>
              <w:keepNext w:val="0"/>
              <w:keepLines w:val="0"/>
              <w:widowControl w:val="0"/>
              <w:spacing w:after="80" w:line="240" w:lineRule="auto"/>
              <w:rPr>
                <w:rFonts w:ascii="Calibri" w:cs="Calibri" w:eastAsia="Calibri" w:hAnsi="Calibri"/>
                <w:b w:val="1"/>
                <w:bCs w:val="1"/>
                <w:sz w:val="34"/>
                <w:szCs w:val="34"/>
                <w:highlight w:val="white"/>
              </w:rPr>
            </w:pPr>
            <w:bookmarkStart w:colFirst="0" w:colLast="0" w:name="_s3mofzo7ctnh" w:id="26"/>
            <w:bookmarkEnd w:id="26"/>
            <w:r w:rsidDel="00000000" w:rsidR="00000000" w:rsidRPr="00000000">
              <w:rPr>
                <w:rFonts w:ascii="Calibri" w:cs="Calibri" w:eastAsia="Calibri" w:hAnsi="Calibri"/>
                <w:b w:val="1"/>
                <w:bCs w:val="1"/>
                <w:sz w:val="34"/>
                <w:szCs w:val="34"/>
                <w:highlight w:val="white"/>
                <w:rtl w:val="0"/>
              </w:rPr>
              <w:t xml:space="preserve">Borderline résécable : définition anatomique vs biologique</w:t>
            </w:r>
          </w:p>
          <w:p w:rsidR="00000000" w:rsidDel="00000000" w:rsidP="00000000" w:rsidRDefault="00000000" w:rsidRPr="00000000" w14:paraId="0000029A">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Au-delà des critères anatomiques, le NCCN reconnaît des </w:t>
            </w:r>
            <w:r w:rsidDel="00000000" w:rsidR="00000000" w:rsidRPr="00000000">
              <w:rPr>
                <w:rFonts w:ascii="Calibri" w:cs="Calibri" w:eastAsia="Calibri" w:hAnsi="Calibri"/>
                <w:b w:val="1"/>
                <w:bCs w:val="1"/>
                <w:highlight w:val="white"/>
                <w:rtl w:val="0"/>
              </w:rPr>
              <w:t xml:space="preserve">facteurs de haut risque</w:t>
            </w:r>
            <w:r w:rsidDel="00000000" w:rsidR="00000000" w:rsidRPr="00000000">
              <w:rPr>
                <w:rFonts w:ascii="Calibri" w:cs="Calibri" w:eastAsia="Calibri" w:hAnsi="Calibri"/>
                <w:highlight w:val="white"/>
                <w:rtl w:val="0"/>
              </w:rPr>
              <w:t xml:space="preserve"> définissant une maladie borderline résécable sur des bases biologiques :</w:t>
              <w:br w:type="textWrapping"/>
              <w:t xml:space="preserve"> [1]</w:t>
            </w:r>
          </w:p>
          <w:p w:rsidR="00000000" w:rsidDel="00000000" w:rsidP="00000000" w:rsidRDefault="00000000" w:rsidRPr="00000000" w14:paraId="0000029B">
            <w:pPr>
              <w:widowControl w:val="0"/>
              <w:numPr>
                <w:ilvl w:val="0"/>
                <w:numId w:val="9"/>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 19-9 très élevé (≥500 U/mL)</w:t>
            </w:r>
          </w:p>
          <w:p w:rsidR="00000000" w:rsidDel="00000000" w:rsidP="00000000" w:rsidRDefault="00000000" w:rsidRPr="00000000" w14:paraId="0000029C">
            <w:pPr>
              <w:widowControl w:val="0"/>
              <w:numPr>
                <w:ilvl w:val="0"/>
                <w:numId w:val="9"/>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Tumeur primitive volumineuse ou adénopathies régionales importantes</w:t>
            </w:r>
          </w:p>
          <w:p w:rsidR="00000000" w:rsidDel="00000000" w:rsidP="00000000" w:rsidRDefault="00000000" w:rsidRPr="00000000" w14:paraId="0000029D">
            <w:pPr>
              <w:widowControl w:val="0"/>
              <w:numPr>
                <w:ilvl w:val="0"/>
                <w:numId w:val="9"/>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Perte de poids marquée</w:t>
            </w:r>
          </w:p>
          <w:p w:rsidR="00000000" w:rsidDel="00000000" w:rsidP="00000000" w:rsidRDefault="00000000" w:rsidRPr="00000000" w14:paraId="0000029E">
            <w:pPr>
              <w:widowControl w:val="0"/>
              <w:numPr>
                <w:ilvl w:val="0"/>
                <w:numId w:val="9"/>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Douleurs intenses</w:t>
            </w:r>
          </w:p>
          <w:p w:rsidR="00000000" w:rsidDel="00000000" w:rsidP="00000000" w:rsidRDefault="00000000" w:rsidRPr="00000000" w14:paraId="0000029F">
            <w:pPr>
              <w:widowControl w:val="0"/>
              <w:numPr>
                <w:ilvl w:val="0"/>
                <w:numId w:val="9"/>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Imagerie douteuse ou indéterminée</w:t>
            </w:r>
          </w:p>
          <w:p w:rsidR="00000000" w:rsidDel="00000000" w:rsidP="00000000" w:rsidRDefault="00000000" w:rsidRPr="00000000" w14:paraId="000002A0">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Ces patients peuvent bénéficier d’un traitement néoadjuvant même si la tumeur est anatomiquement résécable, car ces facteurs suggèrent une maladie métastatique occulte ou un risque élevé de récidive précoce.</w:t>
              <w:br w:type="textWrapping"/>
              <w:t xml:space="preserve"> [1]</w:t>
            </w:r>
          </w:p>
          <w:p w:rsidR="00000000" w:rsidDel="00000000" w:rsidP="00000000" w:rsidRDefault="00000000" w:rsidRPr="00000000" w14:paraId="000002A1">
            <w:pPr>
              <w:widowControl w:val="0"/>
              <w:spacing w:after="240" w:before="240" w:line="240" w:lineRule="auto"/>
              <w:rPr>
                <w:rFonts w:ascii="Calibri" w:cs="Calibri" w:eastAsia="Calibri" w:hAnsi="Calibri"/>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pStyle w:val="Heading2"/>
              <w:keepNext w:val="0"/>
              <w:keepLines w:val="0"/>
              <w:widowControl w:val="0"/>
              <w:spacing w:after="80" w:line="240" w:lineRule="auto"/>
              <w:rPr>
                <w:rFonts w:ascii="Calibri" w:cs="Calibri" w:eastAsia="Calibri" w:hAnsi="Calibri"/>
                <w:b w:val="1"/>
                <w:bCs w:val="1"/>
                <w:sz w:val="34"/>
                <w:szCs w:val="34"/>
                <w:highlight w:val="white"/>
              </w:rPr>
            </w:pPr>
            <w:bookmarkStart w:colFirst="0" w:colLast="0" w:name="_v07vxmft7fbu" w:id="27"/>
            <w:bookmarkEnd w:id="27"/>
            <w:r w:rsidDel="00000000" w:rsidR="00000000" w:rsidRPr="00000000">
              <w:rPr>
                <w:rFonts w:ascii="Calibri" w:cs="Calibri" w:eastAsia="Calibri" w:hAnsi="Calibri"/>
                <w:b w:val="1"/>
                <w:bCs w:val="1"/>
                <w:sz w:val="34"/>
                <w:szCs w:val="34"/>
                <w:highlight w:val="white"/>
                <w:rtl w:val="0"/>
              </w:rPr>
              <w:t xml:space="preserve">Implications thérapeutiques selon la résécabilité</w:t>
            </w:r>
          </w:p>
          <w:p w:rsidR="00000000" w:rsidDel="00000000" w:rsidP="00000000" w:rsidRDefault="00000000" w:rsidRPr="00000000" w14:paraId="000002A3">
            <w:pPr>
              <w:widowControl w:val="0"/>
              <w:numPr>
                <w:ilvl w:val="0"/>
                <w:numId w:val="21"/>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Résécable</w:t>
            </w:r>
            <w:r w:rsidDel="00000000" w:rsidR="00000000" w:rsidRPr="00000000">
              <w:rPr>
                <w:rFonts w:ascii="Calibri" w:cs="Calibri" w:eastAsia="Calibri" w:hAnsi="Calibri"/>
                <w:highlight w:val="white"/>
                <w:rtl w:val="0"/>
              </w:rPr>
              <w:t xml:space="preserve"> : chirurgie d’emblée (duodénopancréatectomie céphalique ou pancréatectomie distale) possible, bien que le traitement néoadjuvant soit de plus en plus utilisé, notamment en présence de facteurs de haut risque.</w:t>
              <w:br w:type="textWrapping"/>
              <w:t xml:space="preserve"> [1-2]</w:t>
            </w:r>
          </w:p>
          <w:p w:rsidR="00000000" w:rsidDel="00000000" w:rsidP="00000000" w:rsidRDefault="00000000" w:rsidRPr="00000000" w14:paraId="000002A4">
            <w:pPr>
              <w:widowControl w:val="0"/>
              <w:numPr>
                <w:ilvl w:val="0"/>
                <w:numId w:val="21"/>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Borderline résécable</w:t>
            </w:r>
            <w:r w:rsidDel="00000000" w:rsidR="00000000" w:rsidRPr="00000000">
              <w:rPr>
                <w:rFonts w:ascii="Calibri" w:cs="Calibri" w:eastAsia="Calibri" w:hAnsi="Calibri"/>
                <w:highlight w:val="white"/>
                <w:rtl w:val="0"/>
              </w:rPr>
              <w:t xml:space="preserve"> : traitement néoadjuvant standard (FOLFIRINOX ou gemcitabine/nab-paclitaxel ± chimioradiothérapie), suivi d’une réévaluation et d’une exploration chirurgicale en l’absence de progression.</w:t>
              <w:br w:type="textWrapping"/>
              <w:t xml:space="preserve"> [1]</w:t>
            </w:r>
          </w:p>
          <w:p w:rsidR="00000000" w:rsidDel="00000000" w:rsidP="00000000" w:rsidRDefault="00000000" w:rsidRPr="00000000" w14:paraId="000002A5">
            <w:pPr>
              <w:widowControl w:val="0"/>
              <w:numPr>
                <w:ilvl w:val="0"/>
                <w:numId w:val="21"/>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Localement avancé</w:t>
            </w:r>
            <w:r w:rsidDel="00000000" w:rsidR="00000000" w:rsidRPr="00000000">
              <w:rPr>
                <w:rFonts w:ascii="Calibri" w:cs="Calibri" w:eastAsia="Calibri" w:hAnsi="Calibri"/>
                <w:highlight w:val="white"/>
                <w:rtl w:val="0"/>
              </w:rPr>
              <w:t xml:space="preserve"> : initialement non résécable ; traitement par chimiothérapie systémique ± radiothérapie. Toutefois, une réponse importante au traitement peut rendre certains patients opérables secondairement.</w:t>
              <w:br w:type="textWrapping"/>
              <w:t xml:space="preserve"> [1]</w:t>
            </w:r>
          </w:p>
          <w:p w:rsidR="00000000" w:rsidDel="00000000" w:rsidP="00000000" w:rsidRDefault="00000000" w:rsidRPr="00000000" w14:paraId="000002A6">
            <w:pPr>
              <w:pStyle w:val="Heading2"/>
              <w:keepNext w:val="0"/>
              <w:keepLines w:val="0"/>
              <w:widowControl w:val="0"/>
              <w:spacing w:after="80" w:line="240" w:lineRule="auto"/>
              <w:rPr>
                <w:rFonts w:ascii="Calibri" w:cs="Calibri" w:eastAsia="Calibri" w:hAnsi="Calibri"/>
                <w:b w:val="1"/>
                <w:bCs w:val="1"/>
                <w:sz w:val="34"/>
                <w:szCs w:val="34"/>
                <w:highlight w:val="white"/>
              </w:rPr>
            </w:pPr>
            <w:bookmarkStart w:colFirst="0" w:colLast="0" w:name="_qkk3qvlm9z7i" w:id="28"/>
            <w:bookmarkEnd w:id="28"/>
            <w:r w:rsidDel="00000000" w:rsidR="00000000" w:rsidRPr="00000000">
              <w:rPr>
                <w:rFonts w:ascii="Calibri" w:cs="Calibri" w:eastAsia="Calibri" w:hAnsi="Calibri"/>
                <w:b w:val="1"/>
                <w:bCs w:val="1"/>
                <w:sz w:val="34"/>
                <w:szCs w:val="34"/>
                <w:highlight w:val="white"/>
                <w:rtl w:val="0"/>
              </w:rPr>
              <w:t xml:space="preserve">Critères de résécabilité après traitement néoadjuvant</w:t>
            </w:r>
          </w:p>
          <w:p w:rsidR="00000000" w:rsidDel="00000000" w:rsidP="00000000" w:rsidRDefault="00000000" w:rsidRPr="00000000" w14:paraId="000002A7">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Après traitement néoadjuvant, la résécabilité est réévaluée selon des critères :</w:t>
            </w:r>
          </w:p>
          <w:p w:rsidR="00000000" w:rsidDel="00000000" w:rsidP="00000000" w:rsidRDefault="00000000" w:rsidRPr="00000000" w14:paraId="000002A8">
            <w:pPr>
              <w:widowControl w:val="0"/>
              <w:numPr>
                <w:ilvl w:val="0"/>
                <w:numId w:val="4"/>
              </w:numPr>
              <w:spacing w:after="0" w:afterAutospacing="0" w:before="24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radiologiques (RECIST),</w:t>
            </w:r>
          </w:p>
          <w:p w:rsidR="00000000" w:rsidDel="00000000" w:rsidP="00000000" w:rsidRDefault="00000000" w:rsidRPr="00000000" w14:paraId="000002A9">
            <w:pPr>
              <w:widowControl w:val="0"/>
              <w:numPr>
                <w:ilvl w:val="0"/>
                <w:numId w:val="4"/>
              </w:numPr>
              <w:spacing w:after="0" w:afterAutospacing="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biologiques (CA 19-9),</w:t>
            </w:r>
          </w:p>
          <w:p w:rsidR="00000000" w:rsidDel="00000000" w:rsidP="00000000" w:rsidRDefault="00000000" w:rsidRPr="00000000" w14:paraId="000002AA">
            <w:pPr>
              <w:widowControl w:val="0"/>
              <w:numPr>
                <w:ilvl w:val="0"/>
                <w:numId w:val="4"/>
              </w:numPr>
              <w:spacing w:after="240" w:before="0" w:beforeAutospacing="0"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métaboliques (SUV en TEP).</w:t>
              <w:br w:type="textWrapping"/>
              <w:t xml:space="preserve"> [1]</w:t>
            </w:r>
          </w:p>
          <w:p w:rsidR="00000000" w:rsidDel="00000000" w:rsidP="00000000" w:rsidRDefault="00000000" w:rsidRPr="00000000" w14:paraId="000002AB">
            <w:pPr>
              <w:widowControl w:val="0"/>
              <w:spacing w:after="240" w:before="240"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Il est important de noter que l’imagerie distingue difficilement tissu tumoral viable et fibrose post-thérapeutique, ce qui rend souvent nécessaire une évaluation peropératoire.</w:t>
              <w:br w:type="textWrapping"/>
              <w:t xml:space="preserve"> [1] La résection veineuse (porte/VMS) est justifiée si une résection R0 est possible, tandis que la résection artérielle doit être réservée à des patients très sélectionnés dans des centres experts.</w:t>
              <w:br w:type="textWrapping"/>
              <w:t xml:space="preserve"> [1]</w:t>
            </w:r>
          </w:p>
          <w:p w:rsidR="00000000" w:rsidDel="00000000" w:rsidP="00000000" w:rsidRDefault="00000000" w:rsidRPr="00000000" w14:paraId="000002AC">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AD">
            <w:pPr>
              <w:widowControl w:val="0"/>
              <w:spacing w:after="240" w:before="240"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highlight w:val="white"/>
              </w:rPr>
            </w:pPr>
            <w:r w:rsidDel="00000000" w:rsidR="00000000" w:rsidRPr="00000000">
              <w:rPr>
                <w:rtl w:val="0"/>
              </w:rPr>
            </w:r>
          </w:p>
        </w:tc>
      </w:tr>
    </w:tbl>
    <w:p w:rsidR="00000000" w:rsidDel="00000000" w:rsidP="00000000" w:rsidRDefault="00000000" w:rsidRPr="00000000" w14:paraId="000002AF">
      <w:pPr>
        <w:rPr>
          <w:rFonts w:ascii="Calibri" w:cs="Calibri" w:eastAsia="Calibri" w:hAnsi="Calibri"/>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