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Helvetica Neue" w:cs="Helvetica Neue" w:eastAsia="Helvetica Neue" w:hAnsi="Helvetica Neue"/>
          <w:sz w:val="46"/>
          <w:szCs w:val="46"/>
        </w:rPr>
      </w:pPr>
      <w:bookmarkStart w:colFirst="0" w:colLast="0" w:name="_y89hz4rtrwxj" w:id="0"/>
      <w:bookmarkEnd w:id="0"/>
      <w:r w:rsidDel="00000000" w:rsidR="00000000" w:rsidRPr="00000000">
        <w:rPr>
          <w:rFonts w:ascii="Helvetica Neue" w:cs="Helvetica Neue" w:eastAsia="Helvetica Neue" w:hAnsi="Helvetica Neue"/>
          <w:sz w:val="46"/>
          <w:szCs w:val="46"/>
          <w:rtl w:val="0"/>
        </w:rPr>
        <w:t xml:space="preserve">Méthodes</w:t>
      </w:r>
    </w:p>
    <w:p w:rsidR="00000000" w:rsidDel="00000000" w:rsidP="00000000" w:rsidRDefault="00000000" w:rsidRPr="00000000" w14:paraId="00000002">
      <w:pPr>
        <w:pStyle w:val="Heading2"/>
        <w:keepNext w:val="0"/>
        <w:keepLines w:val="0"/>
        <w:spacing w:after="80" w:lineRule="auto"/>
        <w:rPr>
          <w:rFonts w:ascii="Helvetica Neue" w:cs="Helvetica Neue" w:eastAsia="Helvetica Neue" w:hAnsi="Helvetica Neue"/>
          <w:sz w:val="34"/>
          <w:szCs w:val="34"/>
        </w:rPr>
      </w:pPr>
      <w:bookmarkStart w:colFirst="0" w:colLast="0" w:name="_irbchjczj3qd" w:id="1"/>
      <w:bookmarkEnd w:id="1"/>
      <w:r w:rsidDel="00000000" w:rsidR="00000000" w:rsidRPr="00000000">
        <w:rPr>
          <w:rFonts w:ascii="Helvetica Neue" w:cs="Helvetica Neue" w:eastAsia="Helvetica Neue" w:hAnsi="Helvetica Neue"/>
          <w:sz w:val="34"/>
          <w:szCs w:val="34"/>
          <w:rtl w:val="0"/>
        </w:rPr>
        <w:t xml:space="preserve">Design de l’étude</w:t>
      </w:r>
    </w:p>
    <w:p w:rsidR="00000000" w:rsidDel="00000000" w:rsidP="00000000" w:rsidRDefault="00000000" w:rsidRPr="00000000" w14:paraId="0000000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 s’agit d’une étude de cohorte rétrospective, observationnelle, analytique et multicentrique, menée dans plusieurs centres hospitaliers français (CHU de Nantes, CHU d’Angers, CHU de Lyon et CHD Vendée). Ont été considérés pour inclusion l’ensemble des patients âgés de 18 ans ou plus, opérés d’un adénocarcinome pancréatique entre le 1er janvier 2022 et le 31 décembre 2025.</w:t>
      </w:r>
    </w:p>
    <w:p w:rsidR="00000000" w:rsidDel="00000000" w:rsidP="00000000" w:rsidRDefault="00000000" w:rsidRPr="00000000" w14:paraId="0000000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N’étaient pas éligibles les patients dont l’histologie définitive ne correspondait pas à un adénocarcinome pancréatique, ceux présentant une maladie métastatique au diagnostic initial ou avant la prise en charge chirurgicale, ainsi que ceux ayant reçu un traitement systémique de première ligne autre que le FOLFIRINOX ou le mFOLFIRINOX. Étaient également exclus les patients décédés en postopératoire immédiat, défini comme un décès survenant dans les 30 jours suivant l’intervention chirurgicale, ainsi que ceux dont les cures de chimiothérapie n’avaient pas été administrées dans le centre investigateur ayant réalisé l’inclusion, ne permettant pas une évaluation fiable de la tolérance ni de l’intensité de traitement en raison d’un recueil incomplet des données.</w:t>
      </w:r>
    </w:p>
    <w:p w:rsidR="00000000" w:rsidDel="00000000" w:rsidP="00000000" w:rsidRDefault="00000000" w:rsidRPr="00000000" w14:paraId="00000005">
      <w:pPr>
        <w:pStyle w:val="Heading2"/>
        <w:keepNext w:val="0"/>
        <w:keepLines w:val="0"/>
        <w:spacing w:after="80" w:lineRule="auto"/>
        <w:rPr>
          <w:rFonts w:ascii="Helvetica Neue" w:cs="Helvetica Neue" w:eastAsia="Helvetica Neue" w:hAnsi="Helvetica Neue"/>
          <w:sz w:val="34"/>
          <w:szCs w:val="34"/>
        </w:rPr>
      </w:pPr>
      <w:bookmarkStart w:colFirst="0" w:colLast="0" w:name="_r9qsfqdh2x70" w:id="2"/>
      <w:bookmarkEnd w:id="2"/>
      <w:r w:rsidDel="00000000" w:rsidR="00000000" w:rsidRPr="00000000">
        <w:rPr>
          <w:rFonts w:ascii="Helvetica Neue" w:cs="Helvetica Neue" w:eastAsia="Helvetica Neue" w:hAnsi="Helvetica Neue"/>
          <w:sz w:val="34"/>
          <w:szCs w:val="34"/>
          <w:rtl w:val="0"/>
        </w:rPr>
        <w:t xml:space="preserve">Identification des patients et recueil des données</w:t>
      </w:r>
    </w:p>
    <w:p w:rsidR="00000000" w:rsidDel="00000000" w:rsidP="00000000" w:rsidRDefault="00000000" w:rsidRPr="00000000" w14:paraId="0000000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patients ont été identifiés rétrospectivement dans chaque centre à partir des bases de données anatomopathologiques recensant les pièces opératoires d’adénocarcinome pancréatique et/ou des listings des patients opérés en chirurgie digestive pour adénocarcinome pancréatique, selon les modalités de repérage disponibles localement. Les données ont ensuite été recueillies de manière rétrospective à partir des dossiers médicaux hospitaliers sur la période d’étude.</w:t>
      </w:r>
    </w:p>
    <w:p w:rsidR="00000000" w:rsidDel="00000000" w:rsidP="00000000" w:rsidRDefault="00000000" w:rsidRPr="00000000" w14:paraId="0000000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données collectées comprenaient les caractéristiques démographiques et cliniques des patients, notamment le sexe, l’âge au diagnostic, la date du diagnostic, la présence de douleurs initiales et l’état général évalué par le Performance Status à différents temps du parcours de soins (au diagnostic, avant traitement systémique, en préopératoire et avant chimiothérapie adjuvante). Les caractéristiques tumorales recueillies incluaient le type histologique, la localisation tumorale, le stade selon la classification TNM ainsi que le statut de résécabilité initiale.</w:t>
      </w:r>
    </w:p>
    <w:p w:rsidR="00000000" w:rsidDel="00000000" w:rsidP="00000000" w:rsidRDefault="00000000" w:rsidRPr="00000000" w14:paraId="0000000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données chirurgicales et anatomopathologiques comprenaient la date et le type de chirurgie, le statut des marges de résection, la durée d’hospitalisation et la survenue de complications postopératoires, en particulier gastroparésie, fistule pancréatique ou hémorragie. Les données biologiques incluaient les valeurs du CA 19-9 à différents temps de la prise en charge, notamment au diagnostic, avant traitement d’induction, en postopératoire et avant chimiothérapie adjuvante.</w:t>
      </w:r>
    </w:p>
    <w:p w:rsidR="00000000" w:rsidDel="00000000" w:rsidP="00000000" w:rsidRDefault="00000000" w:rsidRPr="00000000" w14:paraId="0000000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Concernant le traitement systémique, ont été recueillis le nombre total de cures administrées, l’utilisation d’un bolus de 5-fluorouracile, la survenue d’adaptations posologiques, ainsi que l’intensité de dose administrée pour le 5-fluorouracile, l’irinotécan et l’oxaliplatine, exprimée en pourcentage de la dose théorique. Les données de tolérance comprenaient la survenue d’au moins un effet indésirable sévère, défini comme une toxicité de grade III ou IV, ainsi que le type de toxicité observée, notamment asthénie, diarrhée, vomissements, neutropénie, neurotoxicité, cytolyse ou cholestase.</w:t>
      </w:r>
    </w:p>
    <w:p w:rsidR="00000000" w:rsidDel="00000000" w:rsidP="00000000" w:rsidRDefault="00000000" w:rsidRPr="00000000" w14:paraId="0000000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Enfin, les données de suivi évolutif comprenaient la date de récidive, la nature locale ou métastatique de celle-ci, sa localisation éventuelle, ainsi que la date des dernières nouvelles et le statut vital lorsque ces données étaient disponibles.</w:t>
      </w:r>
    </w:p>
    <w:p w:rsidR="00000000" w:rsidDel="00000000" w:rsidP="00000000" w:rsidRDefault="00000000" w:rsidRPr="00000000" w14:paraId="0000000B">
      <w:pPr>
        <w:pStyle w:val="Heading2"/>
        <w:keepNext w:val="0"/>
        <w:keepLines w:val="0"/>
        <w:spacing w:after="80" w:lineRule="auto"/>
        <w:rPr>
          <w:rFonts w:ascii="Helvetica Neue" w:cs="Helvetica Neue" w:eastAsia="Helvetica Neue" w:hAnsi="Helvetica Neue"/>
          <w:color w:val="ff0000"/>
          <w:sz w:val="34"/>
          <w:szCs w:val="34"/>
        </w:rPr>
      </w:pPr>
      <w:bookmarkStart w:colFirst="0" w:colLast="0" w:name="_b8cyt2xghqbk" w:id="3"/>
      <w:bookmarkEnd w:id="3"/>
      <w:r w:rsidDel="00000000" w:rsidR="00000000" w:rsidRPr="00000000">
        <w:rPr>
          <w:rFonts w:ascii="Helvetica Neue" w:cs="Helvetica Neue" w:eastAsia="Helvetica Neue" w:hAnsi="Helvetica Neue"/>
          <w:color w:val="ff0000"/>
          <w:sz w:val="34"/>
          <w:szCs w:val="34"/>
          <w:rtl w:val="0"/>
        </w:rPr>
        <w:t xml:space="preserve">Analyse statistique</w:t>
      </w:r>
    </w:p>
    <w:p w:rsidR="00000000" w:rsidDel="00000000" w:rsidP="00000000" w:rsidRDefault="00000000" w:rsidRPr="00000000" w14:paraId="0000000C">
      <w:pPr>
        <w:spacing w:after="240" w:before="240" w:lineRule="auto"/>
        <w:rPr>
          <w:rFonts w:ascii="Helvetica Neue" w:cs="Helvetica Neue" w:eastAsia="Helvetica Neue" w:hAnsi="Helvetica Neue"/>
          <w:color w:val="ff0000"/>
        </w:rPr>
      </w:pPr>
      <w:r w:rsidDel="00000000" w:rsidR="00000000" w:rsidRPr="00000000">
        <w:rPr>
          <w:rFonts w:ascii="Helvetica Neue" w:cs="Helvetica Neue" w:eastAsia="Helvetica Neue" w:hAnsi="Helvetica Neue"/>
          <w:color w:val="ff0000"/>
          <w:rtl w:val="0"/>
        </w:rPr>
        <w:t xml:space="preserve">Les caractéristiques initiales des patients, les modalités thérapeutiques, les données de faisabilité, de tolérance et de suivi ont été décrites de manière descriptive. Les variables qualitatives ont été exprimées en effectifs et pourcentages, tandis que les variables quantitatives ont été présentées sous forme de moyenne ± écart-type ou de médiane [intervalle interquartile], selon leur distribution.</w:t>
      </w:r>
    </w:p>
    <w:p w:rsidR="00000000" w:rsidDel="00000000" w:rsidP="00000000" w:rsidRDefault="00000000" w:rsidRPr="00000000" w14:paraId="0000000D">
      <w:pPr>
        <w:spacing w:after="240" w:before="240" w:lineRule="auto"/>
        <w:rPr>
          <w:rFonts w:ascii="Helvetica Neue" w:cs="Helvetica Neue" w:eastAsia="Helvetica Neue" w:hAnsi="Helvetica Neue"/>
          <w:color w:val="ff0000"/>
        </w:rPr>
      </w:pPr>
      <w:r w:rsidDel="00000000" w:rsidR="00000000" w:rsidRPr="00000000">
        <w:rPr>
          <w:rFonts w:ascii="Helvetica Neue" w:cs="Helvetica Neue" w:eastAsia="Helvetica Neue" w:hAnsi="Helvetica Neue"/>
          <w:color w:val="ff0000"/>
          <w:rtl w:val="0"/>
        </w:rPr>
        <w:t xml:space="preserve">Les comparaisons entre les deux groupes ont été réalisées à l’aide du test du Chi² ou du test exact de Fisher pour les variables qualitatives, et du test de Student ou du test de Mann–Whitney pour les variables quantitatives, selon les conditions d’application.</w:t>
      </w:r>
    </w:p>
    <w:p w:rsidR="00000000" w:rsidDel="00000000" w:rsidP="00000000" w:rsidRDefault="00000000" w:rsidRPr="00000000" w14:paraId="0000000E">
      <w:pPr>
        <w:spacing w:after="240" w:before="240" w:lineRule="auto"/>
        <w:rPr>
          <w:rFonts w:ascii="Helvetica Neue" w:cs="Helvetica Neue" w:eastAsia="Helvetica Neue" w:hAnsi="Helvetica Neue"/>
          <w:color w:val="ff0000"/>
        </w:rPr>
      </w:pPr>
      <w:r w:rsidDel="00000000" w:rsidR="00000000" w:rsidRPr="00000000">
        <w:rPr>
          <w:rFonts w:ascii="Helvetica Neue" w:cs="Helvetica Neue" w:eastAsia="Helvetica Neue" w:hAnsi="Helvetica Neue"/>
          <w:color w:val="ff0000"/>
          <w:rtl w:val="0"/>
        </w:rPr>
        <w:t xml:space="preserve">Les données de survie ont été analysées selon la méthode de Kaplan–Meier, et les courbes de survie ont été comparées à l’aide du test du log-rank. Une analyse multivariée a pu être envisagée afin d’identifier les facteurs indépendamment associés à la faisabilité du traitement, à la survenue d’une toxicité sévère et/ou aux résultats de survie.</w:t>
      </w:r>
    </w:p>
    <w:p w:rsidR="00000000" w:rsidDel="00000000" w:rsidP="00000000" w:rsidRDefault="00000000" w:rsidRPr="00000000" w14:paraId="0000000F">
      <w:pPr>
        <w:pStyle w:val="Heading2"/>
        <w:keepNext w:val="0"/>
        <w:keepLines w:val="0"/>
        <w:spacing w:after="80" w:lineRule="auto"/>
        <w:rPr>
          <w:rFonts w:ascii="Helvetica Neue" w:cs="Helvetica Neue" w:eastAsia="Helvetica Neue" w:hAnsi="Helvetica Neue"/>
          <w:sz w:val="34"/>
          <w:szCs w:val="34"/>
        </w:rPr>
      </w:pPr>
      <w:bookmarkStart w:colFirst="0" w:colLast="0" w:name="_vm067ekbe2gy" w:id="4"/>
      <w:bookmarkEnd w:id="4"/>
      <w:r w:rsidDel="00000000" w:rsidR="00000000" w:rsidRPr="00000000">
        <w:rPr>
          <w:rFonts w:ascii="Helvetica Neue" w:cs="Helvetica Neue" w:eastAsia="Helvetica Neue" w:hAnsi="Helvetica Neue"/>
          <w:sz w:val="34"/>
          <w:szCs w:val="34"/>
          <w:rtl w:val="0"/>
        </w:rPr>
        <w:t xml:space="preserve">Seuil de significativité</w:t>
      </w:r>
    </w:p>
    <w:p w:rsidR="00000000" w:rsidDel="00000000" w:rsidP="00000000" w:rsidRDefault="00000000" w:rsidRPr="00000000" w14:paraId="0000001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L’ensemble des tests statistiques a été réalisé de manière bilatérale. Les résultats ont été considérés comme statistiquement significatifs pour une valeur de p &lt; 0,05. Les intervalles de confiance ont été calculés au seuil de 95 %.</w:t>
      </w:r>
    </w:p>
    <w:p w:rsidR="00000000" w:rsidDel="00000000" w:rsidP="00000000" w:rsidRDefault="00000000" w:rsidRPr="00000000" w14:paraId="00000011">
      <w:pPr>
        <w:rPr>
          <w:rFonts w:ascii="Helvetica Neue" w:cs="Helvetica Neue" w:eastAsia="Helvetica Neue" w:hAnsi="Helvetica Neue"/>
          <w:sz w:val="34"/>
          <w:szCs w:val="34"/>
        </w:rPr>
      </w:pPr>
      <w:r w:rsidDel="00000000" w:rsidR="00000000" w:rsidRPr="00000000">
        <w:rPr>
          <w:rFonts w:ascii="Helvetica Neue" w:cs="Helvetica Neue" w:eastAsia="Helvetica Neue" w:hAnsi="Helvetica Neue"/>
          <w:sz w:val="34"/>
          <w:szCs w:val="34"/>
          <w:rtl w:val="0"/>
        </w:rPr>
        <w:t xml:space="preserve">Cadre réglementaire </w:t>
      </w:r>
    </w:p>
    <w:p w:rsidR="00000000" w:rsidDel="00000000" w:rsidP="00000000" w:rsidRDefault="00000000" w:rsidRPr="00000000" w14:paraId="00000012">
      <w:pPr>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