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Matériel et méthodes (brouillon)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Design de l’étude</w:t>
      </w:r>
      <w:r w:rsidDel="00000000" w:rsidR="00000000" w:rsidRPr="00000000">
        <w:rPr>
          <w:b w:val="1"/>
          <w:bCs w:val="1"/>
          <w:rtl w:val="0"/>
        </w:rPr>
        <w:t xml:space="preserve"> : 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Il s’agit d’une étude de cohorte rétrospective observationnelle analytique multicentrique menée (insérer centres)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Le critère de jugement principal était la… 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Les critères de jugements secondaires étaient…… </w:t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Critères d’inclusion :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Nous avons inclus tous les patients âgés de plus de 18 ans opérés d’un adénocarcinome pancréatique entre le 1er janvier 2022 et le 31 décembre 2025.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Critères d’exclusion : 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Les patients ont été exclus de l’étude en cas de :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Métastases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Décès post-opératoire immédiat (dans le mois suivant la chirurgie)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Chimiothérapie autre que le FOLFIRINOX en première ligne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Patients et données</w:t>
      </w:r>
      <w:r w:rsidDel="00000000" w:rsidR="00000000" w:rsidRPr="00000000">
        <w:rPr>
          <w:b w:val="1"/>
          <w:bCs w:val="1"/>
          <w:rtl w:val="0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u w:val="single"/>
          <w:rtl w:val="0"/>
        </w:rPr>
        <w:t xml:space="preserve">Patients 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Nous avons extrait les patients à partir du listing des patients opérés d’un cancer du pancréas (chirurgie digestive) et du listing des diagnostics d’adénocarcinome pancréatique sur biopsies ou pièces tumorales adressées en laboratoire d’anatomopathologie.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Données recueillies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Caractéristiques des patients : </w:t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  <w:t xml:space="preserve">Sexe</w:t>
      </w:r>
    </w:p>
    <w:p w:rsidR="00000000" w:rsidDel="00000000" w:rsidP="00000000" w:rsidRDefault="00000000" w:rsidRPr="00000000" w14:paraId="0000001C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Date de naissance</w:t>
      </w:r>
    </w:p>
    <w:p w:rsidR="00000000" w:rsidDel="00000000" w:rsidP="00000000" w:rsidRDefault="00000000" w:rsidRPr="00000000" w14:paraId="0000001D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Age au diagnostic</w:t>
      </w:r>
    </w:p>
    <w:p w:rsidR="00000000" w:rsidDel="00000000" w:rsidP="00000000" w:rsidRDefault="00000000" w:rsidRPr="00000000" w14:paraId="0000001E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Date du diagnostic</w:t>
      </w:r>
    </w:p>
    <w:p w:rsidR="00000000" w:rsidDel="00000000" w:rsidP="00000000" w:rsidRDefault="00000000" w:rsidRPr="00000000" w14:paraId="0000001F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Date de la chirurgie</w:t>
      </w:r>
    </w:p>
    <w:p w:rsidR="00000000" w:rsidDel="00000000" w:rsidP="00000000" w:rsidRDefault="00000000" w:rsidRPr="00000000" w14:paraId="00000020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Douleur au diagnostic</w:t>
      </w:r>
    </w:p>
    <w:p w:rsidR="00000000" w:rsidDel="00000000" w:rsidP="00000000" w:rsidRDefault="00000000" w:rsidRPr="00000000" w14:paraId="00000021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PS au diagnostic</w:t>
      </w:r>
    </w:p>
    <w:p w:rsidR="00000000" w:rsidDel="00000000" w:rsidP="00000000" w:rsidRDefault="00000000" w:rsidRPr="00000000" w14:paraId="00000022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PS avant chimiothérapie</w:t>
      </w:r>
    </w:p>
    <w:p w:rsidR="00000000" w:rsidDel="00000000" w:rsidP="00000000" w:rsidRDefault="00000000" w:rsidRPr="00000000" w14:paraId="00000023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PS pré-opératoire</w:t>
      </w:r>
    </w:p>
    <w:p w:rsidR="00000000" w:rsidDel="00000000" w:rsidP="00000000" w:rsidRDefault="00000000" w:rsidRPr="00000000" w14:paraId="00000024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PS-pré-chimiothérapie adjuvante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Caractéristiques de la tumeur : </w:t>
      </w:r>
    </w:p>
    <w:p w:rsidR="00000000" w:rsidDel="00000000" w:rsidP="00000000" w:rsidRDefault="00000000" w:rsidRPr="00000000" w14:paraId="00000026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Type histologique</w:t>
      </w:r>
    </w:p>
    <w:p w:rsidR="00000000" w:rsidDel="00000000" w:rsidP="00000000" w:rsidRDefault="00000000" w:rsidRPr="00000000" w14:paraId="00000027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Localisation (tête, corps,queue)</w:t>
      </w:r>
    </w:p>
    <w:p w:rsidR="00000000" w:rsidDel="00000000" w:rsidP="00000000" w:rsidRDefault="00000000" w:rsidRPr="00000000" w14:paraId="00000028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TNM</w:t>
      </w:r>
    </w:p>
    <w:p w:rsidR="00000000" w:rsidDel="00000000" w:rsidP="00000000" w:rsidRDefault="00000000" w:rsidRPr="00000000" w14:paraId="00000029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Stade</w:t>
      </w:r>
    </w:p>
    <w:p w:rsidR="00000000" w:rsidDel="00000000" w:rsidP="00000000" w:rsidRDefault="00000000" w:rsidRPr="00000000" w14:paraId="0000002A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Résécabilité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Chirurgie : </w:t>
      </w:r>
    </w:p>
    <w:p w:rsidR="00000000" w:rsidDel="00000000" w:rsidP="00000000" w:rsidRDefault="00000000" w:rsidRPr="00000000" w14:paraId="0000002C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Chirurgie marges R0,R1,R2</w:t>
      </w:r>
    </w:p>
    <w:p w:rsidR="00000000" w:rsidDel="00000000" w:rsidP="00000000" w:rsidRDefault="00000000" w:rsidRPr="00000000" w14:paraId="0000002D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Durée d'hospitalisation </w:t>
      </w:r>
    </w:p>
    <w:p w:rsidR="00000000" w:rsidDel="00000000" w:rsidP="00000000" w:rsidRDefault="00000000" w:rsidRPr="00000000" w14:paraId="0000002E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Complications post-opératoires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Marqueurs tumoraux : </w:t>
      </w:r>
    </w:p>
    <w:p w:rsidR="00000000" w:rsidDel="00000000" w:rsidP="00000000" w:rsidRDefault="00000000" w:rsidRPr="00000000" w14:paraId="00000030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CA 19-9 au diagnostic</w:t>
      </w:r>
    </w:p>
    <w:p w:rsidR="00000000" w:rsidDel="00000000" w:rsidP="00000000" w:rsidRDefault="00000000" w:rsidRPr="00000000" w14:paraId="00000031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CA 19-9 pré-induction</w:t>
      </w:r>
    </w:p>
    <w:p w:rsidR="00000000" w:rsidDel="00000000" w:rsidP="00000000" w:rsidRDefault="00000000" w:rsidRPr="00000000" w14:paraId="00000032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CA 19-9 post opératoire</w:t>
      </w:r>
    </w:p>
    <w:p w:rsidR="00000000" w:rsidDel="00000000" w:rsidP="00000000" w:rsidRDefault="00000000" w:rsidRPr="00000000" w14:paraId="00000033">
      <w:pPr>
        <w:spacing w:after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CA 19-9 pré-chimiothérapie adjuvante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Tolérance de la chimiothérapie d’induction : </w:t>
      </w:r>
    </w:p>
    <w:p w:rsidR="00000000" w:rsidDel="00000000" w:rsidP="00000000" w:rsidRDefault="00000000" w:rsidRPr="00000000" w14:paraId="00000035">
      <w:pPr>
        <w:spacing w:before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Nombre de cures</w:t>
      </w:r>
    </w:p>
    <w:p w:rsidR="00000000" w:rsidDel="00000000" w:rsidP="00000000" w:rsidRDefault="00000000" w:rsidRPr="00000000" w14:paraId="00000036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La réalisation d’un bolus de 5FU </w:t>
      </w:r>
    </w:p>
    <w:p w:rsidR="00000000" w:rsidDel="00000000" w:rsidP="00000000" w:rsidRDefault="00000000" w:rsidRPr="00000000" w14:paraId="00000037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La présence d’une adaptation de dose </w:t>
      </w:r>
    </w:p>
    <w:p w:rsidR="00000000" w:rsidDel="00000000" w:rsidP="00000000" w:rsidRDefault="00000000" w:rsidRPr="00000000" w14:paraId="00000038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Pourcentage de 5FU (par rapport à la dose théorique)</w:t>
      </w:r>
    </w:p>
    <w:p w:rsidR="00000000" w:rsidDel="00000000" w:rsidP="00000000" w:rsidRDefault="00000000" w:rsidRPr="00000000" w14:paraId="00000039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Pourcentage d’Irinotecan (par rapport à la dose théorique)</w:t>
      </w:r>
    </w:p>
    <w:p w:rsidR="00000000" w:rsidDel="00000000" w:rsidP="00000000" w:rsidRDefault="00000000" w:rsidRPr="00000000" w14:paraId="0000003A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Pourcentage d’Oxaliplatine (par rapport à la dose théorique)</w:t>
      </w:r>
    </w:p>
    <w:p w:rsidR="00000000" w:rsidDel="00000000" w:rsidP="00000000" w:rsidRDefault="00000000" w:rsidRPr="00000000" w14:paraId="0000003B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EI de grade III/IV </w:t>
      </w:r>
    </w:p>
    <w:p w:rsidR="00000000" w:rsidDel="00000000" w:rsidP="00000000" w:rsidRDefault="00000000" w:rsidRPr="00000000" w14:paraId="0000003C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Le type de toxicité de grade III/IV : asthénie, diarrhée, vomissements, neutropénie, neurotoxicité, cytolyse ou cholestase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Tolérance de la chimiothérapie adjuvante : </w:t>
      </w:r>
    </w:p>
    <w:p w:rsidR="00000000" w:rsidDel="00000000" w:rsidP="00000000" w:rsidRDefault="00000000" w:rsidRPr="00000000" w14:paraId="0000003E">
      <w:pPr>
        <w:spacing w:before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Nombre de cures</w:t>
      </w:r>
    </w:p>
    <w:p w:rsidR="00000000" w:rsidDel="00000000" w:rsidP="00000000" w:rsidRDefault="00000000" w:rsidRPr="00000000" w14:paraId="0000003F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La réalisation d’un bolus de 5FU </w:t>
      </w:r>
    </w:p>
    <w:p w:rsidR="00000000" w:rsidDel="00000000" w:rsidP="00000000" w:rsidRDefault="00000000" w:rsidRPr="00000000" w14:paraId="00000040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La présence d’une adaptation de dose </w:t>
      </w:r>
    </w:p>
    <w:p w:rsidR="00000000" w:rsidDel="00000000" w:rsidP="00000000" w:rsidRDefault="00000000" w:rsidRPr="00000000" w14:paraId="00000041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Pourcentage de 5FU (par rapport à la dose théorique)</w:t>
      </w:r>
    </w:p>
    <w:p w:rsidR="00000000" w:rsidDel="00000000" w:rsidP="00000000" w:rsidRDefault="00000000" w:rsidRPr="00000000" w14:paraId="00000042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Pourcentage d’Irinotecan (par rapport à la dose théorique)</w:t>
      </w:r>
    </w:p>
    <w:p w:rsidR="00000000" w:rsidDel="00000000" w:rsidP="00000000" w:rsidRDefault="00000000" w:rsidRPr="00000000" w14:paraId="00000043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Pourcentage d’Oxaliplatine (par rapport à la dose théorique)</w:t>
      </w:r>
    </w:p>
    <w:p w:rsidR="00000000" w:rsidDel="00000000" w:rsidP="00000000" w:rsidRDefault="00000000" w:rsidRPr="00000000" w14:paraId="00000044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 EI de grade III/IV </w:t>
      </w:r>
    </w:p>
    <w:p w:rsidR="00000000" w:rsidDel="00000000" w:rsidP="00000000" w:rsidRDefault="00000000" w:rsidRPr="00000000" w14:paraId="00000045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Le type de toxicité de grade III/IV : asthénie, diarrhée, vomissements, neutropénie, neurotoxicité, cytolyse ou cholestase</w:t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Evolution sous traitement : </w:t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  <w:t xml:space="preserve">Date de diagnostic d’une progression locale et/ou métastatique</w:t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  <w:t xml:space="preserve">La survenue d’une progression locale </w:t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  <w:t xml:space="preserve">La survenue d’une progression métastatique</w:t>
      </w:r>
    </w:p>
    <w:p w:rsidR="00000000" w:rsidDel="00000000" w:rsidP="00000000" w:rsidRDefault="00000000" w:rsidRPr="00000000" w14:paraId="0000004B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Localisation de la métastase en cas de progression métastatique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u w:val="single"/>
          <w:shd w:fill="f4cccc" w:val="clear"/>
          <w:rtl w:val="0"/>
        </w:rPr>
        <w:t xml:space="preserve">Analyse de données</w:t>
      </w:r>
      <w:r w:rsidDel="00000000" w:rsidR="00000000" w:rsidRPr="00000000">
        <w:rPr>
          <w:b w:val="1"/>
          <w:bCs w:val="1"/>
          <w:shd w:fill="f4cccc" w:val="clear"/>
          <w:rtl w:val="0"/>
        </w:rPr>
        <w:t xml:space="preserve"> : </w:t>
      </w:r>
    </w:p>
    <w:p w:rsidR="00000000" w:rsidDel="00000000" w:rsidP="00000000" w:rsidRDefault="00000000" w:rsidRPr="00000000" w14:paraId="0000004D">
      <w:pPr>
        <w:ind w:left="0" w:firstLine="0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(On dit ce qu’on souhaite calculer et comparer en citant le nom des variables)</w:t>
      </w:r>
    </w:p>
    <w:p w:rsidR="00000000" w:rsidDel="00000000" w:rsidP="00000000" w:rsidRDefault="00000000" w:rsidRPr="00000000" w14:paraId="0000004E">
      <w:pPr>
        <w:ind w:left="0" w:firstLine="0"/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u w:val="single"/>
          <w:shd w:fill="f4cccc" w:val="clear"/>
          <w:rtl w:val="0"/>
        </w:rPr>
        <w:t xml:space="preserve">Analyse statistique</w:t>
      </w:r>
      <w:r w:rsidDel="00000000" w:rsidR="00000000" w:rsidRPr="00000000">
        <w:rPr>
          <w:b w:val="1"/>
          <w:bCs w:val="1"/>
          <w:shd w:fill="f4cccc" w:val="clear"/>
          <w:rtl w:val="0"/>
        </w:rPr>
        <w:t xml:space="preserve"> : </w:t>
      </w:r>
    </w:p>
    <w:p w:rsidR="00000000" w:rsidDel="00000000" w:rsidP="00000000" w:rsidRDefault="00000000" w:rsidRPr="00000000" w14:paraId="00000050">
      <w:pPr>
        <w:ind w:left="0" w:firstLine="0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(Préciser les méthodes statistiques)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