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Tableau 1 :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472113" cy="404094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2113" cy="40409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Caractéristiques initiales des patients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Âge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Sexe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PS au diagnostic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Localisation tumorale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Résécabilité initiale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CA 19-9 au diagnostic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Statut de résection R0/R1/R2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Complications postopératoires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douleur au diagnostic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durée d’hospitalisation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TNM si suffisamment fiable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Tableau 2 :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Description des traitements reçus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chimio d’induction : oui/non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nombre de cures d’induction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adaptations de dose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toxicités grade III-IV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chimio adjuvante : oui/non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nombre de cures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adaptations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toxicités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Tableau 3 :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Données post opératoires et oncologiques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R0/R1/R2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complications postopératoires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reprise du traitement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progression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type de récidive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décès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