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HR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aHR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0,95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25/53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25/51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21/50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0,98 [0,55 ; 1,76]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17/44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0,77 [0,40 ; 1,47]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14/25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0,88 [0,41 ; 1,91]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18/36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1,10 [0,54 ; 2,21]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0,35 [0,08 ; 1,53]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Âge au diagnostic, années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46/103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1,10 [0,93 ; 1,31]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42/95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1,11 [0,93 ; 1,33]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28/68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28/68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14/27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1,29 [0,68 ; 2,45]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14/27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1,22 [0,62 ; 2,39]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Complication post-opératoire majeure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43/98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4,88 [2,45 ; 9,71]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&lt;0,001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Modèle de régression de Cox multivariable stratifié sur le centre, incluant 42 évènements pour 95 observations complètes (8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2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3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Définie par un grade supérieur ou égal à III selon la classification de Clavien-Dindo.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Le critère de jugement est le délai entre la chirurgie et le décès toutes causes. Les patients sans évènement sont censurés à la date de point du centre. Un hazard ratio &gt; 1 est en faveur d'un risque plus élevé de décès toutes causes comparé au groupe de référence. HR : hazard ratio ; aHR : hazard ratio ajusté ; n/N : nombre d'évènements/nombre total d'observations ; IC95% : intervalle de confiance à 95%.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2026-08-31T01:04:42Z</dcterms:modified>
  <cp:category/>
</cp:coreProperties>
</file>