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0,070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30/53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30/51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1,58 [0,96 ; 2,59]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1,39 [0,82 ; 2,36]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0,78 [0,39 ; 1,56]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1,39 [0,76 ; 2,55]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0,53 [0,20 ; 1,42]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64/103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1,03 [0,89 ; 1,19]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59/95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1,05 [0,90 ; 1,22]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[0,63 ; 1,92]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1,03 [0,57 ; 1,85]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3,05 [1,64 ; 5,69]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Cox multivariable stratifié sur le centre, incluant 59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 récidive ou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2026-08-31T01:04:42Z</dcterms:modified>
  <cp:category/>
</cp:coreProperties>
</file>